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杭州市第一人民医院新院区建设工程</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全过程跟踪审计服务项目</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color w:val="auto"/>
          <w:sz w:val="48"/>
          <w:szCs w:val="48"/>
          <w:highlight w:val="none"/>
        </w:rPr>
        <w:t>招标文件</w:t>
      </w:r>
      <w:r>
        <w:rPr>
          <w:rFonts w:hint="eastAsia" w:ascii="仿宋" w:hAnsi="仿宋" w:eastAsia="仿宋" w:cs="仿宋"/>
          <w:b/>
          <w:color w:val="auto"/>
          <w:sz w:val="44"/>
          <w:szCs w:val="44"/>
          <w:highlight w:val="none"/>
        </w:rPr>
        <w:t>（电子招投标）</w:t>
      </w:r>
    </w:p>
    <w:p>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编号:GXTC-A1-22360087 </w:t>
      </w:r>
    </w:p>
    <w:p>
      <w:pPr>
        <w:adjustRightInd/>
        <w:spacing w:line="360" w:lineRule="auto"/>
        <w:rPr>
          <w:rFonts w:ascii="仿宋" w:hAnsi="仿宋" w:eastAsia="仿宋" w:cs="仿宋"/>
          <w:color w:val="auto"/>
          <w:sz w:val="28"/>
          <w:szCs w:val="20"/>
          <w:highlight w:val="none"/>
        </w:rPr>
      </w:pPr>
      <w:bookmarkStart w:id="525" w:name="_GoBack"/>
      <w:bookmarkEnd w:id="525"/>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pStyle w:val="6"/>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32"/>
          <w:szCs w:val="32"/>
          <w:highlight w:val="none"/>
        </w:rPr>
      </w:pPr>
    </w:p>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采购人：杭州市卫生健康事业发展中心</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采购代理机构：国信国际工程咨询集团股份有限公司</w:t>
      </w:r>
    </w:p>
    <w:p>
      <w:pPr>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32"/>
          <w:szCs w:val="32"/>
          <w:highlight w:val="none"/>
        </w:rPr>
        <w:t>二〇二二年</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 xml:space="preserve">月 </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杭州市第一人民医院新院区建设工程全过程跟踪审计服务项目的潜在投标人应在政采云平台（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日09点30分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rPr>
        <w:t>GXTC-A1-22360087</w:t>
      </w:r>
      <w:r>
        <w:rPr>
          <w:rFonts w:hint="eastAsia" w:ascii="仿宋" w:hAnsi="仿宋" w:eastAsia="仿宋" w:cs="仿宋"/>
          <w:color w:val="auto"/>
          <w:sz w:val="30"/>
          <w:szCs w:val="30"/>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杭州市第一人民医院新院区建设工程全过程跟踪审计服务项目</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Cs/>
          <w:color w:val="auto"/>
          <w:sz w:val="24"/>
          <w:highlight w:val="none"/>
        </w:rPr>
        <w:t>5900000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5900000</w:t>
      </w:r>
      <w:r>
        <w:rPr>
          <w:rFonts w:hint="eastAsia" w:ascii="仿宋" w:hAnsi="仿宋" w:eastAsia="仿宋" w:cs="仿宋"/>
          <w:color w:val="auto"/>
          <w:sz w:val="24"/>
          <w:highlight w:val="none"/>
        </w:rPr>
        <w:t xml:space="preserve">    </w:t>
      </w:r>
    </w:p>
    <w:p>
      <w:pPr>
        <w:pStyle w:val="16"/>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标项名称：</w:t>
      </w:r>
      <w:r>
        <w:rPr>
          <w:rFonts w:hint="eastAsia" w:ascii="仿宋" w:hAnsi="仿宋" w:eastAsia="仿宋" w:cs="仿宋"/>
          <w:snapToGrid/>
          <w:color w:val="auto"/>
          <w:kern w:val="2"/>
          <w:sz w:val="24"/>
          <w:szCs w:val="24"/>
          <w:highlight w:val="none"/>
        </w:rPr>
        <w:t> 杭州市第一人民医院</w:t>
      </w:r>
      <w:r>
        <w:rPr>
          <w:rFonts w:hint="eastAsia" w:ascii="仿宋" w:hAnsi="仿宋" w:eastAsia="仿宋" w:cs="仿宋"/>
          <w:color w:val="auto"/>
          <w:sz w:val="24"/>
          <w:highlight w:val="none"/>
        </w:rPr>
        <w:t>新院区</w:t>
      </w:r>
      <w:r>
        <w:rPr>
          <w:rFonts w:hint="eastAsia" w:ascii="仿宋" w:hAnsi="仿宋" w:eastAsia="仿宋" w:cs="仿宋"/>
          <w:snapToGrid/>
          <w:color w:val="auto"/>
          <w:kern w:val="2"/>
          <w:sz w:val="24"/>
          <w:szCs w:val="24"/>
          <w:highlight w:val="none"/>
        </w:rPr>
        <w:t>建设工程全过程跟踪审计服务项目</w:t>
      </w:r>
      <w:r>
        <w:rPr>
          <w:rFonts w:hint="eastAsia" w:ascii="仿宋" w:hAnsi="仿宋" w:eastAsia="仿宋" w:cs="仿宋"/>
          <w:bCs/>
          <w:snapToGrid/>
          <w:color w:val="auto"/>
          <w:kern w:val="2"/>
          <w:sz w:val="24"/>
          <w:szCs w:val="24"/>
          <w:highlight w:val="none"/>
        </w:rPr>
        <w:t>。</w:t>
      </w:r>
    </w:p>
    <w:p>
      <w:pPr>
        <w:pStyle w:val="16"/>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数量: 1  项</w:t>
      </w:r>
    </w:p>
    <w:p>
      <w:pPr>
        <w:pStyle w:val="16"/>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预算金额（元）: 5900000   </w:t>
      </w:r>
    </w:p>
    <w:p>
      <w:pPr>
        <w:pStyle w:val="16"/>
        <w:spacing w:line="360" w:lineRule="auto"/>
        <w:ind w:firstLine="480"/>
        <w:rPr>
          <w:rFonts w:ascii="仿宋" w:hAnsi="仿宋" w:eastAsia="仿宋" w:cs="仿宋"/>
          <w:bCs/>
          <w:color w:val="auto"/>
          <w:sz w:val="24"/>
          <w:highlight w:val="none"/>
        </w:rPr>
      </w:pPr>
      <w:r>
        <w:rPr>
          <w:rFonts w:hint="eastAsia" w:ascii="仿宋" w:hAnsi="仿宋" w:eastAsia="仿宋" w:cs="仿宋"/>
          <w:bCs/>
          <w:color w:val="auto"/>
          <w:sz w:val="24"/>
          <w:highlight w:val="none"/>
        </w:rPr>
        <w:t>简要规格描述或项目基本概况介绍、用途： 杭州市第一人民医院</w:t>
      </w:r>
      <w:r>
        <w:rPr>
          <w:rFonts w:hint="eastAsia" w:ascii="仿宋" w:hAnsi="仿宋" w:eastAsia="仿宋" w:cs="仿宋"/>
          <w:color w:val="auto"/>
          <w:sz w:val="24"/>
          <w:highlight w:val="none"/>
        </w:rPr>
        <w:t>新院区</w:t>
      </w:r>
      <w:r>
        <w:rPr>
          <w:rFonts w:hint="eastAsia" w:ascii="仿宋" w:hAnsi="仿宋" w:eastAsia="仿宋" w:cs="仿宋"/>
          <w:bCs/>
          <w:color w:val="auto"/>
          <w:sz w:val="24"/>
          <w:highlight w:val="none"/>
        </w:rPr>
        <w:t>建设工程全过程跟踪审计服务项目</w:t>
      </w:r>
      <w:r>
        <w:rPr>
          <w:rFonts w:hint="eastAsia" w:ascii="仿宋" w:hAnsi="仿宋" w:eastAsia="仿宋" w:cs="仿宋"/>
          <w:bCs/>
          <w:color w:val="auto"/>
          <w:sz w:val="24"/>
          <w:highlight w:val="none"/>
          <w:lang w:eastAsia="zh-CN"/>
        </w:rPr>
        <w:t>，</w:t>
      </w:r>
      <w:r>
        <w:rPr>
          <w:rFonts w:hint="eastAsia" w:ascii="仿宋" w:hAnsi="仿宋" w:eastAsia="仿宋" w:cs="仿宋"/>
          <w:bCs/>
          <w:snapToGrid/>
          <w:color w:val="auto"/>
          <w:kern w:val="2"/>
          <w:sz w:val="24"/>
          <w:szCs w:val="24"/>
          <w:highlight w:val="none"/>
        </w:rPr>
        <w:t>详见招标文件。</w:t>
      </w:r>
    </w:p>
    <w:p>
      <w:pPr>
        <w:pStyle w:val="16"/>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p>
      <w:pPr>
        <w:pStyle w:val="16"/>
        <w:spacing w:line="360" w:lineRule="auto"/>
        <w:ind w:firstLine="480"/>
        <w:rPr>
          <w:rFonts w:ascii="仿宋" w:hAnsi="仿宋" w:eastAsia="仿宋" w:cs="仿宋"/>
          <w:b/>
          <w:snapToGrid/>
          <w:color w:val="auto"/>
          <w:kern w:val="2"/>
          <w:sz w:val="24"/>
          <w:szCs w:val="24"/>
          <w:highlight w:val="none"/>
        </w:rPr>
      </w:pPr>
      <w:r>
        <w:rPr>
          <w:rFonts w:hint="eastAsia" w:ascii="仿宋" w:hAnsi="仿宋" w:eastAsia="仿宋" w:cs="仿宋"/>
          <w:b/>
          <w:snapToGrid/>
          <w:color w:val="auto"/>
          <w:kern w:val="2"/>
          <w:sz w:val="24"/>
          <w:szCs w:val="24"/>
          <w:highlight w:val="none"/>
        </w:rPr>
        <w:t>合同履约期限：标项 1，按采购文件要求</w:t>
      </w:r>
    </w:p>
    <w:p>
      <w:pPr>
        <w:pStyle w:val="16"/>
        <w:spacing w:line="360" w:lineRule="auto"/>
        <w:ind w:firstLine="480"/>
        <w:rPr>
          <w:rFonts w:ascii="仿宋" w:hAnsi="仿宋" w:eastAsia="仿宋" w:cs="仿宋"/>
          <w:b/>
          <w:snapToGrid/>
          <w:color w:val="auto"/>
          <w:kern w:val="2"/>
          <w:sz w:val="24"/>
          <w:szCs w:val="24"/>
          <w:highlight w:val="none"/>
        </w:rPr>
      </w:pPr>
      <w:r>
        <w:rPr>
          <w:rFonts w:hint="eastAsia" w:ascii="仿宋" w:hAnsi="仿宋" w:eastAsia="仿宋" w:cs="仿宋"/>
          <w:b/>
          <w:snapToGrid/>
          <w:color w:val="auto"/>
          <w:kern w:val="2"/>
          <w:sz w:val="24"/>
          <w:szCs w:val="24"/>
          <w:highlight w:val="none"/>
        </w:rPr>
        <w:t>本项目接受联合体投标：</w:t>
      </w:r>
      <w:sdt>
        <w:sdtPr>
          <w:rPr>
            <w:rFonts w:hint="eastAsia" w:ascii="仿宋" w:hAnsi="仿宋" w:eastAsia="仿宋" w:cs="仿宋"/>
            <w:b/>
            <w:snapToGrid/>
            <w:color w:val="auto"/>
            <w:kern w:val="2"/>
            <w:sz w:val="24"/>
            <w:szCs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snapToGrid/>
            <w:color w:val="auto"/>
            <w:kern w:val="2"/>
            <w:sz w:val="24"/>
            <w:szCs w:val="24"/>
            <w:highlight w:val="none"/>
          </w:rPr>
        </w:sdtEndPr>
        <w:sdtContent>
          <w:r>
            <w:rPr>
              <w:rFonts w:hint="eastAsia" w:ascii="Wingdings" w:hAnsi="Wingdings" w:eastAsia="仿宋" w:cs="仿宋"/>
              <w:b/>
              <w:snapToGrid/>
              <w:color w:val="auto"/>
              <w:kern w:val="2"/>
              <w:sz w:val="24"/>
              <w:szCs w:val="24"/>
              <w:highlight w:val="none"/>
            </w:rPr>
            <w:t>þ</w:t>
          </w:r>
        </w:sdtContent>
      </w:sdt>
      <w:r>
        <w:rPr>
          <w:rFonts w:hint="eastAsia" w:ascii="仿宋" w:hAnsi="仿宋" w:eastAsia="仿宋" w:cs="仿宋"/>
          <w:b/>
          <w:snapToGrid/>
          <w:color w:val="auto"/>
          <w:kern w:val="2"/>
          <w:sz w:val="24"/>
          <w:szCs w:val="24"/>
          <w:highlight w:val="none"/>
        </w:rPr>
        <w:t>是，</w:t>
      </w:r>
      <w:sdt>
        <w:sdtPr>
          <w:rPr>
            <w:rFonts w:hint="eastAsia" w:ascii="仿宋" w:hAnsi="仿宋" w:eastAsia="仿宋" w:cs="仿宋"/>
            <w:b/>
            <w:snapToGrid/>
            <w:color w:val="auto"/>
            <w:kern w:val="2"/>
            <w:sz w:val="24"/>
            <w:szCs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snapToGrid/>
            <w:color w:val="auto"/>
            <w:kern w:val="2"/>
            <w:sz w:val="24"/>
            <w:szCs w:val="24"/>
            <w:highlight w:val="none"/>
          </w:rPr>
        </w:sdtEndPr>
        <w:sdtContent>
          <w:r>
            <w:rPr>
              <w:rFonts w:hint="eastAsia" w:ascii="仿宋" w:hAnsi="仿宋" w:eastAsia="仿宋" w:cs="仿宋"/>
              <w:b/>
              <w:snapToGrid/>
              <w:color w:val="auto"/>
              <w:kern w:val="2"/>
              <w:sz w:val="24"/>
              <w:szCs w:val="24"/>
              <w:highlight w:val="none"/>
            </w:rPr>
            <w:t>☐</w:t>
          </w:r>
        </w:sdtContent>
      </w:sdt>
      <w:r>
        <w:rPr>
          <w:rFonts w:hint="eastAsia" w:ascii="仿宋" w:hAnsi="仿宋" w:eastAsia="仿宋" w:cs="仿宋"/>
          <w:b/>
          <w:snapToGrid/>
          <w:color w:val="auto"/>
          <w:kern w:val="2"/>
          <w:sz w:val="24"/>
          <w:szCs w:val="24"/>
          <w:highlight w:val="none"/>
        </w:rPr>
        <w:t>否。</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 xml:space="preserve">    2.落实政府采购政策需满足的资格要求：无</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2022年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日09点30分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日09点30分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i w:val="0"/>
          <w:iCs w:val="0"/>
          <w:caps w:val="0"/>
          <w:color w:val="auto"/>
          <w:spacing w:val="0"/>
          <w:sz w:val="24"/>
          <w:szCs w:val="24"/>
          <w:highlight w:val="none"/>
        </w:rPr>
        <w:t>为支持和促进中小企业发展，杭州市财政局出台了政府采购信用融资政策，供应商可凭中标合同申请贷款，利率一般在基准利率左右（不同银行略有差异）。具体可登录（http://220.191.208.230/login.do）办理业务。 </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称：杭州市卫生健康事业发展中心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地    址：杭州市开元路70号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传    真： </w:t>
      </w:r>
      <w:r>
        <w:rPr>
          <w:rFonts w:hint="eastAsia" w:ascii="仿宋" w:hAnsi="仿宋" w:eastAsia="仿宋" w:cs="仿宋"/>
          <w:color w:val="auto"/>
          <w:sz w:val="24"/>
          <w:highlight w:val="none"/>
          <w:lang w:val="en-US" w:eastAsia="zh-CN"/>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项目联系人（询问）：王一虎</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项目联系方式（询问）：0571-87012056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质疑联系人：沈少杰    </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质疑联系方式：0571-87012056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名称：国信国际工程咨询集团股份有限公司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地址：浙江省杭州市文一西路1218号恒生科技园1号楼4层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传真：0571-88084051  </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项目联系人（询问）：华杰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余明辉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项目联系方式（询问）：0571-88392867</w:t>
      </w:r>
      <w:r>
        <w:rPr>
          <w:rFonts w:hint="eastAsia" w:ascii="仿宋" w:hAnsi="仿宋" w:eastAsia="仿宋" w:cs="仿宋"/>
          <w:color w:val="auto"/>
          <w:sz w:val="24"/>
          <w:highlight w:val="none"/>
          <w:lang w:val="en-US" w:eastAsia="zh-CN"/>
        </w:rPr>
        <w:t>/18757131529</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质疑联系人：王秋平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质疑联系方式：0571-81387199 　</w:t>
      </w:r>
    </w:p>
    <w:p>
      <w:pPr>
        <w:pStyle w:val="6"/>
        <w:ind w:firstLine="373"/>
        <w:rPr>
          <w:color w:val="auto"/>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地    址：杭州市中河中路152号617办公室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传    真：0571-87715261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联系人 ：吕先生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监督投诉电话：0571-87715261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2"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sz w:val="24"/>
                <w:highlight w:val="none"/>
                <w:lang w:val="zh-CN"/>
              </w:rPr>
              <w:t>。投标文件中价格全部采用人民币报价。招标文件未列明，而投标人认为必需的费用也需列入报价。</w:t>
            </w:r>
            <w:r>
              <w:rPr>
                <w:rFonts w:hint="eastAsia" w:ascii="仿宋" w:hAnsi="仿宋" w:eastAsia="仿宋" w:cs="仿宋"/>
                <w:b/>
                <w:bCs/>
                <w:color w:val="auto"/>
                <w:sz w:val="24"/>
                <w:highlight w:val="none"/>
                <w:lang w:val="zh-CN"/>
              </w:rPr>
              <w:t>投标报价出现下列情形的，投标无效：</w:t>
            </w:r>
          </w:p>
          <w:p>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投标文件出现不是唯一的、有选择性投标报价的；</w:t>
            </w:r>
          </w:p>
          <w:p>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投标报价超过招标文件中规定的预算金额或者最高限价的;</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075"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4" w:hRule="atLeast"/>
          <w:tblHeader/>
        </w:trPr>
        <w:tc>
          <w:tcPr>
            <w:tcW w:w="367" w:type="pct"/>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一、说明</w:t>
            </w:r>
          </w:p>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1、企业类型</w:t>
            </w:r>
          </w:p>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（1）中小企业</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napToGrid w:val="0"/>
              <w:spacing w:line="312"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在服务采购项目中，服务由中小企业承接，即提供服务的人员为中小企业依照《中华人民共和国劳动民法典》订立劳动合同的从业人员。可享受相关中小企业扶持政策。</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符合上述条件的中小企业参加货物采购活动中，货物由中小企业制造，即货物由中小企业生产且使用该中小企业商号或者注册商标的，可享受相关中小企业扶持政策。</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投标文件中须同时出具《政府采购促进中小企业发展管理办法》【财库（2020）46号】规定的《中小企业声明函》，否则不得享受价格扣除。</w:t>
            </w:r>
          </w:p>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（2）残疾人福利性单位</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符合《关于促进残疾人就业政府采购政策的通知》（财库〔2017〕141号）规定的条件并提供提供《残疾人福利性单位声明函》的残疾人福利性单位视同小型、微型企业；</w:t>
            </w:r>
          </w:p>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（3）监狱企业</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二、针对本项目的相关规定</w:t>
            </w:r>
          </w:p>
          <w:p>
            <w:pPr>
              <w:snapToGrid w:val="0"/>
              <w:spacing w:line="312"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1.本项目对符合规定的小微企业（含小型企业）报价给予10% 的扣除。</w:t>
            </w:r>
          </w:p>
          <w:p>
            <w:pPr>
              <w:snapToGrid w:val="0"/>
              <w:spacing w:line="312"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2.本项目采购标的对应的中小企业计划分标准所属行业为：</w:t>
            </w:r>
            <w:r>
              <w:rPr>
                <w:rFonts w:hint="eastAsia" w:ascii="仿宋" w:hAnsi="仿宋" w:eastAsia="仿宋" w:cs="仿宋"/>
                <w:b/>
                <w:bCs/>
                <w:color w:val="auto"/>
                <w:sz w:val="24"/>
                <w:highlight w:val="none"/>
                <w:u w:val="single"/>
              </w:rPr>
              <w:t>其他服务业。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367" w:type="pct"/>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75"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367" w:type="pct"/>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color w:val="auto"/>
                <w:highlight w:val="none"/>
              </w:rPr>
            </w:pPr>
          </w:p>
        </w:tc>
        <w:tc>
          <w:tcPr>
            <w:tcW w:w="1075" w:type="pct"/>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auto"/>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备份投标文件送达地点：浙江省杭州市文一西路1218号恒生科技园1号楼4层413室；</w:t>
            </w:r>
          </w:p>
          <w:p>
            <w:pPr>
              <w:snapToGrid w:val="0"/>
              <w:spacing w:line="360" w:lineRule="auto"/>
              <w:ind w:left="399" w:leftChars="19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备份投标文件签收人员：华杰；</w:t>
            </w:r>
          </w:p>
          <w:p>
            <w:pPr>
              <w:snapToGrid w:val="0"/>
              <w:spacing w:line="360" w:lineRule="auto"/>
              <w:ind w:left="399" w:leftChars="19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联系电话：0571-88392867。</w:t>
            </w:r>
          </w:p>
          <w:p>
            <w:pPr>
              <w:pStyle w:val="6"/>
              <w:spacing w:line="360" w:lineRule="auto"/>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75" w:type="pct"/>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1、本项目的采购代理费由中标人支付，以中标金额作为收费的计算基数，费用按计价【2002】1980号文规定的25.85%收取。结算方式及时间为：中标之日起5个工作日之内一次性支付给采购代理公司。</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收款单位（户名）：国信国际工程咨询集团股份有限公司浙江分公司</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w:t>
            </w:r>
            <w:r>
              <w:rPr>
                <w:rFonts w:hint="eastAsia" w:ascii="仿宋" w:hAnsi="仿宋" w:eastAsia="仿宋" w:cs="仿宋"/>
                <w:i w:val="0"/>
                <w:iCs w:val="0"/>
                <w:caps w:val="0"/>
                <w:snapToGrid w:val="0"/>
                <w:color w:val="auto"/>
                <w:spacing w:val="0"/>
                <w:kern w:val="28"/>
                <w:sz w:val="24"/>
                <w:szCs w:val="24"/>
                <w:highlight w:val="none"/>
                <w:shd w:val="clear"/>
              </w:rPr>
              <w:t>招商银行杭州解放支行</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银行账号：</w:t>
            </w:r>
            <w:r>
              <w:rPr>
                <w:rFonts w:hint="eastAsia" w:ascii="仿宋" w:hAnsi="仿宋" w:eastAsia="仿宋" w:cs="仿宋"/>
                <w:i w:val="0"/>
                <w:iCs w:val="0"/>
                <w:caps w:val="0"/>
                <w:snapToGrid w:val="0"/>
                <w:color w:val="auto"/>
                <w:spacing w:val="0"/>
                <w:kern w:val="28"/>
                <w:sz w:val="24"/>
                <w:szCs w:val="24"/>
                <w:highlight w:val="none"/>
                <w:shd w:val="clear"/>
              </w:rPr>
              <w:t>5719046795104042200007262</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本项目采用联合体投标的，参加联合体的供应商均应当具备政府采购法第二十二条规定的条件，并应当在响应文件中提交联合协议（格式自拟），载明联合体各方承担的工作和义务。联合体各方应当共同与采购人签订采购合同，就采购合同约定的事项对采购人承担连带责任。</w:t>
            </w:r>
          </w:p>
        </w:tc>
      </w:tr>
    </w:tbl>
    <w:p>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pStyle w:val="5"/>
        <w:rPr>
          <w:rFonts w:ascii="仿宋" w:hAnsi="仿宋" w:eastAsia="仿宋" w:cs="仿宋"/>
          <w:color w:val="auto"/>
          <w:highlight w:val="none"/>
        </w:rPr>
      </w:pPr>
    </w:p>
    <w:bookmarkEnd w:id="10"/>
    <w:p>
      <w:pPr>
        <w:adjustRightInd/>
        <w:spacing w:line="360" w:lineRule="auto"/>
        <w:ind w:firstLine="3845" w:firstLineChars="1197"/>
        <w:outlineLvl w:val="0"/>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6"/>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6"/>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11.2.4投标人业绩；</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11.2.5项目负责人业绩；</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11.2.6项目负责人能力；</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11.2.7项目组人员配置及分工（需提供拟派本项目人员汇总表，驻场各专业人员须单独注明，项目组人员专业结构搭配合理）；</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11.2.8全过程跟踪审计服务大纲；</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11.2.9全过程跟踪审计服务措施；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11.2.10全过程跟踪审计服务的疑难点考虑；</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11.2.11对全过程跟踪审计服务的合理化建议；</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12商务技术偏离表；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11.2.13</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11.2.14投标方针对评分规则需要说明的其他文件和说明（格式自拟）。 </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pStyle w:val="6"/>
        <w:ind w:firstLine="480" w:firstLineChars="200"/>
        <w:rPr>
          <w:rFonts w:ascii="仿宋" w:hAnsi="仿宋" w:eastAsia="仿宋" w:cs="仿宋"/>
          <w:color w:val="auto"/>
          <w:kern w:val="0"/>
          <w:highlight w:val="none"/>
        </w:rPr>
      </w:pPr>
      <w:r>
        <w:rPr>
          <w:rFonts w:hint="eastAsia" w:ascii="仿宋" w:hAnsi="仿宋" w:eastAsia="仿宋" w:cs="仿宋"/>
          <w:snapToGrid/>
          <w:color w:val="auto"/>
          <w:kern w:val="0"/>
          <w:sz w:val="24"/>
          <w:szCs w:val="24"/>
          <w:highlight w:val="none"/>
        </w:rPr>
        <w:t>11.4投标报价：</w:t>
      </w:r>
    </w:p>
    <w:p>
      <w:pPr>
        <w:pStyle w:val="6"/>
        <w:spacing w:line="360" w:lineRule="auto"/>
        <w:ind w:firstLine="482"/>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snapToGrid/>
          <w:color w:val="auto"/>
          <w:kern w:val="0"/>
          <w:sz w:val="24"/>
          <w:szCs w:val="24"/>
          <w:highlight w:val="none"/>
        </w:rPr>
        <w:t>.4</w:t>
      </w:r>
      <w:r>
        <w:rPr>
          <w:rFonts w:hint="eastAsia" w:ascii="仿宋" w:hAnsi="仿宋" w:eastAsia="仿宋" w:cs="仿宋"/>
          <w:color w:val="auto"/>
          <w:kern w:val="0"/>
          <w:sz w:val="24"/>
          <w:szCs w:val="24"/>
          <w:highlight w:val="none"/>
        </w:rPr>
        <w:t>.1本次招标的全过程跟踪审计服务投标报价应包括为完成服务可能发生的各项费用。服务内容包括且不限于：预算编制及审核、制定造价控制、资金使用计划的实施方案，合同价款审核（包括合同分析、合同交底、合同变更管理工作），施工阶段造价风险分析，审核工程预付款和完成期中结算（初审）及其价款支付，工程变更、签证及索赔管理，材料、设备的询价，提供核价建议，工程造价动态管理，过程分阶段工程结算初审及汇总（根据采购人需求），完成竣工结算初审（核增核减追加费包含在投标报价中，不再额外支付），项目竣工财务决算编制工作，工程技术经济指标分析</w:t>
      </w:r>
      <w:r>
        <w:rPr>
          <w:rFonts w:hint="eastAsia" w:ascii="仿宋" w:hAnsi="仿宋" w:eastAsia="仿宋" w:cs="仿宋"/>
          <w:color w:val="auto"/>
          <w:sz w:val="24"/>
          <w:szCs w:val="24"/>
          <w:highlight w:val="none"/>
        </w:rPr>
        <w:t>等所有与全过程跟踪审计服务相关的工作。</w:t>
      </w:r>
    </w:p>
    <w:p>
      <w:pPr>
        <w:pStyle w:val="6"/>
        <w:spacing w:line="360" w:lineRule="auto"/>
        <w:ind w:firstLine="482"/>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kern w:val="0"/>
          <w:sz w:val="24"/>
          <w:szCs w:val="24"/>
          <w:highlight w:val="none"/>
        </w:rPr>
        <w:t>工程量清单及招标控制价编制审核并出具审核报告，招标文件及合同的审核，工程联系单审核，工程款支付审核，竣工结算初审，项目竣工财务决算编制，成果交付，售后服务等所有与全过程跟踪审计服务相关的工作。</w:t>
      </w:r>
    </w:p>
    <w:p>
      <w:pPr>
        <w:pStyle w:val="6"/>
        <w:spacing w:line="360" w:lineRule="auto"/>
        <w:ind w:firstLine="482"/>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费用是提供上述所有与全过程跟踪审计服务相关的工作所产生的人工费、现场测量费、交通、住宿、差旅费、管理费、通讯费、利润、进驻施工现场人员工伤保险费和意外伤害保险费、税金、风险费、政策和行业规定的各项税费等所有相关费用。凡未列入的费用均将被认为已包含在投标总价中；</w:t>
      </w:r>
    </w:p>
    <w:p>
      <w:pPr>
        <w:snapToGrid w:val="0"/>
        <w:spacing w:line="360" w:lineRule="auto"/>
        <w:ind w:firstLine="482" w:firstLineChars="200"/>
        <w:jc w:val="left"/>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如上述没有提及但该项目仍需要的内容，请投标人自行考虑一并计入投标报价中（未计入的，视为投标人的优惠）。</w:t>
      </w:r>
    </w:p>
    <w:p>
      <w:pPr>
        <w:widowControl/>
        <w:snapToGrid w:val="0"/>
        <w:spacing w:line="360" w:lineRule="auto"/>
        <w:ind w:firstLine="482" w:firstLineChars="200"/>
        <w:jc w:val="left"/>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11.4.2本次报价方式为一次性报价。</w:t>
      </w:r>
    </w:p>
    <w:p>
      <w:pPr>
        <w:pStyle w:val="27"/>
        <w:snapToGrid w:val="0"/>
        <w:spacing w:line="360" w:lineRule="auto"/>
        <w:ind w:firstLine="482"/>
        <w:rPr>
          <w:rFonts w:ascii="仿宋" w:hAnsi="仿宋" w:eastAsia="仿宋" w:cs="仿宋"/>
          <w:b/>
          <w:bCs/>
          <w:snapToGrid w:val="0"/>
          <w:color w:val="auto"/>
          <w:kern w:val="0"/>
          <w:highlight w:val="none"/>
        </w:rPr>
      </w:pPr>
      <w:r>
        <w:rPr>
          <w:rFonts w:hint="eastAsia" w:ascii="仿宋" w:hAnsi="仿宋" w:eastAsia="仿宋" w:cs="仿宋"/>
          <w:b/>
          <w:bCs/>
          <w:snapToGrid w:val="0"/>
          <w:color w:val="auto"/>
          <w:kern w:val="0"/>
          <w:highlight w:val="none"/>
        </w:rPr>
        <w:t>投标人应认真计算可能发生的各相关费用并计入报价内，在项目实施过程中不得借此要求增加任何费用，并不得出现选择性的报价。</w:t>
      </w:r>
    </w:p>
    <w:p>
      <w:pPr>
        <w:widowControl/>
        <w:snapToGrid w:val="0"/>
        <w:spacing w:line="360" w:lineRule="auto"/>
        <w:ind w:firstLine="482" w:firstLineChars="200"/>
        <w:jc w:val="left"/>
        <w:rPr>
          <w:rFonts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11</w:t>
      </w:r>
      <w:r>
        <w:rPr>
          <w:rFonts w:hint="eastAsia" w:ascii="仿宋" w:hAnsi="仿宋" w:eastAsia="仿宋" w:cs="仿宋"/>
          <w:color w:val="auto"/>
          <w:kern w:val="0"/>
          <w:sz w:val="24"/>
          <w:highlight w:val="none"/>
        </w:rPr>
        <w:t>.4</w:t>
      </w:r>
      <w:r>
        <w:rPr>
          <w:rFonts w:hint="eastAsia" w:ascii="仿宋" w:hAnsi="仿宋" w:eastAsia="仿宋" w:cs="仿宋"/>
          <w:b/>
          <w:snapToGrid w:val="0"/>
          <w:color w:val="auto"/>
          <w:kern w:val="0"/>
          <w:sz w:val="24"/>
          <w:highlight w:val="none"/>
        </w:rPr>
        <w:t>.3本项目采购代理服务费由中标人向采购代理机构支付，相关成本支出由投标人自行考虑。采购代理服务费计取标准见前附表。</w:t>
      </w:r>
    </w:p>
    <w:p>
      <w:pPr>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w:t>
      </w:r>
      <w:r>
        <w:rPr>
          <w:rFonts w:hint="eastAsia" w:ascii="仿宋" w:hAnsi="仿宋" w:eastAsia="仿宋" w:cs="仿宋"/>
          <w:color w:val="auto"/>
          <w:kern w:val="0"/>
          <w:sz w:val="24"/>
          <w:highlight w:val="none"/>
        </w:rPr>
        <w:t>.4</w:t>
      </w:r>
      <w:r>
        <w:rPr>
          <w:rFonts w:hint="eastAsia" w:ascii="仿宋" w:hAnsi="仿宋" w:eastAsia="仿宋" w:cs="仿宋"/>
          <w:snapToGrid w:val="0"/>
          <w:color w:val="auto"/>
          <w:kern w:val="0"/>
          <w:sz w:val="24"/>
          <w:highlight w:val="none"/>
        </w:rPr>
        <w:t>.4本项目只允许一次报价，不允许以开标后调整的报价作为评标的依据（但按本采购文件投标须知投标文件错误的修正并经评标委员会认定或经投标人确认同意的除外）。</w:t>
      </w:r>
    </w:p>
    <w:p>
      <w:pPr>
        <w:snapToGrid w:val="0"/>
        <w:spacing w:line="360" w:lineRule="auto"/>
        <w:ind w:firstLine="480" w:firstLineChars="200"/>
        <w:jc w:val="left"/>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11</w:t>
      </w:r>
      <w:r>
        <w:rPr>
          <w:rFonts w:hint="eastAsia" w:ascii="仿宋" w:hAnsi="仿宋" w:eastAsia="仿宋" w:cs="仿宋"/>
          <w:color w:val="auto"/>
          <w:kern w:val="0"/>
          <w:sz w:val="24"/>
          <w:highlight w:val="none"/>
        </w:rPr>
        <w:t>.4</w:t>
      </w:r>
      <w:r>
        <w:rPr>
          <w:rFonts w:hint="eastAsia" w:ascii="仿宋" w:hAnsi="仿宋" w:eastAsia="仿宋" w:cs="仿宋"/>
          <w:snapToGrid w:val="0"/>
          <w:color w:val="auto"/>
          <w:kern w:val="0"/>
          <w:sz w:val="24"/>
          <w:highlight w:val="none"/>
        </w:rPr>
        <w:t>.5其它需在报价中考虑的因素：</w:t>
      </w:r>
    </w:p>
    <w:p>
      <w:pPr>
        <w:numPr>
          <w:ilvl w:val="0"/>
          <w:numId w:val="1"/>
        </w:numPr>
        <w:tabs>
          <w:tab w:val="left" w:pos="993"/>
        </w:tabs>
        <w:snapToGrid w:val="0"/>
        <w:spacing w:line="360" w:lineRule="auto"/>
        <w:ind w:left="0" w:firstLine="420"/>
        <w:jc w:val="left"/>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采购需求中明确的需供应商承担的费用均应含在投标总价中；</w:t>
      </w:r>
    </w:p>
    <w:p>
      <w:pPr>
        <w:numPr>
          <w:ilvl w:val="0"/>
          <w:numId w:val="1"/>
        </w:numPr>
        <w:tabs>
          <w:tab w:val="left" w:pos="993"/>
        </w:tabs>
        <w:snapToGrid w:val="0"/>
        <w:spacing w:line="360" w:lineRule="auto"/>
        <w:ind w:left="0" w:firstLine="420"/>
        <w:jc w:val="left"/>
        <w:rPr>
          <w:rFonts w:ascii="仿宋" w:hAnsi="仿宋" w:eastAsia="仿宋" w:cs="仿宋"/>
          <w:b/>
          <w:snapToGrid w:val="0"/>
          <w:color w:val="auto"/>
          <w:kern w:val="0"/>
          <w:sz w:val="24"/>
          <w:highlight w:val="none"/>
        </w:rPr>
      </w:pPr>
      <w:r>
        <w:rPr>
          <w:rFonts w:hint="eastAsia" w:ascii="仿宋" w:hAnsi="仿宋" w:eastAsia="仿宋" w:cs="仿宋"/>
          <w:b/>
          <w:color w:val="auto"/>
          <w:sz w:val="24"/>
          <w:highlight w:val="none"/>
        </w:rPr>
        <w:t>采购文件未明示但投标人认为可能产生的潜在费用支出均需自行考虑并计入投标总价中；</w:t>
      </w:r>
    </w:p>
    <w:p>
      <w:pPr>
        <w:numPr>
          <w:ilvl w:val="0"/>
          <w:numId w:val="1"/>
        </w:numPr>
        <w:tabs>
          <w:tab w:val="left" w:pos="993"/>
        </w:tabs>
        <w:snapToGrid w:val="0"/>
        <w:spacing w:line="360" w:lineRule="auto"/>
        <w:jc w:val="left"/>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对于没有填报的项目，采购人将不再支付，并均认为已包含在报价内。</w:t>
      </w:r>
    </w:p>
    <w:p>
      <w:pPr>
        <w:pStyle w:val="129"/>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6"/>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6"/>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6"/>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6"/>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7"/>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17.3在原定投标有效期满之前，如果出现特殊情况，采购机构可以书面形式通知投标人延长投标有效期。投标人同意延长的，不得要求或被允许修改其投标文件，投标人拒绝延长的，其投标无效。</w:t>
      </w:r>
    </w:p>
    <w:p>
      <w:pPr>
        <w:pStyle w:val="129"/>
        <w:spacing w:before="0"/>
        <w:ind w:firstLine="643"/>
        <w:rPr>
          <w:rFonts w:ascii="仿宋" w:hAnsi="仿宋" w:eastAsia="仿宋" w:cs="仿宋"/>
          <w:b/>
          <w:color w:val="auto"/>
          <w:sz w:val="32"/>
          <w:highlight w:val="none"/>
        </w:rPr>
      </w:pPr>
    </w:p>
    <w:p>
      <w:pPr>
        <w:pStyle w:val="129"/>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9"/>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7"/>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7"/>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cs="仿宋"/>
          <w:b/>
          <w:color w:val="auto"/>
          <w:sz w:val="24"/>
          <w:highlight w:val="none"/>
        </w:rPr>
      </w:pPr>
      <w:r>
        <w:rPr>
          <w:rFonts w:hint="eastAsia" w:ascii="仿宋" w:hAnsi="仿宋" w:eastAsia="仿宋" w:cs="仿宋"/>
          <w:color w:val="auto"/>
          <w:sz w:val="24"/>
          <w:highlight w:val="none"/>
        </w:rPr>
        <w:t>履约保证金的数额为合同金额的2.5%。鼓励和支持供应商以银行、保险公司出具的保函形式提供履约保证金。</w:t>
      </w:r>
      <w:r>
        <w:rPr>
          <w:rFonts w:hint="eastAsia" w:ascii="仿宋" w:hAnsi="仿宋" w:eastAsia="仿宋" w:cs="仿宋"/>
          <w:color w:val="auto"/>
          <w:kern w:val="0"/>
          <w:sz w:val="24"/>
          <w:highlight w:val="none"/>
        </w:rPr>
        <w:t>供应商应当以支票、汇票、本票或者金融机构、担保机构出具的保函等非现金形式提交</w:t>
      </w:r>
      <w:r>
        <w:rPr>
          <w:rFonts w:hint="eastAsia" w:ascii="仿宋" w:hAnsi="仿宋" w:eastAsia="仿宋" w:cs="仿宋"/>
          <w:b/>
          <w:color w:val="auto"/>
          <w:sz w:val="24"/>
          <w:highlight w:val="none"/>
        </w:rPr>
        <w:t>。</w:t>
      </w:r>
    </w:p>
    <w:p>
      <w:pPr>
        <w:tabs>
          <w:tab w:val="left" w:pos="0"/>
        </w:tabs>
        <w:spacing w:line="360" w:lineRule="auto"/>
        <w:ind w:firstLine="482"/>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2"/>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9"/>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403820"/>
      <w:bookmarkEnd w:id="15"/>
      <w:bookmarkStart w:id="16" w:name="_Hlt75236290"/>
      <w:bookmarkEnd w:id="16"/>
      <w:bookmarkStart w:id="17" w:name="_Hlt68072990"/>
      <w:bookmarkEnd w:id="17"/>
      <w:bookmarkStart w:id="18" w:name="_Hlt74730295"/>
      <w:bookmarkEnd w:id="18"/>
      <w:bookmarkStart w:id="19" w:name="_Hlt74707468"/>
      <w:bookmarkEnd w:id="19"/>
      <w:bookmarkStart w:id="20" w:name="_Hlt68072998"/>
      <w:bookmarkEnd w:id="20"/>
      <w:bookmarkStart w:id="21" w:name="_Hlt75236101"/>
      <w:bookmarkEnd w:id="21"/>
      <w:bookmarkStart w:id="22" w:name="_Hlt75236011"/>
      <w:bookmarkEnd w:id="22"/>
      <w:bookmarkStart w:id="23" w:name="_Hlt74714665"/>
      <w:bookmarkEnd w:id="23"/>
      <w:bookmarkStart w:id="24" w:name="_Hlt74729768"/>
      <w:bookmarkEnd w:id="24"/>
      <w:bookmarkStart w:id="25" w:name="_Hlt68073093"/>
      <w:bookmarkEnd w:id="25"/>
    </w:p>
    <w:bookmarkEnd w:id="11"/>
    <w:bookmarkEnd w:id="12"/>
    <w:p>
      <w:pPr>
        <w:numPr>
          <w:ilvl w:val="0"/>
          <w:numId w:val="2"/>
        </w:num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p>
    <w:p>
      <w:pPr>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一、项目名称</w:t>
      </w:r>
    </w:p>
    <w:p>
      <w:pPr>
        <w:autoSpaceDE w:val="0"/>
        <w:autoSpaceDN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杭州市第一人民医院新院区建设工程全过程跟踪审计服务项目。</w:t>
      </w:r>
    </w:p>
    <w:p>
      <w:pPr>
        <w:autoSpaceDE w:val="0"/>
        <w:autoSpaceDN w:val="0"/>
        <w:spacing w:line="360" w:lineRule="auto"/>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二、建设地点和项目</w:t>
      </w:r>
    </w:p>
    <w:p>
      <w:pPr>
        <w:autoSpaceDE w:val="0"/>
        <w:autoSpaceDN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杭州市艮北新区单元，四至范围：东至红普路、西至园区路、北至红建路、南至艮山东路</w:t>
      </w:r>
      <w:r>
        <w:rPr>
          <w:rFonts w:hint="eastAsia" w:ascii="仿宋" w:hAnsi="仿宋" w:eastAsia="仿宋" w:cs="仿宋"/>
          <w:color w:val="auto"/>
          <w:kern w:val="0"/>
          <w:sz w:val="24"/>
          <w:highlight w:val="none"/>
        </w:rPr>
        <w:t>。</w:t>
      </w:r>
    </w:p>
    <w:p>
      <w:pPr>
        <w:autoSpaceDE w:val="0"/>
        <w:autoSpaceDN w:val="0"/>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三、建设概况</w:t>
      </w:r>
    </w:p>
    <w:p>
      <w:pPr>
        <w:widowControl/>
        <w:tabs>
          <w:tab w:val="left" w:pos="4755"/>
        </w:tabs>
        <w:adjustRightInd/>
        <w:snapToGrid w:val="0"/>
        <w:spacing w:line="360" w:lineRule="auto"/>
        <w:ind w:firstLine="480" w:firstLineChars="200"/>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总建筑面积暂定为312000平方米，地上建筑面积约177050平方米，地下建筑面积约134950平方米。总投资暂定274119万元（不含土地费及医疗设备费）。</w:t>
      </w:r>
    </w:p>
    <w:p>
      <w:pPr>
        <w:widowControl/>
        <w:tabs>
          <w:tab w:val="left" w:pos="4755"/>
        </w:tabs>
        <w:adjustRightInd/>
        <w:snapToGrid w:val="0"/>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四、全过程跟踪审计服务要求及内容：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1、招标范围</w:t>
      </w:r>
      <w:r>
        <w:rPr>
          <w:rFonts w:hint="eastAsia" w:ascii="仿宋" w:hAnsi="仿宋" w:eastAsia="仿宋" w:cs="仿宋"/>
          <w:b/>
          <w:color w:val="auto"/>
          <w:kern w:val="0"/>
          <w:sz w:val="24"/>
          <w:highlight w:val="none"/>
        </w:rPr>
        <w:t>包括且不限于</w:t>
      </w:r>
      <w:r>
        <w:rPr>
          <w:rFonts w:hint="eastAsia" w:ascii="仿宋" w:hAnsi="仿宋" w:eastAsia="仿宋" w:cs="仿宋"/>
          <w:color w:val="auto"/>
          <w:kern w:val="0"/>
          <w:sz w:val="24"/>
          <w:highlight w:val="none"/>
        </w:rPr>
        <w:t>：预算编制及审核、制定造价控制、资金使用计划的实施方案，合同价款审核（包括合同分析、合同交底、合同变更管理工作），施工阶段造价风险分析，审核工程预付款和完成期中结算（初审）及其价款支付，工程变更、签证及索赔管理，材料、设备的询价，提供核价建议，工程造价动态管理，过程分阶段工程结算初审及汇总（根据采购人需求）</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完成竣工结算初审</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核增核减追加费包含在投标报价中，不再额外支付</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，项目竣工财务决算编制工作，工程技术经济指标分析</w:t>
      </w:r>
      <w:r>
        <w:rPr>
          <w:rFonts w:hint="eastAsia" w:ascii="仿宋" w:hAnsi="仿宋" w:eastAsia="仿宋" w:cs="仿宋"/>
          <w:color w:val="auto"/>
          <w:sz w:val="24"/>
          <w:highlight w:val="none"/>
        </w:rPr>
        <w:t>等所有与全过程跟踪审计服务相关的工作。</w:t>
      </w:r>
    </w:p>
    <w:p>
      <w:pPr>
        <w:pStyle w:val="6"/>
        <w:spacing w:line="360" w:lineRule="auto"/>
        <w:ind w:firstLine="482"/>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kern w:val="0"/>
          <w:sz w:val="24"/>
          <w:szCs w:val="24"/>
          <w:highlight w:val="none"/>
        </w:rPr>
        <w:t>工程量清单及招标控制价编制审核并出具审核报告，招标文件及合同的审核，工程联系单审核，工程款支付审核，竣工结算初审，项目竣工财务决算编制，成果交付，售后服务等所有与全过程跟踪审计服务相关的工作。</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2、全过程跟踪审计服务期：</w:t>
      </w:r>
      <w:r>
        <w:rPr>
          <w:rFonts w:hint="eastAsia" w:ascii="仿宋" w:hAnsi="仿宋" w:eastAsia="仿宋" w:cs="仿宋"/>
          <w:color w:val="auto"/>
          <w:kern w:val="0"/>
          <w:sz w:val="24"/>
          <w:highlight w:val="none"/>
        </w:rPr>
        <w:t>合同签订之日起至整体项目竣工财务决算批复完成并归档。</w:t>
      </w:r>
    </w:p>
    <w:p>
      <w:pPr>
        <w:pStyle w:val="256"/>
        <w:tabs>
          <w:tab w:val="left" w:pos="1071"/>
        </w:tabs>
        <w:ind w:firstLine="476" w:firstLineChars="0"/>
        <w:rPr>
          <w:rFonts w:ascii="仿宋" w:hAnsi="仿宋" w:eastAsia="仿宋" w:cs="仿宋"/>
          <w:color w:val="auto"/>
          <w:kern w:val="0"/>
          <w:highlight w:val="none"/>
          <w:lang w:bidi="ar"/>
        </w:rPr>
      </w:pPr>
      <w:r>
        <w:rPr>
          <w:rFonts w:hint="eastAsia" w:ascii="仿宋" w:hAnsi="仿宋" w:eastAsia="仿宋" w:cs="仿宋"/>
          <w:b/>
          <w:color w:val="auto"/>
          <w:w w:val="99"/>
          <w:highlight w:val="none"/>
        </w:rPr>
        <w:t>3、全过程跟踪审计服务内容和要求</w:t>
      </w:r>
      <w:r>
        <w:rPr>
          <w:rFonts w:hint="eastAsia" w:ascii="仿宋" w:hAnsi="仿宋" w:eastAsia="仿宋" w:cs="仿宋"/>
          <w:color w:val="auto"/>
          <w:highlight w:val="none"/>
        </w:rPr>
        <w:t>（包括但不限于）：</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3.1项目前期服务内容（包括但不限于）：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1)检查建设项目的基本建设程序是否合法、有效。</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2)检查招投标程序及其结果是否合法、有效。</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3)检查与建设项目各相关单位签订的合同条款是否合规、公允，与招标文件和投标承诺是否一致。</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4)检查参建各单位的内部管理制度是否健全，内控程序(包括工程款支付规定、联系单报批规定)等是否规范、有效，并出具专项检查报告。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5)检查各种规费是否按规定及时缴纳，减、缓、免手续是否完善，是否符合有关规定。</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6)检查征地或拆迁补偿费是否符合有关规定，有关评估、计价是否合规、合理，有无擅自扩大拆迁范围、提高标准或者降低标准等问题。</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7)参与初步设计环节，施工图审查等环节，提出意见和建议。</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8）概算批复完成，根据采购人要求完成概算分解工作，为后续工作提供意见和建议。</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3.2招标期间的服务内容（包括但不限于）：</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入场后开展相关招标审核和配合工作；</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采购人的要求，独立编制工程量清单及招标控制价并根据采购人要求的时间与招标代理单位编制的工程量清单和招标控制价进行核对。对清单工程量的完整准确性、是否有错/漏项、工程特征描述清晰性、套用定额准确性，与概算、初步设计的一致性等方面进行审核。</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提供相应的计算书供采购人审核，并在图纸等输入条件不充分的情况下作出合理预估并沟通备注。提供标底所涉及现行当期材料设备价格清单供采购人决策参考，价格清单需明确材料规格、品牌、产地、技术性能、联系电话等信息（主要材料询价不少于三家）</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审核招标文件中相关技术要求、工程量清单编制说明、报价清单；审核合同条款的合理性、符合性和严密性，有无设置不平等条款、有无根据工程特点制定针对性条款、有无明显超出概算标准的内容或子项，合同内容与招标文件是否一致，重点关注结算条款、计价调整、支付条款、质量条款等描述；审核合同内容是否存在质量、 安全、进度、成本的失控风险。对审核发现的问题，提出意见和建议。</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若投标单位对招标文件内工程量提出较大异议，中标人有义务根据采购人要求进行工程量清单的复核，复核代理单位编制的工程量清单，并提供书面复核意见。</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协助采购人做好招标过程中与报价相关的答疑，完成中标后报价清单核对工作，并提供书面意见。</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协助采购人做好招标过程中的供应商遴选工作。</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根据采购人的要求，参加相关招标文件的会审及合同谈判会议，协助采购人进行项目合同谈判、签订合同，并提出意见和建议。</w:t>
      </w:r>
    </w:p>
    <w:p>
      <w:pPr>
        <w:numPr>
          <w:ilvl w:val="0"/>
          <w:numId w:val="3"/>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协助整合招标文件、往来函件等编制合同文件，采购人审核后完成内部评审。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3.3在建期间的服务内容（包括但不限于）：</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履行合同情况。定期对代建、监理、施工等各参建单位实际完成的工作内容、工作数量、工作质量进行初步判断，对参建单位的履约行为与合同内容存在实质性差异的情况，应及时在全过程跟踪审计服务汇报材料中予以反应。检查参建单位有无违法分包、转包工程。如有变更、增补、转让或终止情况，检查其真实性、合法性。</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检查项目概算执行情况。检查有无超出批准概算范围投资，或超出批准概算所列费用的情况。</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内控制度执行情况。检查采购人(或部门)是否认真执行各项内控制度。如联系单签证、工程计量与支付、验收制度；设备材料采购、价格控制、验收、领用、清点制度费用支出报销制度等。督促、指导建立完善的管理制度，保证建设程序规范运行、建设资金合法使用。</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制定造价控制的实施流程，对承包人报送的工程预算进行审核，确定造价控制目标。</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对中标单位进行价格分析。</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分析项目经济类合同，包括但不限于施工合同、设计合同、监理合同等。</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按采购人要求，根据项目所有合同、进度计划，编制项目整体及分阶段（月度、季度、年度）资金计划，更新和调整项目实施期间资金支出的分期分配表。</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负责对承包人报送的每月(期)完成进度款月报表进行审核，并提出当月(期)付款建议书。</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鉴证工程变更、签证情况。检查工程设计变更、施工现场签证手续是否合理、合规、及时、完整、真实。掌握变更、签证的内容和过程，分清性质和责任方(分为设计变更、采购人要求或施工单位提出),并分析变更、签证的经济合理性，变更、签证方案的比选（涉及金额），审核变更、签证费用的合理性或对变更费用的确定提出意见或建议。相应调整造价控制目标，并向采购人提供造价控制动态分析报告；</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变更发出后，根据图纸或按实际变更计算变更金额；变更实施过程中，现场测量、与施工单位核对工程量；计算承包商提交的变更价款申请，并与承包商达成一致，提交书面资料供采购人审核通过后，办理变更价款确认书。</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根据变更预估金额或变更价款确认书，及时更新变更及付款台账，对于大额核减或可能引起之超付情况及时预警。</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鉴证补充合同情况。掌握补充合同签订原因和过程，分析补充合同价格水平和合同条款的明确性、严密性，并与主合同比较，提出咨询意见或建议。</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检查工程成本核算是否有利于建设项目的管理及竣工决算的需要。</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检查建设资金是否专款专用，是否按照工程进度付款，防止出现超付工程款现象。</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检查并加强控制设备、材料价格。对已购设备、材料因故不能使用的，要分析原因，分清责任，并督促管理单位及时处理，避免造成更大的损失。</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检查国家、省、市、区优惠政策的落实情况。</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每周定期进行巡场，就各合同重要商务条款进行现场巡检，如实发现问题，需及时告知采购人。</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工程质量情况，检查是否存在发生质量事故的隐患。若发生事故，协助建设方调查事故起因、确定责任，确定相关赔偿或索赔的金额，或提出意见和建议。观察参建单位对质量的控制情况并进行实地督察或提醒，如主要人员是否到位、各种检验检测设备是否齐全、验收程序是否符合要求等。</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负责对承包单位投标时技术标施工组织设计、进场后提交施工组织设计进行初步的一致性对比分析，对其中影响造价的部分进行审核，及差异对比，提醒及过程中持续关注落地情况。</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检查工程进度情况，并在全过程跟踪审计服务汇报材料中对工程进度进行简明扼要的表述(可附照片或影像资料)，并分析与合同工期有无出入、主要原因及责任确定，向建设方提出有利于工程进度控制的建议。</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检查实施过程中和竣工阶段的工程资料。督促参建各单位规范、及时地整理、保存相关工程档案和资料。</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根据经验持续主动提出具有技术可行性和经济合理性的方案供采购人和设计单位参考。</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按采购人的要求出席相应的设计方案论证会议、工程图纸会审，并就方案的技术、经济性发表独立的专业意见。按采购人的要求出席合同执行期间的工程例会及采购人要求的其它会议，协助采购人协调和承包单位经济关系以利工程顺利进行。</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提前核实隐蔽、交叉，临时工程等完工后无法再行核查的工程实施情况。跟审单位需一同参与隐蔽工程的监测验收，协助建设方对重要隐蔽工程，交叉工程、临时工程等工程量进行抽查核实，并做好现场记录和取证工作，关键部位应拍下照片或影像资料作为证据，特别是隐蔽工程。</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提前测定特殊材料和工艺费用。对新材料、无价材料、特种材料、新工艺、特种工艺的性能、价格、消耗量等进行跟踪记录，作为编制计价依据的基础资料。根据工程的实际需要，会同相关参建单位对新工艺、特种工艺所用人工、材料、机械的实际消耗量进行试验、测定、计量，以便后期结算时对单价的核定。</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根据采购人确认的现场进度及采购人与承包商签署的合同文件约定，计算材料（主要为钢筋等）调差，提供计算明细及调差依据资料。</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每月配合梳理成本信息，完成月清月结台账、成本台帐等采购人各项季度、月度成本报表。</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向采购人提交项目动态咨询管理月报，包括不限于工程招采合同台账、保函（保证金）台账、工程付款台账、合约图纸管理台账、变更台账、奖罚及索赔台账、结算台账、工程月结资料登记表、资金计划等。</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在完善台账基础上进行每月修改及更新工程动态成本，分析计划成本与实际成本的偏差进行分析，成本超支或节省的原因：如设计变更、材料价格大幅度变动等，向采购人提供书面意见。</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分阶段完工的分部工程结算初审及汇总（根据采购人需求）；完成竣工结算初审并提供报告；协助采购人人办理工程竣工结算；</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协助采购人合同的解释，并就有关合同执行中有关造价的问题提供澄清性意见，以利于合同的执行。</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鉴证影响工程造价的其它项目。做好必要的现场文字记录和影像记录。</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计量与支付审核。在全过程跟踪审计服务期间，对每一笔计量支付情况进行审核，检查此计量支付是否符合程序，参建各方有无按照自身职责审核当期工程款。若申报数量与审计现场验收记录不符或计价不准确时，审计可以修正或自行编制审计联系单，并报告建设管理单位。</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建设成本监控。密切注意施工阶段建设成本控制情况和整个建设过程中的资金使用情况。根据实际工程需要，对设计变更提供工程造价费用影响建议，作为设计变更造价控制上的依据和参考。定期评估工程成本控制情况及趋势，预估工程造价发生超概情况的可能性，并及时向建设方报告。</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工程变更测算与建议。对图纸以外工程特别是重要隐蔽工程的经济签证协同建设管理单位进行审核与监督，作相应的取证，并根据采购人的要求进行有关费用的测算。完成设计变更的成本价值效应分析（价值工程分析）。参与对工程造价影响较大及图纸以外或与设计不符部位的隐蔽项目的测算与审核。发生工程变更时，若需重新确定结算单价，先由施工单位申报，监理签证，建设管理单位审查后，再交审计组测算和审定。</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索赔工作。完成审查、评估承包商提出的索赔和索赔所需单据证明。及时处理索赔函件，提供反索赔建议。每周勘察现场，注意积累反索赔影像资料，根据经验主动地、有预见性的提醒采购人防范或保护可能发生的费用和工期索赔，尽力维护采购人的利益。</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完成无价材料、特种材料、新材料的询价和咨询工作。完成查询、分析、测算无价材料等的市场价格，了解采购渠道、技术前景等其他情况。</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协助投资控制和造价管理的建议。向采购人提供造价管理、经济法规方面的咨询服务。提供咨询的范围包括:工程量计量规则、计价办法、市场信息等方面的专业知识及涉及的法律法规，降低成本、加强管理的可行性方案和建设性意见。提供咨询的方式:一般的工程造价专业问题，可以口头或电话提供咨询:影响工程造价较大的问题或建议、方案等，在充分调研的基础上，以书面形式答复或提交采购人，为决策提供参考。</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在深化设计和二次设计过程中，配合多次测算，不断提供成本建议，使设计方案满足目标成本</w:t>
      </w:r>
    </w:p>
    <w:p>
      <w:pPr>
        <w:numPr>
          <w:ilvl w:val="0"/>
          <w:numId w:val="4"/>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协助做好与工程造价相关的对外衔接或谈判工作。在采购人就可能涉及工程造价相关的事宜进行对外衔接或谈判时，咨询服务人员应做好相关造价情况的分析和资料的准备等基础性工作，必要时相关咨询人员应参与现场的衔接或谈判工作。</w:t>
      </w:r>
    </w:p>
    <w:p>
      <w:pPr>
        <w:pStyle w:val="6"/>
        <w:spacing w:before="120" w:after="12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3.4工程结算初步审核服务内容及要求（包括但不限于）：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参加采购人主持召开的结算会议或谈判，根据采购人要求项目整体结算计划，提供专业意见。</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根据工程合同相应的建设工程法律、法规、标准规范与工程计价依据、招投标文件、施工图纸、现场发生的各项有效证明审核工程造价；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现场踏勘、计量复核；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工程量、工程要素价格及各类项目费用进行审核确定；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配合采购人进行法定审计及其他服务事项；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必须根据采购人要求在限定的时间内出具详细的书面审核意见，审核意见书上须有项目负责人、审核人员的签字并加盖单位公章；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对工程项目初审结果须以正式的书面报告向采购人详细通报，使采购人充分了解核减与核增的细项和原因，及有关不确定问题政策依据、处理态度以及建议；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中标人与施工单位对帐后，审核结果须向采购人书面说明，采购人有权进行复核；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采购人有权对审核结果提交第三方复核；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中标人应按照客观、独立、公正的原则实施审核工作，依法维护采购人的合法权益，不得收受施工单位等其他单位赠送的礼品及财物；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未经采购人同意不得向第三方透漏具体审核项目的内容，不得泄漏被审核单位（项目）的商业秘密；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根据采购人需要，提供工程类、货物类、服务类项目的结算初审服务，出具审核报告。 </w:t>
      </w:r>
    </w:p>
    <w:p>
      <w:pPr>
        <w:numPr>
          <w:ilvl w:val="0"/>
          <w:numId w:val="5"/>
        </w:numPr>
        <w:spacing w:line="360" w:lineRule="auto"/>
        <w:ind w:left="5" w:firstLine="415"/>
        <w:rPr>
          <w:rFonts w:ascii="仿宋" w:hAnsi="仿宋" w:eastAsia="仿宋" w:cs="仿宋"/>
          <w:color w:val="auto"/>
          <w:sz w:val="24"/>
          <w:highlight w:val="none"/>
        </w:rPr>
      </w:pPr>
      <w:r>
        <w:rPr>
          <w:rFonts w:hint="eastAsia" w:ascii="仿宋" w:hAnsi="仿宋" w:eastAsia="仿宋" w:cs="仿宋"/>
          <w:color w:val="auto"/>
          <w:sz w:val="24"/>
          <w:highlight w:val="none"/>
        </w:rPr>
        <w:t>完成采购人交办的与审核项目有关的其他审核服务工作.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3.5其他要求（包括但不限于）：</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按采购人要求定期参加工程例会，参加涉及合同价款变化的相关工程会议，参与其他工程技术经济问题审计与检查（如图纸会审、施工技术方案协调会等）。</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跟审过程中发现项目管理问题，应及时提出意见和建议。</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跟审单位应建立跟审台账，及时记载跟审时间、工作记实。</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跟审单位需向建设方递交跟审工作总结。</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跟审单位应配合采购人看苗、选苗、苗木到场抽查等相关工作。</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跟审单位需对施工单位上报的结算资料完整性，规范性进行检查。</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提供与造价控制相关的人工、材料、设备等造价信息和其他咨询服务。</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收集并向采购人提供国家、浙江省、杭州市有关工程造价的法律法规，及时通知采购人，对于可能影响项目造价的情况做出影响分析，向采购人预警。</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负责对发包人所有的支付文件进行审核，并书面提出付款审核建议；</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对本项目工程竣工后缺陷责任期、质保期内的整改方案的工程费用，提供评估咨询服务。</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各类文档按采购人要求进行纸质与电子版存档。</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负责工程款支付相关财务具体手续办理。</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负责编制及审核年度预算报表。合理测算月度、季度、年度财务资金需求量。</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负责编制及审核月度、季度、年度投资计划。实际投资与批准的计划投资动态比较，进行实时控制。</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负责编制概算动态分解实时数据并动态监测。</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负责按月报送投资额控制报告、工程款支付报告。</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负责编制季度、年度基建财务分析报告。</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负责开展的定期工程内控管理专项检查，每季度报送内控制度执行检查专报。</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负责审核合同价变更相关事宜。</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负责完成项目财务决算相关工作。</w:t>
      </w:r>
    </w:p>
    <w:p>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负责完成采购人交办的其他工作任务。</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22）</w:t>
      </w:r>
      <w:r>
        <w:rPr>
          <w:rFonts w:hint="eastAsia" w:ascii="仿宋" w:hAnsi="仿宋" w:eastAsia="仿宋" w:cs="仿宋"/>
          <w:color w:val="auto"/>
          <w:sz w:val="24"/>
          <w:highlight w:val="none"/>
        </w:rPr>
        <w:t>采购人</w:t>
      </w:r>
      <w:r>
        <w:rPr>
          <w:rFonts w:hint="eastAsia" w:ascii="仿宋" w:hAnsi="仿宋" w:eastAsia="仿宋" w:cs="仿宋"/>
          <w:b/>
          <w:bCs/>
          <w:color w:val="auto"/>
          <w:sz w:val="24"/>
          <w:highlight w:val="none"/>
        </w:rPr>
        <w:t>将对中标单位履行合同期间进行季度考核，包括但不限于项目负责人的到位率、驻场人员到位率等考核项，如不及格（及格分为60分），</w:t>
      </w:r>
      <w:r>
        <w:rPr>
          <w:rFonts w:hint="eastAsia" w:ascii="仿宋" w:hAnsi="仿宋" w:eastAsia="仿宋" w:cs="仿宋"/>
          <w:color w:val="auto"/>
          <w:sz w:val="24"/>
          <w:highlight w:val="none"/>
        </w:rPr>
        <w:t>采购人</w:t>
      </w:r>
      <w:r>
        <w:rPr>
          <w:rFonts w:hint="eastAsia" w:ascii="仿宋" w:hAnsi="仿宋" w:eastAsia="仿宋" w:cs="仿宋"/>
          <w:b/>
          <w:bCs/>
          <w:color w:val="auto"/>
          <w:sz w:val="24"/>
          <w:highlight w:val="none"/>
        </w:rPr>
        <w:t>有权单方面终止合同</w:t>
      </w:r>
      <w:r>
        <w:rPr>
          <w:rFonts w:hint="eastAsia" w:ascii="仿宋" w:hAnsi="仿宋" w:eastAsia="仿宋" w:cs="仿宋"/>
          <w:b/>
          <w:color w:val="auto"/>
          <w:sz w:val="24"/>
          <w:highlight w:val="none"/>
        </w:rPr>
        <w:t>或将剩余跟踪审计服务业务另行委托其他单位</w:t>
      </w:r>
      <w:r>
        <w:rPr>
          <w:rFonts w:hint="eastAsia" w:ascii="仿宋" w:hAnsi="仿宋" w:eastAsia="仿宋" w:cs="仿宋"/>
          <w:b/>
          <w:bCs/>
          <w:color w:val="auto"/>
          <w:sz w:val="24"/>
          <w:highlight w:val="none"/>
        </w:rPr>
        <w:t>。（详见附表：</w:t>
      </w:r>
      <w:r>
        <w:rPr>
          <w:rFonts w:hint="eastAsia" w:ascii="仿宋" w:hAnsi="仿宋" w:eastAsia="仿宋" w:cs="仿宋"/>
          <w:b/>
          <w:color w:val="auto"/>
          <w:sz w:val="24"/>
          <w:highlight w:val="none"/>
        </w:rPr>
        <w:t>全过程跟踪审计服务考核评价表</w:t>
      </w:r>
      <w:r>
        <w:rPr>
          <w:rFonts w:hint="eastAsia" w:ascii="仿宋" w:hAnsi="仿宋" w:eastAsia="仿宋" w:cs="仿宋"/>
          <w:b/>
          <w:bCs/>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中标人提交的正式成果文件须严格执行三级审核制度（自审、互审、项目负责人审核），纸质成果文件均须三级审核人签名（或执业章）并加盖公章。如采购人要求需提供纸质计算底稿的，必须条理清楚、步骤清晰，有较强的可复查性。若中标人成果不可复查，中标人有义务随时到场配合采购人的核对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24)服务误差率：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w:t>
      </w:r>
      <w:r>
        <w:rPr>
          <w:rFonts w:hint="eastAsia" w:ascii="仿宋" w:hAnsi="仿宋" w:eastAsia="仿宋" w:cs="仿宋"/>
          <w:color w:val="auto"/>
          <w:sz w:val="24"/>
          <w:highlight w:val="none"/>
          <w:lang w:eastAsia="zh-Hans"/>
        </w:rPr>
        <w:t>应根据</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Hans"/>
        </w:rPr>
        <w:t>要求的期限、标准交付工作成果，工作成果应以书面或其他</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Hans"/>
        </w:rPr>
        <w:t>认可的方式进行提交。</w:t>
      </w:r>
      <w:r>
        <w:rPr>
          <w:rFonts w:hint="eastAsia" w:ascii="仿宋" w:hAnsi="仿宋" w:eastAsia="仿宋" w:cs="仿宋"/>
          <w:color w:val="auto"/>
          <w:sz w:val="24"/>
          <w:highlight w:val="none"/>
        </w:rPr>
        <w:t>由于中标人原因，中标人提供的成果文件中出现错误（单位、工程量等错误）、错项（包括但不限于缺项、多项等）、重复（包括但不限于界面范围内重复、与界面范围外重复）等问题影响造价，中标人应对以上咨询成果文件予以修改、纠正，因之给采购人造成损失的，还应赔偿相应损失。</w:t>
      </w:r>
    </w:p>
    <w:p>
      <w:pPr>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各项目结算终审价与结算初审价相比误差率达到±5%-±7%的，扣除合同总金额的1％；</w:t>
      </w:r>
    </w:p>
    <w:p>
      <w:pPr>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各项目结算终审价与结算初审价相比误差率达到±7%-±10%的，扣除合同总金额的2％；</w:t>
      </w:r>
    </w:p>
    <w:p>
      <w:pPr>
        <w:spacing w:line="36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各项目结算终审价与结算初审价相比误差率达到±10％及以上的，扣除合同总金额的10％。</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3.6人员要求：</w:t>
      </w:r>
    </w:p>
    <w:p>
      <w:pPr>
        <w:numPr>
          <w:ilvl w:val="0"/>
          <w:numId w:val="7"/>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拟派全过程跟踪审计服务项目负责人</w:t>
      </w:r>
    </w:p>
    <w:p>
      <w:pPr>
        <w:numPr>
          <w:ilvl w:val="0"/>
          <w:numId w:val="8"/>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拟派项目负责人需具有</w:t>
      </w:r>
      <w:r>
        <w:rPr>
          <w:rFonts w:hint="eastAsia" w:ascii="仿宋" w:hAnsi="仿宋" w:eastAsia="仿宋" w:cs="仿宋"/>
          <w:bCs/>
          <w:color w:val="auto"/>
          <w:sz w:val="24"/>
          <w:highlight w:val="none"/>
        </w:rPr>
        <w:t>全国一级注册造价工程师或原注册造价师（土木建筑工程或安装工程）注册证书。</w:t>
      </w:r>
    </w:p>
    <w:p>
      <w:pPr>
        <w:numPr>
          <w:ilvl w:val="0"/>
          <w:numId w:val="8"/>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拟派项目负责人需从事造价咨询专业工作10年（含）以上，有类似项目的造价咨询经验。</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2)拟派项目组成员：</w:t>
      </w:r>
    </w:p>
    <w:p>
      <w:pPr>
        <w:numPr>
          <w:ilvl w:val="0"/>
          <w:numId w:val="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总人数不少于6人（含项目负责人），均为投标人正式全职员工。其中房建专业造价人员不少于2人、市政专业造价人员不少于1人、景观专业造价人员不少于1人、安装专业造价人员不少于2人。</w:t>
      </w:r>
    </w:p>
    <w:p>
      <w:pPr>
        <w:numPr>
          <w:ilvl w:val="0"/>
          <w:numId w:val="9"/>
        </w:numPr>
        <w:spacing w:line="360" w:lineRule="auto"/>
        <w:rPr>
          <w:color w:val="auto"/>
          <w:highlight w:val="none"/>
        </w:rPr>
      </w:pPr>
      <w:r>
        <w:rPr>
          <w:rFonts w:hint="eastAsia" w:ascii="仿宋" w:hAnsi="仿宋" w:eastAsia="仿宋" w:cs="仿宋"/>
          <w:color w:val="auto"/>
          <w:sz w:val="24"/>
          <w:highlight w:val="none"/>
        </w:rPr>
        <w:t>各专业负责人需具有</w:t>
      </w:r>
      <w:r>
        <w:rPr>
          <w:rFonts w:hint="eastAsia" w:ascii="仿宋" w:hAnsi="仿宋" w:eastAsia="仿宋" w:cs="仿宋"/>
          <w:bCs/>
          <w:color w:val="auto"/>
          <w:sz w:val="24"/>
          <w:highlight w:val="none"/>
        </w:rPr>
        <w:t>全国一级注册造价工程师或原注册造价师（土木建筑工程或安装工程）注册证书，</w:t>
      </w:r>
      <w:r>
        <w:rPr>
          <w:rFonts w:hint="eastAsia" w:ascii="仿宋" w:hAnsi="仿宋" w:eastAsia="仿宋" w:cs="仿宋"/>
          <w:color w:val="auto"/>
          <w:sz w:val="24"/>
          <w:highlight w:val="none"/>
        </w:rPr>
        <w:t>从事造价咨询专业工作5年（含）以上，有类似项目的造价咨询经验；</w:t>
      </w:r>
    </w:p>
    <w:p>
      <w:pPr>
        <w:numPr>
          <w:ilvl w:val="0"/>
          <w:numId w:val="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项目组成员中</w:t>
      </w:r>
      <w:r>
        <w:rPr>
          <w:rFonts w:hint="eastAsia" w:ascii="仿宋" w:hAnsi="仿宋" w:eastAsia="仿宋" w:cs="仿宋"/>
          <w:bCs/>
          <w:color w:val="auto"/>
          <w:sz w:val="24"/>
          <w:highlight w:val="none"/>
        </w:rPr>
        <w:t>全国一级注册造价工程师或原注册造价师（土木建筑工程或安装工程）</w:t>
      </w:r>
      <w:r>
        <w:rPr>
          <w:rFonts w:hint="eastAsia" w:ascii="仿宋" w:hAnsi="仿宋" w:eastAsia="仿宋" w:cs="仿宋"/>
          <w:color w:val="auto"/>
          <w:sz w:val="24"/>
          <w:highlight w:val="none"/>
        </w:rPr>
        <w:t>不少于拟派项目班子总人数的50%。项目组成员均需从事造价咨询专业工作3年（含）以上，有类似项目的造价咨询经验；</w:t>
      </w:r>
    </w:p>
    <w:p>
      <w:pPr>
        <w:numPr>
          <w:ilvl w:val="0"/>
          <w:numId w:val="9"/>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项目组人员专业及数量需无条件满足工程的进度及采购人的要求。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3)接到采购人下达的委托审核任务书后，要及时组织有关专业人员对项目情况进行了解，在7个工作日内制定造价咨询服务方案，成立项目管理小组，项目管理小组各专业负责人必须投标名单之列且具有</w:t>
      </w:r>
      <w:r>
        <w:rPr>
          <w:rFonts w:hint="eastAsia" w:ascii="仿宋" w:hAnsi="仿宋" w:eastAsia="仿宋" w:cs="仿宋"/>
          <w:bCs/>
          <w:color w:val="auto"/>
          <w:sz w:val="24"/>
          <w:highlight w:val="none"/>
        </w:rPr>
        <w:t>全国一级注册造价工程师或原注册造价师（土木建筑工程或安装工程）注册证书</w:t>
      </w:r>
      <w:r>
        <w:rPr>
          <w:rFonts w:hint="eastAsia" w:ascii="仿宋" w:hAnsi="仿宋" w:eastAsia="仿宋" w:cs="仿宋"/>
          <w:color w:val="auto"/>
          <w:sz w:val="24"/>
          <w:highlight w:val="none"/>
        </w:rPr>
        <w:t>（未经采购人同意项目负责人、各专业负责人不得变更）。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项目管理小组人员一旦确定，项目负责人、各专业负责人不得变更（除不可抗力外）。因项目特殊情况确需更换项目负责人、各专业负责人时，须事先征得采购人书面同意。采购人有权根据考核结果，要求中标单位更换考核后不符合要求的技术人员，中标单位不得拒绝。中标后所有采购人委托的评审业务均由项目负责人联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5)甲方临时通知会议的，咨询单位应在接到甲方通知后3小时内赶到甲方指定地点并参与会议。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项目负责人按采购人要求参加项目会议，并对存在或出现的问题出具审计建议或意见。此外每周到现场审计不少于一天（国家法定节假日除外），及时处理项目约定范围内服务内容，若出现重大情况需在接到甲方通知后3小时内到达指定地点（含节假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项目负责人需参与重要工作，如工程设计变更、工程量变更、隐蔽工程等，对异常情况提出审计风险提醒并出具审计建议书；对每次工程款的支付进行审核，并作签字确认；按要求做好对项目流程的控制及驻场人员的指挥；加强对项目驻场人员的管理和指导，保证驻场人员发挥其应有的工作质量和效率；做好其他工程验收过程中的审计工作；对施工方案提出合理审计意见；参与图纸设计会审或讨论，并出具审计建议书；参与对施工单位上报预算的审核，并出具审计建议书；对施工现场技术交点提出合理审计意见；对重大或特殊工程物资进场做好验货、清点等工作；完成采购人提出的合同范围内的其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中标人需无条件按照采购人要求安排驻场人员，驻场人数和专业必须满足现场正常咨询工作需要。其中项目开工至项目竣工财务决算批复完成，期间驻场人数不少于1人，驻场时间及地点按采购人要求。驻场人员须为中标人在职员工，具有三年以上造价咨询专业工作经验，同时具有注册在供应商单位的、有效的二级或以上造价工程师注册证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驻场人员须做好每日现场监督（跟踪审计）工作，及时做好工作日志，并按时向采购人递交驻场工作周记、月报、季报和年报等相关资料；及时做好隐蔽工程施工前、中、后的文字及电子影像记录工作；对普通工程物资进场做好验货、清点等工作；及时做好与项目负责人的请示汇报工作，完成项目负责人布置的任务；如遇紧急、特殊或异常情况，及时做好与项目负责人等多方的通知、汇报和沟通工作；完成采购人提出的合同范围内的其他要求；</w:t>
      </w:r>
    </w:p>
    <w:p>
      <w:pPr>
        <w:pStyle w:val="6"/>
        <w:spacing w:line="360" w:lineRule="auto"/>
        <w:ind w:firstLine="482" w:firstLineChars="200"/>
        <w:rPr>
          <w:rFonts w:ascii="仿宋" w:hAnsi="仿宋" w:eastAsia="仿宋" w:cs="仿宋"/>
          <w:b/>
          <w:color w:val="auto"/>
          <w:sz w:val="24"/>
          <w:szCs w:val="24"/>
          <w:highlight w:val="none"/>
        </w:rPr>
      </w:pPr>
      <w:bookmarkStart w:id="27" w:name="_Toc335055621"/>
      <w:bookmarkStart w:id="28" w:name="_Toc335055714"/>
      <w:bookmarkStart w:id="29" w:name="_Toc335058261"/>
      <w:r>
        <w:rPr>
          <w:rFonts w:hint="eastAsia" w:ascii="仿宋" w:hAnsi="仿宋" w:eastAsia="仿宋" w:cs="仿宋"/>
          <w:b/>
          <w:color w:val="auto"/>
          <w:sz w:val="24"/>
          <w:szCs w:val="24"/>
          <w:highlight w:val="none"/>
        </w:rPr>
        <w:t>4、项目咨询时限</w:t>
      </w:r>
    </w:p>
    <w:p>
      <w:pPr>
        <w:pStyle w:val="6"/>
        <w:spacing w:line="360" w:lineRule="auto"/>
        <w:ind w:firstLine="482" w:firstLineChars="20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项目咨询时限要求</w:t>
      </w:r>
    </w:p>
    <w:tbl>
      <w:tblPr>
        <w:tblStyle w:val="62"/>
        <w:tblW w:w="810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2417"/>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1" w:type="dxa"/>
            <w:gridSpan w:val="2"/>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项目分类</w:t>
            </w:r>
          </w:p>
        </w:tc>
        <w:tc>
          <w:tcPr>
            <w:tcW w:w="3392" w:type="dxa"/>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出具正式评审报告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1" w:type="dxa"/>
            <w:gridSpan w:val="2"/>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预算（含清单及控制价）</w:t>
            </w:r>
            <w:r>
              <w:rPr>
                <w:rFonts w:hint="eastAsia" w:ascii="仿宋" w:hAnsi="仿宋" w:eastAsia="仿宋" w:cs="仿宋"/>
                <w:color w:val="auto"/>
                <w:kern w:val="0"/>
                <w:sz w:val="24"/>
                <w:highlight w:val="none"/>
              </w:rPr>
              <w:t>编制及</w:t>
            </w:r>
            <w:r>
              <w:rPr>
                <w:rFonts w:hint="eastAsia" w:ascii="仿宋" w:hAnsi="仿宋" w:eastAsia="仿宋" w:cs="仿宋"/>
                <w:color w:val="auto"/>
                <w:sz w:val="24"/>
                <w:highlight w:val="none"/>
              </w:rPr>
              <w:t>审核</w:t>
            </w:r>
          </w:p>
        </w:tc>
        <w:tc>
          <w:tcPr>
            <w:tcW w:w="339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1" w:type="dxa"/>
            <w:gridSpan w:val="2"/>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进度款审核</w:t>
            </w:r>
          </w:p>
        </w:tc>
        <w:tc>
          <w:tcPr>
            <w:tcW w:w="339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4" w:type="dxa"/>
            <w:vMerge w:val="restart"/>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变更审核</w:t>
            </w:r>
          </w:p>
        </w:tc>
        <w:tc>
          <w:tcPr>
            <w:tcW w:w="24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一般变更</w:t>
            </w:r>
          </w:p>
        </w:tc>
        <w:tc>
          <w:tcPr>
            <w:tcW w:w="339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4" w:type="dxa"/>
            <w:vMerge w:val="continue"/>
            <w:vAlign w:val="center"/>
          </w:tcPr>
          <w:p>
            <w:pPr>
              <w:jc w:val="center"/>
              <w:rPr>
                <w:rFonts w:ascii="仿宋" w:hAnsi="仿宋" w:eastAsia="仿宋" w:cs="仿宋"/>
                <w:color w:val="auto"/>
                <w:sz w:val="24"/>
                <w:highlight w:val="none"/>
              </w:rPr>
            </w:pPr>
          </w:p>
        </w:tc>
        <w:tc>
          <w:tcPr>
            <w:tcW w:w="24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较大变更</w:t>
            </w:r>
          </w:p>
        </w:tc>
        <w:tc>
          <w:tcPr>
            <w:tcW w:w="339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4" w:type="dxa"/>
            <w:vMerge w:val="continue"/>
            <w:vAlign w:val="center"/>
          </w:tcPr>
          <w:p>
            <w:pPr>
              <w:jc w:val="center"/>
              <w:rPr>
                <w:rFonts w:ascii="仿宋" w:hAnsi="仿宋" w:eastAsia="仿宋" w:cs="仿宋"/>
                <w:color w:val="auto"/>
                <w:sz w:val="24"/>
                <w:highlight w:val="none"/>
              </w:rPr>
            </w:pPr>
          </w:p>
        </w:tc>
        <w:tc>
          <w:tcPr>
            <w:tcW w:w="241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重大变更</w:t>
            </w:r>
          </w:p>
        </w:tc>
        <w:tc>
          <w:tcPr>
            <w:tcW w:w="3392"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7个工作日</w:t>
            </w:r>
          </w:p>
        </w:tc>
      </w:tr>
    </w:tbl>
    <w:p>
      <w:pPr>
        <w:spacing w:line="360" w:lineRule="auto"/>
        <w:ind w:firstLine="542"/>
        <w:rPr>
          <w:rFonts w:ascii="仿宋" w:hAnsi="仿宋" w:eastAsia="仿宋" w:cs="仿宋"/>
          <w:b/>
          <w:color w:val="auto"/>
          <w:sz w:val="24"/>
          <w:highlight w:val="none"/>
        </w:rPr>
      </w:pP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5、付款方式</w:t>
      </w:r>
    </w:p>
    <w:bookmarkEnd w:id="27"/>
    <w:bookmarkEnd w:id="28"/>
    <w:bookmarkEnd w:id="29"/>
    <w:p>
      <w:pPr>
        <w:numPr>
          <w:ilvl w:val="0"/>
          <w:numId w:val="10"/>
        </w:numPr>
        <w:spacing w:line="360" w:lineRule="auto"/>
        <w:ind w:right="17" w:rightChars="8"/>
        <w:rPr>
          <w:rFonts w:ascii="仿宋" w:hAnsi="仿宋" w:eastAsia="仿宋" w:cs="仿宋"/>
          <w:color w:val="auto"/>
          <w:sz w:val="24"/>
          <w:highlight w:val="none"/>
        </w:rPr>
      </w:pPr>
      <w:r>
        <w:rPr>
          <w:rFonts w:hint="eastAsia" w:ascii="仿宋" w:hAnsi="仿宋" w:eastAsia="仿宋" w:cs="仿宋"/>
          <w:color w:val="auto"/>
          <w:sz w:val="24"/>
          <w:highlight w:val="none"/>
        </w:rPr>
        <w:t>签订合同之日起30日历天内支付合同总额20%的预付款；</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完成施工总承包合同签订后，支付至合同总额的30%；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所有建筑单体完成至正负00后，支付至合同总额的40%；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所有建筑单体主体结顶并通过中间验收后，支付至合同总额的50%；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所有建筑单体精装修施工工程量完成50%后（以施工单位实际投资额为准），支付至合同总额的60%；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所有建筑单体精装修施工完成后，支付至合同总额的70%；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整体工程竣工验收合格后，支付至合同总额的80%；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完成竣工结算初审并送出，支付至合同总额的90%；</w:t>
      </w:r>
    </w:p>
    <w:p>
      <w:pPr>
        <w:numPr>
          <w:ilvl w:val="0"/>
          <w:numId w:val="1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整体工程竣工结算审计完成，提交咨询报告并完成归档后，</w:t>
      </w:r>
      <w:r>
        <w:rPr>
          <w:rFonts w:hint="eastAsia" w:ascii="仿宋" w:hAnsi="仿宋" w:eastAsia="仿宋" w:cs="仿宋"/>
          <w:snapToGrid w:val="0"/>
          <w:color w:val="auto"/>
          <w:kern w:val="0"/>
          <w:sz w:val="24"/>
          <w:highlight w:val="none"/>
        </w:rPr>
        <w:t>支付至合同总额的9</w:t>
      </w:r>
      <w:r>
        <w:rPr>
          <w:rFonts w:ascii="仿宋" w:hAnsi="仿宋" w:eastAsia="仿宋" w:cs="仿宋"/>
          <w:snapToGrid w:val="0"/>
          <w:color w:val="auto"/>
          <w:kern w:val="0"/>
          <w:sz w:val="24"/>
          <w:highlight w:val="none"/>
        </w:rPr>
        <w:t>9</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w:t>
      </w:r>
    </w:p>
    <w:p>
      <w:pPr>
        <w:numPr>
          <w:ilvl w:val="0"/>
          <w:numId w:val="10"/>
        </w:numPr>
        <w:spacing w:line="360" w:lineRule="auto"/>
        <w:ind w:left="640" w:hanging="220"/>
        <w:rPr>
          <w:rFonts w:ascii="仿宋" w:hAnsi="仿宋" w:eastAsia="仿宋" w:cs="仿宋"/>
          <w:color w:val="auto"/>
          <w:sz w:val="24"/>
          <w:highlight w:val="none"/>
        </w:rPr>
      </w:pPr>
      <w:r>
        <w:rPr>
          <w:rFonts w:hint="eastAsia" w:ascii="仿宋" w:hAnsi="仿宋" w:eastAsia="仿宋" w:cs="仿宋"/>
          <w:color w:val="auto"/>
          <w:sz w:val="24"/>
          <w:highlight w:val="none"/>
        </w:rPr>
        <w:t>项目竣工财务决算报告上报财政部门后，余款结清。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提供履约保证金的形式：合同协议书签署前7天提交履约保证金（如为保函，仅限于国有单位出具的保函），履约保证金为合同价的2.5%。履约保证金有效期自履约保证金交纳之日起至合同服务期结束后28天内有效。在此有效期截止日后14天内此履约保证金（如有剩余）退还给中标人。</w:t>
      </w:r>
    </w:p>
    <w:p>
      <w:pPr>
        <w:spacing w:line="360" w:lineRule="auto"/>
        <w:ind w:right="17" w:rightChars="8"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采购人付款前，中标人须按采购人要求提供相应金额的增值税发票，否则采购人有权拒绝付款且不承担任何责任（包括但不限于延期付款的责任），开票错误的责任由中标人承担。</w:t>
      </w:r>
    </w:p>
    <w:p>
      <w:pPr>
        <w:pStyle w:val="6"/>
        <w:rPr>
          <w:rFonts w:ascii="仿宋" w:hAnsi="仿宋" w:eastAsia="仿宋" w:cs="仿宋"/>
          <w:color w:val="auto"/>
          <w:kern w:val="0"/>
          <w:sz w:val="24"/>
          <w:highlight w:val="none"/>
        </w:rPr>
      </w:pPr>
    </w:p>
    <w:p>
      <w:pPr>
        <w:pStyle w:val="6"/>
        <w:rPr>
          <w:rFonts w:ascii="仿宋" w:hAnsi="仿宋" w:eastAsia="仿宋" w:cs="仿宋"/>
          <w:color w:val="auto"/>
          <w:kern w:val="0"/>
          <w:sz w:val="24"/>
          <w:highlight w:val="none"/>
        </w:rPr>
      </w:pPr>
    </w:p>
    <w:p>
      <w:pPr>
        <w:pStyle w:val="6"/>
        <w:rPr>
          <w:rFonts w:ascii="仿宋" w:hAnsi="仿宋" w:eastAsia="仿宋" w:cs="仿宋"/>
          <w:color w:val="auto"/>
          <w:kern w:val="0"/>
          <w:sz w:val="24"/>
          <w:highlight w:val="none"/>
        </w:rPr>
      </w:pPr>
    </w:p>
    <w:p>
      <w:pPr>
        <w:pStyle w:val="6"/>
        <w:rPr>
          <w:rFonts w:ascii="仿宋" w:hAnsi="仿宋" w:eastAsia="仿宋" w:cs="仿宋"/>
          <w:color w:val="auto"/>
          <w:kern w:val="0"/>
          <w:sz w:val="24"/>
          <w:highlight w:val="none"/>
        </w:rPr>
      </w:pPr>
    </w:p>
    <w:p>
      <w:pPr>
        <w:pStyle w:val="6"/>
        <w:rPr>
          <w:rFonts w:ascii="仿宋" w:hAnsi="仿宋" w:eastAsia="仿宋" w:cs="仿宋"/>
          <w:color w:val="auto"/>
          <w:kern w:val="0"/>
          <w:sz w:val="24"/>
          <w:highlight w:val="none"/>
        </w:rPr>
      </w:pPr>
    </w:p>
    <w:p>
      <w:pPr>
        <w:pStyle w:val="6"/>
        <w:rPr>
          <w:rFonts w:ascii="仿宋" w:hAnsi="仿宋" w:eastAsia="仿宋" w:cs="仿宋"/>
          <w:color w:val="auto"/>
          <w:kern w:val="0"/>
          <w:sz w:val="24"/>
          <w:highlight w:val="none"/>
        </w:rPr>
      </w:pPr>
    </w:p>
    <w:p>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4437"/>
      <w:bookmarkEnd w:id="30"/>
      <w:bookmarkStart w:id="31" w:name="_Toc184314416"/>
      <w:bookmarkEnd w:id="31"/>
      <w:bookmarkStart w:id="32" w:name="_Toc184314445"/>
      <w:bookmarkEnd w:id="32"/>
      <w:bookmarkStart w:id="33" w:name="_Toc184314413"/>
      <w:bookmarkEnd w:id="33"/>
      <w:bookmarkStart w:id="34" w:name="_Toc184308052"/>
      <w:bookmarkEnd w:id="34"/>
      <w:bookmarkStart w:id="35" w:name="_Toc184314474"/>
      <w:bookmarkEnd w:id="35"/>
      <w:bookmarkStart w:id="36" w:name="_Toc184308042"/>
      <w:bookmarkEnd w:id="36"/>
      <w:bookmarkStart w:id="37" w:name="_Toc184313283"/>
      <w:bookmarkEnd w:id="37"/>
      <w:bookmarkStart w:id="38" w:name="_Toc184314478"/>
      <w:bookmarkEnd w:id="38"/>
      <w:bookmarkStart w:id="39" w:name="_Toc184313303"/>
      <w:bookmarkEnd w:id="39"/>
      <w:bookmarkStart w:id="40" w:name="_Toc184314448"/>
      <w:bookmarkEnd w:id="40"/>
      <w:bookmarkStart w:id="41" w:name="_Toc184308066"/>
      <w:bookmarkEnd w:id="41"/>
      <w:bookmarkStart w:id="42" w:name="_Toc184308105"/>
      <w:bookmarkEnd w:id="42"/>
      <w:bookmarkStart w:id="43" w:name="_Toc184310321"/>
      <w:bookmarkEnd w:id="43"/>
      <w:bookmarkStart w:id="44" w:name="_Toc184308075"/>
      <w:bookmarkEnd w:id="44"/>
      <w:bookmarkStart w:id="45" w:name="_Toc184310315"/>
      <w:bookmarkEnd w:id="45"/>
      <w:bookmarkStart w:id="46" w:name="_Toc184312109"/>
      <w:bookmarkEnd w:id="46"/>
      <w:bookmarkStart w:id="47" w:name="_Toc184308091"/>
      <w:bookmarkEnd w:id="47"/>
      <w:bookmarkStart w:id="48" w:name="_Toc184313269"/>
      <w:bookmarkEnd w:id="48"/>
      <w:bookmarkStart w:id="49" w:name="_Toc184312107"/>
      <w:bookmarkEnd w:id="49"/>
      <w:bookmarkStart w:id="50" w:name="_Toc184313305"/>
      <w:bookmarkEnd w:id="50"/>
      <w:bookmarkStart w:id="51" w:name="_Toc184310311"/>
      <w:bookmarkEnd w:id="51"/>
      <w:bookmarkStart w:id="52" w:name="_Toc184313309"/>
      <w:bookmarkEnd w:id="52"/>
      <w:bookmarkStart w:id="53" w:name="_Toc184310338"/>
      <w:bookmarkEnd w:id="53"/>
      <w:bookmarkStart w:id="54" w:name="_Toc184312097"/>
      <w:bookmarkEnd w:id="54"/>
      <w:bookmarkStart w:id="55" w:name="_Toc184310314"/>
      <w:bookmarkEnd w:id="55"/>
      <w:bookmarkStart w:id="56" w:name="_Toc184308062"/>
      <w:bookmarkEnd w:id="56"/>
      <w:bookmarkStart w:id="57" w:name="_Toc184308080"/>
      <w:bookmarkEnd w:id="57"/>
      <w:bookmarkStart w:id="58" w:name="_Toc184314457"/>
      <w:bookmarkEnd w:id="58"/>
      <w:bookmarkStart w:id="59" w:name="_Toc184310316"/>
      <w:bookmarkEnd w:id="59"/>
      <w:bookmarkStart w:id="60" w:name="_Toc184312119"/>
      <w:bookmarkEnd w:id="60"/>
      <w:bookmarkStart w:id="61" w:name="_Toc184308081"/>
      <w:bookmarkEnd w:id="61"/>
      <w:bookmarkStart w:id="62" w:name="_Toc184308048"/>
      <w:bookmarkEnd w:id="62"/>
      <w:bookmarkStart w:id="63" w:name="_Toc184310323"/>
      <w:bookmarkEnd w:id="63"/>
      <w:bookmarkStart w:id="64" w:name="_Toc184313265"/>
      <w:bookmarkEnd w:id="64"/>
      <w:bookmarkStart w:id="65" w:name="_Toc184308036"/>
      <w:bookmarkEnd w:id="65"/>
      <w:bookmarkStart w:id="66" w:name="_Toc184314446"/>
      <w:bookmarkEnd w:id="66"/>
      <w:bookmarkStart w:id="67" w:name="_Toc184314426"/>
      <w:bookmarkEnd w:id="67"/>
      <w:bookmarkStart w:id="68" w:name="_Toc184313270"/>
      <w:bookmarkEnd w:id="68"/>
      <w:bookmarkStart w:id="69" w:name="_Toc184314481"/>
      <w:bookmarkEnd w:id="69"/>
      <w:bookmarkStart w:id="70" w:name="_Toc184313259"/>
      <w:bookmarkEnd w:id="70"/>
      <w:bookmarkStart w:id="71" w:name="_Toc184310317"/>
      <w:bookmarkEnd w:id="71"/>
      <w:bookmarkStart w:id="72" w:name="_Toc184313256"/>
      <w:bookmarkEnd w:id="72"/>
      <w:bookmarkStart w:id="73" w:name="_Toc184314432"/>
      <w:bookmarkEnd w:id="73"/>
      <w:bookmarkStart w:id="74" w:name="_Toc184310272"/>
      <w:bookmarkEnd w:id="74"/>
      <w:bookmarkStart w:id="75" w:name="_Toc184308092"/>
      <w:bookmarkEnd w:id="75"/>
      <w:bookmarkStart w:id="76" w:name="_Toc184314475"/>
      <w:bookmarkEnd w:id="76"/>
      <w:bookmarkStart w:id="77" w:name="_Toc184312072"/>
      <w:bookmarkEnd w:id="77"/>
      <w:bookmarkStart w:id="78" w:name="_Toc184310330"/>
      <w:bookmarkEnd w:id="78"/>
      <w:bookmarkStart w:id="79" w:name="_Toc184314419"/>
      <w:bookmarkEnd w:id="79"/>
      <w:bookmarkStart w:id="80" w:name="_Toc184313251"/>
      <w:bookmarkEnd w:id="80"/>
      <w:bookmarkStart w:id="81" w:name="_Toc184312096"/>
      <w:bookmarkEnd w:id="81"/>
      <w:bookmarkStart w:id="82" w:name="_Toc184310289"/>
      <w:bookmarkEnd w:id="82"/>
      <w:bookmarkStart w:id="83" w:name="_Toc184313280"/>
      <w:bookmarkEnd w:id="83"/>
      <w:bookmarkStart w:id="84" w:name="_Toc184314425"/>
      <w:bookmarkEnd w:id="84"/>
      <w:bookmarkStart w:id="85" w:name="_Toc184314414"/>
      <w:bookmarkEnd w:id="85"/>
      <w:bookmarkStart w:id="86" w:name="_Toc184310274"/>
      <w:bookmarkEnd w:id="86"/>
      <w:bookmarkStart w:id="87" w:name="_Toc184310288"/>
      <w:bookmarkEnd w:id="87"/>
      <w:bookmarkStart w:id="88" w:name="_Toc184313292"/>
      <w:bookmarkEnd w:id="88"/>
      <w:bookmarkStart w:id="89" w:name="_Toc184310279"/>
      <w:bookmarkEnd w:id="89"/>
      <w:bookmarkStart w:id="90" w:name="_Toc184313277"/>
      <w:bookmarkEnd w:id="90"/>
      <w:bookmarkStart w:id="91" w:name="_Toc184314438"/>
      <w:bookmarkEnd w:id="91"/>
      <w:bookmarkStart w:id="92" w:name="_Toc184308041"/>
      <w:bookmarkEnd w:id="92"/>
      <w:bookmarkStart w:id="93" w:name="_Toc184310290"/>
      <w:bookmarkEnd w:id="93"/>
      <w:bookmarkStart w:id="94" w:name="_Toc184310320"/>
      <w:bookmarkEnd w:id="94"/>
      <w:bookmarkStart w:id="95" w:name="_Toc184310304"/>
      <w:bookmarkEnd w:id="95"/>
      <w:bookmarkStart w:id="96" w:name="_Toc184313252"/>
      <w:bookmarkEnd w:id="96"/>
      <w:bookmarkStart w:id="97" w:name="_Toc184312138"/>
      <w:bookmarkEnd w:id="97"/>
      <w:bookmarkStart w:id="98" w:name="_Toc184310325"/>
      <w:bookmarkEnd w:id="98"/>
      <w:bookmarkStart w:id="99" w:name="_Toc184312139"/>
      <w:bookmarkEnd w:id="99"/>
      <w:bookmarkStart w:id="100" w:name="_Toc184314480"/>
      <w:bookmarkEnd w:id="100"/>
      <w:bookmarkStart w:id="101" w:name="_Toc184312099"/>
      <w:bookmarkEnd w:id="101"/>
      <w:bookmarkStart w:id="102" w:name="_Toc184312103"/>
      <w:bookmarkEnd w:id="102"/>
      <w:bookmarkStart w:id="103" w:name="_Toc184313238"/>
      <w:bookmarkEnd w:id="103"/>
      <w:bookmarkStart w:id="104" w:name="_Toc184308037"/>
      <w:bookmarkEnd w:id="104"/>
      <w:bookmarkStart w:id="105" w:name="_Toc184312111"/>
      <w:bookmarkEnd w:id="105"/>
      <w:bookmarkStart w:id="106" w:name="_Toc184312074"/>
      <w:bookmarkEnd w:id="106"/>
      <w:bookmarkStart w:id="107" w:name="_Toc184312088"/>
      <w:bookmarkEnd w:id="107"/>
      <w:bookmarkStart w:id="108" w:name="_Toc184313273"/>
      <w:bookmarkEnd w:id="108"/>
      <w:bookmarkStart w:id="109" w:name="_Toc184314472"/>
      <w:bookmarkEnd w:id="109"/>
      <w:bookmarkStart w:id="110" w:name="_Toc184308070"/>
      <w:bookmarkEnd w:id="110"/>
      <w:bookmarkStart w:id="111" w:name="_Toc184312089"/>
      <w:bookmarkEnd w:id="111"/>
      <w:bookmarkStart w:id="112" w:name="_Toc184310309"/>
      <w:bookmarkEnd w:id="112"/>
      <w:bookmarkStart w:id="113" w:name="_Toc184308077"/>
      <w:bookmarkEnd w:id="113"/>
      <w:bookmarkStart w:id="114" w:name="_Toc184314452"/>
      <w:bookmarkEnd w:id="114"/>
      <w:bookmarkStart w:id="115" w:name="_Toc184313278"/>
      <w:bookmarkEnd w:id="115"/>
      <w:bookmarkStart w:id="116" w:name="_Toc184308054"/>
      <w:bookmarkEnd w:id="116"/>
      <w:bookmarkStart w:id="117" w:name="_Toc184308049"/>
      <w:bookmarkEnd w:id="117"/>
      <w:bookmarkStart w:id="118" w:name="_Toc184308044"/>
      <w:bookmarkEnd w:id="118"/>
      <w:bookmarkStart w:id="119" w:name="_Toc184312079"/>
      <w:bookmarkEnd w:id="119"/>
      <w:bookmarkStart w:id="120" w:name="_Toc184310343"/>
      <w:bookmarkEnd w:id="120"/>
      <w:bookmarkStart w:id="121" w:name="_Toc184313274"/>
      <w:bookmarkEnd w:id="121"/>
      <w:bookmarkStart w:id="122" w:name="_Toc184312095"/>
      <w:bookmarkEnd w:id="122"/>
      <w:bookmarkStart w:id="123" w:name="_Toc184308046"/>
      <w:bookmarkEnd w:id="123"/>
      <w:bookmarkStart w:id="124" w:name="_Toc184312129"/>
      <w:bookmarkEnd w:id="124"/>
      <w:bookmarkStart w:id="125" w:name="_Toc184313260"/>
      <w:bookmarkEnd w:id="125"/>
      <w:bookmarkStart w:id="126" w:name="_Toc184312122"/>
      <w:bookmarkEnd w:id="126"/>
      <w:bookmarkStart w:id="127" w:name="_Toc184310335"/>
      <w:bookmarkEnd w:id="127"/>
      <w:bookmarkStart w:id="128" w:name="_Toc184314429"/>
      <w:bookmarkEnd w:id="128"/>
      <w:bookmarkStart w:id="129" w:name="_Toc184310310"/>
      <w:bookmarkEnd w:id="129"/>
      <w:bookmarkStart w:id="130" w:name="_Toc184313291"/>
      <w:bookmarkEnd w:id="130"/>
      <w:bookmarkStart w:id="131" w:name="_Toc184313307"/>
      <w:bookmarkEnd w:id="131"/>
      <w:bookmarkStart w:id="132" w:name="_Toc184313243"/>
      <w:bookmarkEnd w:id="132"/>
      <w:bookmarkStart w:id="133" w:name="_Toc184308086"/>
      <w:bookmarkEnd w:id="133"/>
      <w:bookmarkStart w:id="134" w:name="_Toc184308087"/>
      <w:bookmarkEnd w:id="134"/>
      <w:bookmarkStart w:id="135" w:name="_Toc184310341"/>
      <w:bookmarkEnd w:id="135"/>
      <w:bookmarkStart w:id="136" w:name="_Toc184308100"/>
      <w:bookmarkEnd w:id="136"/>
      <w:bookmarkStart w:id="137" w:name="_Toc184314439"/>
      <w:bookmarkEnd w:id="137"/>
      <w:bookmarkStart w:id="138" w:name="_Toc184308064"/>
      <w:bookmarkEnd w:id="138"/>
      <w:bookmarkStart w:id="139" w:name="_Toc184313298"/>
      <w:bookmarkEnd w:id="139"/>
      <w:bookmarkStart w:id="140" w:name="_Toc184312098"/>
      <w:bookmarkEnd w:id="140"/>
      <w:bookmarkStart w:id="141" w:name="_Toc184308083"/>
      <w:bookmarkEnd w:id="141"/>
      <w:bookmarkStart w:id="142" w:name="_Toc184312101"/>
      <w:bookmarkEnd w:id="142"/>
      <w:bookmarkStart w:id="143" w:name="_Toc184308101"/>
      <w:bookmarkEnd w:id="143"/>
      <w:bookmarkStart w:id="144" w:name="_Toc184314449"/>
      <w:bookmarkEnd w:id="144"/>
      <w:bookmarkStart w:id="145" w:name="_Toc184312106"/>
      <w:bookmarkEnd w:id="145"/>
      <w:bookmarkStart w:id="146" w:name="_Toc184310294"/>
      <w:bookmarkEnd w:id="146"/>
      <w:bookmarkStart w:id="147" w:name="_Toc184314447"/>
      <w:bookmarkEnd w:id="147"/>
      <w:bookmarkStart w:id="148" w:name="_Toc184314417"/>
      <w:bookmarkEnd w:id="148"/>
      <w:bookmarkStart w:id="149" w:name="_Toc184313275"/>
      <w:bookmarkEnd w:id="149"/>
      <w:bookmarkStart w:id="150" w:name="_Toc184308082"/>
      <w:bookmarkEnd w:id="150"/>
      <w:bookmarkStart w:id="151" w:name="_Toc184308088"/>
      <w:bookmarkEnd w:id="151"/>
      <w:bookmarkStart w:id="152" w:name="_Toc184313288"/>
      <w:bookmarkEnd w:id="152"/>
      <w:bookmarkStart w:id="153" w:name="_Toc184314427"/>
      <w:bookmarkEnd w:id="153"/>
      <w:bookmarkStart w:id="154" w:name="_Toc184312070"/>
      <w:bookmarkEnd w:id="154"/>
      <w:bookmarkStart w:id="155" w:name="_Toc184310308"/>
      <w:bookmarkEnd w:id="155"/>
      <w:bookmarkStart w:id="156" w:name="_Toc184312104"/>
      <w:bookmarkEnd w:id="156"/>
      <w:bookmarkStart w:id="157" w:name="_Toc184313287"/>
      <w:bookmarkEnd w:id="157"/>
      <w:bookmarkStart w:id="158" w:name="_Toc184314440"/>
      <w:bookmarkEnd w:id="158"/>
      <w:bookmarkStart w:id="159" w:name="_Toc184310312"/>
      <w:bookmarkEnd w:id="159"/>
      <w:bookmarkStart w:id="160" w:name="_Toc184313242"/>
      <w:bookmarkEnd w:id="160"/>
      <w:bookmarkStart w:id="161" w:name="_Toc184314458"/>
      <w:bookmarkEnd w:id="161"/>
      <w:bookmarkStart w:id="162" w:name="_Toc184308095"/>
      <w:bookmarkEnd w:id="162"/>
      <w:bookmarkStart w:id="163" w:name="_Toc184313302"/>
      <w:bookmarkEnd w:id="163"/>
      <w:bookmarkStart w:id="164" w:name="_Toc184313262"/>
      <w:bookmarkEnd w:id="164"/>
      <w:bookmarkStart w:id="165" w:name="_Toc184314423"/>
      <w:bookmarkEnd w:id="165"/>
      <w:bookmarkStart w:id="166" w:name="_Toc184310339"/>
      <w:bookmarkEnd w:id="166"/>
      <w:bookmarkStart w:id="167" w:name="_Toc184308038"/>
      <w:bookmarkEnd w:id="167"/>
      <w:bookmarkStart w:id="168" w:name="_Toc184312100"/>
      <w:bookmarkEnd w:id="168"/>
      <w:bookmarkStart w:id="169" w:name="_Toc184314433"/>
      <w:bookmarkEnd w:id="169"/>
      <w:bookmarkStart w:id="170" w:name="_Toc184310284"/>
      <w:bookmarkEnd w:id="170"/>
      <w:bookmarkStart w:id="171" w:name="_Toc184310313"/>
      <w:bookmarkEnd w:id="171"/>
      <w:bookmarkStart w:id="172" w:name="_Toc184313310"/>
      <w:bookmarkEnd w:id="172"/>
      <w:bookmarkStart w:id="173" w:name="_Toc184314462"/>
      <w:bookmarkEnd w:id="173"/>
      <w:bookmarkStart w:id="174" w:name="_Toc184314453"/>
      <w:bookmarkEnd w:id="174"/>
      <w:bookmarkStart w:id="175" w:name="_Toc184314476"/>
      <w:bookmarkEnd w:id="175"/>
      <w:bookmarkStart w:id="176" w:name="_Toc184310282"/>
      <w:bookmarkEnd w:id="176"/>
      <w:bookmarkStart w:id="177" w:name="_Toc184312083"/>
      <w:bookmarkEnd w:id="177"/>
      <w:bookmarkStart w:id="178" w:name="_Toc184314467"/>
      <w:bookmarkEnd w:id="178"/>
      <w:bookmarkStart w:id="179" w:name="_Toc184312130"/>
      <w:bookmarkEnd w:id="179"/>
      <w:bookmarkStart w:id="180" w:name="_Toc184310293"/>
      <w:bookmarkEnd w:id="180"/>
      <w:bookmarkStart w:id="181" w:name="_Toc184313266"/>
      <w:bookmarkEnd w:id="181"/>
      <w:bookmarkStart w:id="182" w:name="_Toc184310306"/>
      <w:bookmarkEnd w:id="182"/>
      <w:bookmarkStart w:id="183" w:name="_Toc184312076"/>
      <w:bookmarkEnd w:id="183"/>
      <w:bookmarkStart w:id="184" w:name="_Toc184312094"/>
      <w:bookmarkEnd w:id="184"/>
      <w:bookmarkStart w:id="185" w:name="_Toc184313261"/>
      <w:bookmarkEnd w:id="185"/>
      <w:bookmarkStart w:id="186" w:name="_Toc184312115"/>
      <w:bookmarkEnd w:id="186"/>
      <w:bookmarkStart w:id="187" w:name="_Toc184312068"/>
      <w:bookmarkEnd w:id="187"/>
      <w:bookmarkStart w:id="188" w:name="_Toc184310277"/>
      <w:bookmarkEnd w:id="188"/>
      <w:bookmarkStart w:id="189" w:name="_Toc184313239"/>
      <w:bookmarkEnd w:id="189"/>
      <w:bookmarkStart w:id="190" w:name="_Toc184310344"/>
      <w:bookmarkEnd w:id="190"/>
      <w:bookmarkStart w:id="191" w:name="_Toc184313293"/>
      <w:bookmarkEnd w:id="191"/>
      <w:bookmarkStart w:id="192" w:name="_Toc184308039"/>
      <w:bookmarkEnd w:id="192"/>
      <w:bookmarkStart w:id="193" w:name="_Toc184313253"/>
      <w:bookmarkEnd w:id="193"/>
      <w:bookmarkStart w:id="194" w:name="_Toc184310281"/>
      <w:bookmarkEnd w:id="194"/>
      <w:bookmarkStart w:id="195" w:name="_Toc184312073"/>
      <w:bookmarkEnd w:id="195"/>
      <w:bookmarkStart w:id="196" w:name="_Toc184312105"/>
      <w:bookmarkEnd w:id="196"/>
      <w:bookmarkStart w:id="197" w:name="_Toc184313258"/>
      <w:bookmarkEnd w:id="197"/>
      <w:bookmarkStart w:id="198" w:name="_Toc184308043"/>
      <w:bookmarkEnd w:id="198"/>
      <w:bookmarkStart w:id="199" w:name="_Toc184310291"/>
      <w:bookmarkEnd w:id="199"/>
      <w:bookmarkStart w:id="200" w:name="_Toc184308108"/>
      <w:bookmarkEnd w:id="200"/>
      <w:bookmarkStart w:id="201" w:name="_Toc184308093"/>
      <w:bookmarkEnd w:id="201"/>
      <w:bookmarkStart w:id="202" w:name="_Toc184310286"/>
      <w:bookmarkEnd w:id="202"/>
      <w:bookmarkStart w:id="203" w:name="_Toc184308055"/>
      <w:bookmarkEnd w:id="203"/>
      <w:bookmarkStart w:id="204" w:name="_Toc184312086"/>
      <w:bookmarkEnd w:id="204"/>
      <w:bookmarkStart w:id="205" w:name="_Toc184308098"/>
      <w:bookmarkEnd w:id="205"/>
      <w:bookmarkStart w:id="206" w:name="_Toc184308074"/>
      <w:bookmarkEnd w:id="206"/>
      <w:bookmarkStart w:id="207" w:name="_Toc184310336"/>
      <w:bookmarkEnd w:id="207"/>
      <w:bookmarkStart w:id="208" w:name="_Toc184313241"/>
      <w:bookmarkEnd w:id="208"/>
      <w:bookmarkStart w:id="209" w:name="_Toc184310305"/>
      <w:bookmarkEnd w:id="209"/>
      <w:bookmarkStart w:id="210" w:name="_Toc184313263"/>
      <w:bookmarkEnd w:id="210"/>
      <w:bookmarkStart w:id="211" w:name="_Toc184310342"/>
      <w:bookmarkEnd w:id="211"/>
      <w:bookmarkStart w:id="212" w:name="_Toc184313297"/>
      <w:bookmarkEnd w:id="212"/>
      <w:bookmarkStart w:id="213" w:name="_Toc184313279"/>
      <w:bookmarkEnd w:id="213"/>
      <w:bookmarkStart w:id="214" w:name="_Toc184313285"/>
      <w:bookmarkEnd w:id="214"/>
      <w:bookmarkStart w:id="215" w:name="_Toc184308051"/>
      <w:bookmarkEnd w:id="215"/>
      <w:bookmarkStart w:id="216" w:name="_Toc184313249"/>
      <w:bookmarkEnd w:id="216"/>
      <w:bookmarkStart w:id="217" w:name="_Toc184314430"/>
      <w:bookmarkEnd w:id="217"/>
      <w:bookmarkStart w:id="218" w:name="_Toc184313245"/>
      <w:bookmarkEnd w:id="218"/>
      <w:bookmarkStart w:id="219" w:name="_Toc184310301"/>
      <w:bookmarkEnd w:id="219"/>
      <w:bookmarkStart w:id="220" w:name="_Toc184310278"/>
      <w:bookmarkEnd w:id="220"/>
      <w:bookmarkStart w:id="221" w:name="_Toc184310300"/>
      <w:bookmarkEnd w:id="221"/>
      <w:bookmarkStart w:id="222" w:name="_Toc184312077"/>
      <w:bookmarkEnd w:id="222"/>
      <w:bookmarkStart w:id="223" w:name="_Toc184313271"/>
      <w:bookmarkEnd w:id="223"/>
      <w:bookmarkStart w:id="224" w:name="_Toc184314422"/>
      <w:bookmarkEnd w:id="224"/>
      <w:bookmarkStart w:id="225" w:name="_Toc184314465"/>
      <w:bookmarkEnd w:id="225"/>
      <w:bookmarkStart w:id="226" w:name="_Toc184314469"/>
      <w:bookmarkEnd w:id="226"/>
      <w:bookmarkStart w:id="227" w:name="_Toc184313282"/>
      <w:bookmarkEnd w:id="227"/>
      <w:bookmarkStart w:id="228" w:name="_Toc184313289"/>
      <w:bookmarkEnd w:id="228"/>
      <w:bookmarkStart w:id="229" w:name="_Toc184313250"/>
      <w:bookmarkEnd w:id="229"/>
      <w:bookmarkStart w:id="230" w:name="_Toc184312131"/>
      <w:bookmarkEnd w:id="230"/>
      <w:bookmarkStart w:id="231" w:name="_Toc184314411"/>
      <w:bookmarkEnd w:id="231"/>
      <w:bookmarkStart w:id="232" w:name="_Toc184313284"/>
      <w:bookmarkEnd w:id="232"/>
      <w:bookmarkStart w:id="233" w:name="_Toc184310298"/>
      <w:bookmarkEnd w:id="233"/>
      <w:bookmarkStart w:id="234" w:name="_Toc184310280"/>
      <w:bookmarkEnd w:id="234"/>
      <w:bookmarkStart w:id="235" w:name="_Toc184308084"/>
      <w:bookmarkEnd w:id="235"/>
      <w:bookmarkStart w:id="236" w:name="_Toc184314454"/>
      <w:bookmarkEnd w:id="236"/>
      <w:bookmarkStart w:id="237" w:name="_Toc184313248"/>
      <w:bookmarkEnd w:id="237"/>
      <w:bookmarkStart w:id="238" w:name="_Toc184313268"/>
      <w:bookmarkEnd w:id="238"/>
      <w:bookmarkStart w:id="239" w:name="_Toc184308047"/>
      <w:bookmarkEnd w:id="239"/>
      <w:bookmarkStart w:id="240" w:name="_Toc184310322"/>
      <w:bookmarkEnd w:id="240"/>
      <w:bookmarkStart w:id="241" w:name="_Toc184314418"/>
      <w:bookmarkEnd w:id="241"/>
      <w:bookmarkStart w:id="242" w:name="_Toc184314431"/>
      <w:bookmarkEnd w:id="242"/>
      <w:bookmarkStart w:id="243" w:name="_Toc184312125"/>
      <w:bookmarkEnd w:id="243"/>
      <w:bookmarkStart w:id="244" w:name="_Toc184314461"/>
      <w:bookmarkEnd w:id="244"/>
      <w:bookmarkStart w:id="245" w:name="_Toc184314412"/>
      <w:bookmarkEnd w:id="245"/>
      <w:bookmarkStart w:id="246" w:name="_Toc184308106"/>
      <w:bookmarkEnd w:id="246"/>
      <w:bookmarkStart w:id="247" w:name="_Toc184312116"/>
      <w:bookmarkEnd w:id="247"/>
      <w:bookmarkStart w:id="248" w:name="_Toc184313290"/>
      <w:bookmarkEnd w:id="248"/>
      <w:bookmarkStart w:id="249" w:name="_Toc184313301"/>
      <w:bookmarkEnd w:id="249"/>
      <w:bookmarkStart w:id="250" w:name="_Toc184308071"/>
      <w:bookmarkEnd w:id="250"/>
      <w:bookmarkStart w:id="251" w:name="_Toc184310297"/>
      <w:bookmarkEnd w:id="251"/>
      <w:bookmarkStart w:id="252" w:name="_Toc184310327"/>
      <w:bookmarkEnd w:id="252"/>
      <w:bookmarkStart w:id="253" w:name="_Toc184314451"/>
      <w:bookmarkEnd w:id="253"/>
      <w:bookmarkStart w:id="254" w:name="_Toc184308103"/>
      <w:bookmarkEnd w:id="254"/>
      <w:bookmarkStart w:id="255" w:name="_Toc184312092"/>
      <w:bookmarkEnd w:id="255"/>
      <w:bookmarkStart w:id="256" w:name="_Toc184312134"/>
      <w:bookmarkEnd w:id="256"/>
      <w:bookmarkStart w:id="257" w:name="_Toc184312132"/>
      <w:bookmarkEnd w:id="257"/>
      <w:bookmarkStart w:id="258" w:name="_Toc184314420"/>
      <w:bookmarkEnd w:id="258"/>
      <w:bookmarkStart w:id="259" w:name="_Toc184314421"/>
      <w:bookmarkEnd w:id="259"/>
      <w:bookmarkStart w:id="260" w:name="_Toc184313300"/>
      <w:bookmarkEnd w:id="260"/>
      <w:bookmarkStart w:id="261" w:name="_Toc184313308"/>
      <w:bookmarkEnd w:id="261"/>
      <w:bookmarkStart w:id="262" w:name="_Toc184308065"/>
      <w:bookmarkEnd w:id="262"/>
      <w:bookmarkStart w:id="263" w:name="_Toc184310332"/>
      <w:bookmarkEnd w:id="263"/>
      <w:bookmarkStart w:id="264" w:name="_Toc184310307"/>
      <w:bookmarkEnd w:id="264"/>
      <w:bookmarkStart w:id="265" w:name="_Toc184314450"/>
      <w:bookmarkEnd w:id="265"/>
      <w:bookmarkStart w:id="266" w:name="_Toc184310319"/>
      <w:bookmarkEnd w:id="266"/>
      <w:bookmarkStart w:id="267" w:name="_Toc184314463"/>
      <w:bookmarkEnd w:id="267"/>
      <w:bookmarkStart w:id="268" w:name="_Toc184310285"/>
      <w:bookmarkEnd w:id="268"/>
      <w:bookmarkStart w:id="269" w:name="_Toc184313296"/>
      <w:bookmarkEnd w:id="269"/>
      <w:bookmarkStart w:id="270" w:name="_Toc184312071"/>
      <w:bookmarkEnd w:id="270"/>
      <w:bookmarkStart w:id="271" w:name="_Toc184312082"/>
      <w:bookmarkEnd w:id="271"/>
      <w:bookmarkStart w:id="272" w:name="_Toc184308061"/>
      <w:bookmarkEnd w:id="272"/>
      <w:bookmarkStart w:id="273" w:name="_Toc184308107"/>
      <w:bookmarkEnd w:id="273"/>
      <w:bookmarkStart w:id="274" w:name="_Toc184312124"/>
      <w:bookmarkEnd w:id="274"/>
      <w:bookmarkStart w:id="275" w:name="_Toc184308063"/>
      <w:bookmarkEnd w:id="275"/>
      <w:bookmarkStart w:id="276" w:name="_Toc184314473"/>
      <w:bookmarkEnd w:id="276"/>
      <w:bookmarkStart w:id="277" w:name="_Toc184312123"/>
      <w:bookmarkEnd w:id="277"/>
      <w:bookmarkStart w:id="278" w:name="_Toc184314436"/>
      <w:bookmarkEnd w:id="278"/>
      <w:bookmarkStart w:id="279" w:name="_Toc184312136"/>
      <w:bookmarkEnd w:id="279"/>
      <w:bookmarkStart w:id="280" w:name="_Toc184308040"/>
      <w:bookmarkEnd w:id="280"/>
      <w:bookmarkStart w:id="281" w:name="_Toc184312078"/>
      <w:bookmarkEnd w:id="281"/>
      <w:bookmarkStart w:id="282" w:name="_Toc184314479"/>
      <w:bookmarkEnd w:id="282"/>
      <w:bookmarkStart w:id="283" w:name="_Toc184314434"/>
      <w:bookmarkEnd w:id="283"/>
      <w:bookmarkStart w:id="284" w:name="_Toc184313247"/>
      <w:bookmarkEnd w:id="284"/>
      <w:bookmarkStart w:id="285" w:name="_Toc184310324"/>
      <w:bookmarkEnd w:id="285"/>
      <w:bookmarkStart w:id="286" w:name="_Toc184312087"/>
      <w:bookmarkEnd w:id="286"/>
      <w:bookmarkStart w:id="287" w:name="_Toc184314470"/>
      <w:bookmarkEnd w:id="287"/>
      <w:bookmarkStart w:id="288" w:name="_Toc184312118"/>
      <w:bookmarkEnd w:id="288"/>
      <w:bookmarkStart w:id="289" w:name="_Toc184313306"/>
      <w:bookmarkEnd w:id="289"/>
      <w:bookmarkStart w:id="290" w:name="_Toc184310328"/>
      <w:bookmarkEnd w:id="290"/>
      <w:bookmarkStart w:id="291" w:name="_Toc184313267"/>
      <w:bookmarkEnd w:id="291"/>
      <w:bookmarkStart w:id="292" w:name="_Toc184314444"/>
      <w:bookmarkEnd w:id="292"/>
      <w:bookmarkStart w:id="293" w:name="_Toc184312117"/>
      <w:bookmarkEnd w:id="293"/>
      <w:bookmarkStart w:id="294" w:name="_Toc184308053"/>
      <w:bookmarkEnd w:id="294"/>
      <w:bookmarkStart w:id="295" w:name="_Toc184308059"/>
      <w:bookmarkEnd w:id="295"/>
      <w:bookmarkStart w:id="296" w:name="_Toc184313257"/>
      <w:bookmarkEnd w:id="296"/>
      <w:bookmarkStart w:id="297" w:name="_Toc184313254"/>
      <w:bookmarkEnd w:id="297"/>
      <w:bookmarkStart w:id="298" w:name="_Toc184308102"/>
      <w:bookmarkEnd w:id="298"/>
      <w:bookmarkStart w:id="299" w:name="_Toc184308076"/>
      <w:bookmarkEnd w:id="299"/>
      <w:bookmarkStart w:id="300" w:name="_Toc184313255"/>
      <w:bookmarkEnd w:id="300"/>
      <w:bookmarkStart w:id="301" w:name="_Toc184312127"/>
      <w:bookmarkEnd w:id="301"/>
      <w:bookmarkStart w:id="302" w:name="_Toc184310302"/>
      <w:bookmarkEnd w:id="302"/>
      <w:bookmarkStart w:id="303" w:name="_Toc184310334"/>
      <w:bookmarkEnd w:id="303"/>
      <w:bookmarkStart w:id="304" w:name="_Toc184312093"/>
      <w:bookmarkEnd w:id="304"/>
      <w:bookmarkStart w:id="305" w:name="_Toc184312112"/>
      <w:bookmarkEnd w:id="305"/>
      <w:bookmarkStart w:id="306" w:name="_Toc184308067"/>
      <w:bookmarkEnd w:id="306"/>
      <w:bookmarkStart w:id="307" w:name="_Toc184314464"/>
      <w:bookmarkEnd w:id="307"/>
      <w:bookmarkStart w:id="308" w:name="_Toc184314477"/>
      <w:bookmarkEnd w:id="308"/>
      <w:bookmarkStart w:id="309" w:name="_Toc184310340"/>
      <w:bookmarkEnd w:id="309"/>
      <w:bookmarkStart w:id="310" w:name="_Toc184314442"/>
      <w:bookmarkEnd w:id="310"/>
      <w:bookmarkStart w:id="311" w:name="_Toc184313295"/>
      <w:bookmarkEnd w:id="311"/>
      <w:bookmarkStart w:id="312" w:name="_Toc184310337"/>
      <w:bookmarkEnd w:id="312"/>
      <w:bookmarkStart w:id="313" w:name="_Toc184312114"/>
      <w:bookmarkEnd w:id="313"/>
      <w:bookmarkStart w:id="314" w:name="_Toc184312090"/>
      <w:bookmarkEnd w:id="314"/>
      <w:bookmarkStart w:id="315" w:name="_Toc184310292"/>
      <w:bookmarkEnd w:id="315"/>
      <w:bookmarkStart w:id="316" w:name="_Toc184308073"/>
      <w:bookmarkEnd w:id="316"/>
      <w:bookmarkStart w:id="317" w:name="_Toc184314456"/>
      <w:bookmarkEnd w:id="317"/>
      <w:bookmarkStart w:id="318" w:name="_Toc184308094"/>
      <w:bookmarkEnd w:id="318"/>
      <w:bookmarkStart w:id="319" w:name="_Toc184312102"/>
      <w:bookmarkEnd w:id="319"/>
      <w:bookmarkStart w:id="320" w:name="_Toc184308078"/>
      <w:bookmarkEnd w:id="320"/>
      <w:bookmarkStart w:id="321" w:name="_Toc184314435"/>
      <w:bookmarkEnd w:id="321"/>
      <w:bookmarkStart w:id="322" w:name="_Toc184312081"/>
      <w:bookmarkEnd w:id="322"/>
      <w:bookmarkStart w:id="323" w:name="_Toc184312110"/>
      <w:bookmarkEnd w:id="323"/>
      <w:bookmarkStart w:id="324" w:name="_Toc184314471"/>
      <w:bookmarkEnd w:id="324"/>
      <w:bookmarkStart w:id="325" w:name="_Toc184308050"/>
      <w:bookmarkEnd w:id="325"/>
      <w:bookmarkStart w:id="326" w:name="_Toc184308069"/>
      <w:bookmarkEnd w:id="326"/>
      <w:bookmarkStart w:id="327" w:name="_Toc184314441"/>
      <w:bookmarkEnd w:id="327"/>
      <w:bookmarkStart w:id="328" w:name="_Toc184308104"/>
      <w:bookmarkEnd w:id="328"/>
      <w:bookmarkStart w:id="329" w:name="_Toc184308068"/>
      <w:bookmarkEnd w:id="329"/>
      <w:bookmarkStart w:id="330" w:name="_Toc184310276"/>
      <w:bookmarkEnd w:id="330"/>
      <w:bookmarkStart w:id="331" w:name="_Toc184314443"/>
      <w:bookmarkEnd w:id="331"/>
      <w:bookmarkStart w:id="332" w:name="_Toc184312128"/>
      <w:bookmarkEnd w:id="332"/>
      <w:bookmarkStart w:id="333" w:name="_Toc184314428"/>
      <w:bookmarkEnd w:id="333"/>
      <w:bookmarkStart w:id="334" w:name="_Toc184310318"/>
      <w:bookmarkEnd w:id="334"/>
      <w:bookmarkStart w:id="335" w:name="_Toc184308085"/>
      <w:bookmarkEnd w:id="335"/>
      <w:bookmarkStart w:id="336" w:name="_Toc184313246"/>
      <w:bookmarkEnd w:id="336"/>
      <w:bookmarkStart w:id="337" w:name="_Toc184308060"/>
      <w:bookmarkEnd w:id="337"/>
      <w:bookmarkStart w:id="338" w:name="_Toc184310303"/>
      <w:bookmarkEnd w:id="338"/>
      <w:bookmarkStart w:id="339" w:name="_Toc184314455"/>
      <w:bookmarkEnd w:id="339"/>
      <w:bookmarkStart w:id="340" w:name="_Toc184312135"/>
      <w:bookmarkEnd w:id="340"/>
      <w:bookmarkStart w:id="341" w:name="_Toc184310331"/>
      <w:bookmarkEnd w:id="341"/>
      <w:bookmarkStart w:id="342" w:name="_Toc184313299"/>
      <w:bookmarkEnd w:id="342"/>
      <w:bookmarkStart w:id="343" w:name="_Toc184312084"/>
      <w:bookmarkEnd w:id="343"/>
      <w:bookmarkStart w:id="344" w:name="_Toc184312126"/>
      <w:bookmarkEnd w:id="344"/>
      <w:bookmarkStart w:id="345" w:name="_Toc184313264"/>
      <w:bookmarkEnd w:id="345"/>
      <w:bookmarkStart w:id="346" w:name="_Toc184308089"/>
      <w:bookmarkEnd w:id="346"/>
      <w:bookmarkStart w:id="347" w:name="_Toc184308079"/>
      <w:bookmarkEnd w:id="347"/>
      <w:bookmarkStart w:id="348" w:name="_Toc184312120"/>
      <w:bookmarkEnd w:id="348"/>
      <w:bookmarkStart w:id="349" w:name="_Toc184313304"/>
      <w:bookmarkEnd w:id="349"/>
      <w:bookmarkStart w:id="350" w:name="_Toc184310333"/>
      <w:bookmarkEnd w:id="350"/>
      <w:bookmarkStart w:id="351" w:name="_Toc184310273"/>
      <w:bookmarkEnd w:id="351"/>
      <w:bookmarkStart w:id="352" w:name="_Toc184312067"/>
      <w:bookmarkEnd w:id="352"/>
      <w:bookmarkStart w:id="353" w:name="_Toc184314415"/>
      <w:bookmarkEnd w:id="353"/>
      <w:bookmarkStart w:id="354" w:name="_Toc184313286"/>
      <w:bookmarkEnd w:id="354"/>
      <w:bookmarkStart w:id="355" w:name="_Toc184314466"/>
      <w:bookmarkEnd w:id="355"/>
      <w:bookmarkStart w:id="356" w:name="_Toc184310295"/>
      <w:bookmarkEnd w:id="356"/>
      <w:bookmarkStart w:id="357" w:name="_Toc184310283"/>
      <w:bookmarkEnd w:id="357"/>
      <w:bookmarkStart w:id="358" w:name="_Toc184308096"/>
      <w:bookmarkEnd w:id="358"/>
      <w:bookmarkStart w:id="359" w:name="_Toc184308057"/>
      <w:bookmarkEnd w:id="359"/>
      <w:bookmarkStart w:id="360" w:name="_Toc184313244"/>
      <w:bookmarkEnd w:id="360"/>
      <w:bookmarkStart w:id="361" w:name="_Toc184312085"/>
      <w:bookmarkEnd w:id="361"/>
      <w:bookmarkStart w:id="362" w:name="_Toc184314482"/>
      <w:bookmarkEnd w:id="362"/>
      <w:bookmarkStart w:id="363" w:name="_Toc184308072"/>
      <w:bookmarkEnd w:id="363"/>
      <w:bookmarkStart w:id="364" w:name="_Toc184310299"/>
      <w:bookmarkEnd w:id="364"/>
      <w:bookmarkStart w:id="365" w:name="_Toc184308097"/>
      <w:bookmarkEnd w:id="365"/>
      <w:bookmarkStart w:id="366" w:name="_Toc184312121"/>
      <w:bookmarkEnd w:id="366"/>
      <w:bookmarkStart w:id="367" w:name="_Toc184312133"/>
      <w:bookmarkEnd w:id="367"/>
      <w:bookmarkStart w:id="368" w:name="_Toc184310326"/>
      <w:bookmarkEnd w:id="368"/>
      <w:bookmarkStart w:id="369" w:name="_Toc184313281"/>
      <w:bookmarkEnd w:id="369"/>
      <w:bookmarkStart w:id="370" w:name="_Toc184313276"/>
      <w:bookmarkEnd w:id="370"/>
      <w:bookmarkStart w:id="371" w:name="_Toc184314424"/>
      <w:bookmarkEnd w:id="371"/>
      <w:bookmarkStart w:id="372" w:name="_Toc184312080"/>
      <w:bookmarkEnd w:id="372"/>
      <w:bookmarkStart w:id="373" w:name="_Toc184314460"/>
      <w:bookmarkEnd w:id="373"/>
      <w:bookmarkStart w:id="374" w:name="_Toc184312075"/>
      <w:bookmarkEnd w:id="374"/>
      <w:bookmarkStart w:id="375" w:name="_Toc184308056"/>
      <w:bookmarkEnd w:id="375"/>
      <w:bookmarkStart w:id="376" w:name="_Toc184308099"/>
      <w:bookmarkEnd w:id="376"/>
      <w:bookmarkStart w:id="377" w:name="_Toc184314468"/>
      <w:bookmarkEnd w:id="377"/>
      <w:bookmarkStart w:id="378" w:name="_Toc184313294"/>
      <w:bookmarkEnd w:id="378"/>
      <w:bookmarkStart w:id="379" w:name="_Toc184312108"/>
      <w:bookmarkEnd w:id="379"/>
      <w:bookmarkStart w:id="380" w:name="_Toc184310275"/>
      <w:bookmarkEnd w:id="380"/>
      <w:bookmarkStart w:id="381" w:name="_Toc184314410"/>
      <w:bookmarkEnd w:id="381"/>
      <w:bookmarkStart w:id="382" w:name="_Toc184312069"/>
      <w:bookmarkEnd w:id="382"/>
      <w:bookmarkStart w:id="383" w:name="_Toc184313240"/>
      <w:bookmarkEnd w:id="383"/>
      <w:bookmarkStart w:id="384" w:name="_Toc184310329"/>
      <w:bookmarkEnd w:id="384"/>
      <w:bookmarkStart w:id="385" w:name="_Toc184313272"/>
      <w:bookmarkEnd w:id="385"/>
      <w:bookmarkStart w:id="386" w:name="_Toc184308045"/>
      <w:bookmarkEnd w:id="386"/>
      <w:bookmarkStart w:id="387" w:name="_Toc184310287"/>
      <w:bookmarkEnd w:id="387"/>
      <w:bookmarkStart w:id="388" w:name="_Toc184310296"/>
      <w:bookmarkEnd w:id="388"/>
      <w:bookmarkStart w:id="389" w:name="_Toc184314459"/>
      <w:bookmarkEnd w:id="389"/>
      <w:bookmarkStart w:id="390" w:name="_Toc184312113"/>
      <w:bookmarkEnd w:id="390"/>
      <w:bookmarkStart w:id="391" w:name="_Toc184308090"/>
      <w:bookmarkEnd w:id="391"/>
      <w:bookmarkStart w:id="392" w:name="_Toc184312137"/>
      <w:bookmarkEnd w:id="392"/>
      <w:bookmarkStart w:id="393" w:name="_Toc184312091"/>
      <w:bookmarkEnd w:id="393"/>
      <w:bookmarkStart w:id="394" w:name="_Toc184308058"/>
      <w:bookmarkEnd w:id="394"/>
      <w:r>
        <w:rPr>
          <w:rFonts w:hint="eastAsia" w:ascii="仿宋" w:hAnsi="仿宋" w:eastAsia="仿宋" w:cs="仿宋"/>
          <w:b/>
          <w:color w:val="auto"/>
          <w:sz w:val="36"/>
          <w:szCs w:val="36"/>
          <w:highlight w:val="none"/>
        </w:rPr>
        <w:t>评标办法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031" w:tblpY="126"/>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2"/>
        <w:gridCol w:w="5011"/>
        <w:gridCol w:w="83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jc w:val="center"/>
              <w:outlineLvl w:val="0"/>
              <w:rPr>
                <w:rFonts w:ascii="仿宋" w:hAnsi="仿宋" w:eastAsia="仿宋" w:cs="仿宋"/>
                <w:bCs/>
                <w:color w:val="auto"/>
                <w:sz w:val="24"/>
                <w:highlight w:val="none"/>
              </w:rPr>
            </w:pPr>
            <w:bookmarkStart w:id="395" w:name="_Hlk92870771"/>
            <w:r>
              <w:rPr>
                <w:rFonts w:hint="eastAsia" w:ascii="仿宋" w:hAnsi="仿宋" w:eastAsia="仿宋" w:cs="仿宋"/>
                <w:bCs/>
                <w:color w:val="auto"/>
                <w:sz w:val="24"/>
                <w:highlight w:val="none"/>
              </w:rPr>
              <w:t>序号</w:t>
            </w:r>
          </w:p>
        </w:tc>
        <w:tc>
          <w:tcPr>
            <w:tcW w:w="786" w:type="pct"/>
            <w:vAlign w:val="center"/>
          </w:tcPr>
          <w:p>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评分项目</w:t>
            </w:r>
          </w:p>
        </w:tc>
        <w:tc>
          <w:tcPr>
            <w:tcW w:w="2604" w:type="pct"/>
            <w:vAlign w:val="center"/>
          </w:tcPr>
          <w:p>
            <w:pPr>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32" w:type="pct"/>
            <w:vAlign w:val="center"/>
          </w:tcPr>
          <w:p>
            <w:pP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777" w:type="pct"/>
          </w:tcPr>
          <w:p>
            <w:pP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0" w:firstLineChars="0"/>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6" w:type="pc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投标人业绩</w:t>
            </w:r>
          </w:p>
        </w:tc>
        <w:tc>
          <w:tcPr>
            <w:tcW w:w="2604" w:type="pct"/>
          </w:tcPr>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投标人自2017年1月1日以来（以项目完成证明材料载明的时间为准）完成过含总承包项目的公共建筑工程全过程跟踪审计服务类似项目业绩（单独的结算审核业绩不计），每个得0.1分，最高分0.5分。</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需提供合同（或中标通知书）复印件加盖公章和项目完成相关证明资料（如结算审核报告、结算送审申请、竣工验收报告等）复印件加盖公章。如上述资料不能体现业绩要求内容的，应提供服务委托单位的证明予以说明（复印件加盖公章）。</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777" w:type="pct"/>
            <w:vAlign w:val="center"/>
          </w:tcPr>
          <w:p>
            <w:pPr>
              <w:pStyle w:val="6"/>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0" w:firstLineChars="0"/>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6" w:type="pc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项目负责人业绩</w:t>
            </w:r>
          </w:p>
        </w:tc>
        <w:tc>
          <w:tcPr>
            <w:tcW w:w="2604" w:type="pct"/>
          </w:tcPr>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拟派项目负责人自2017年1月1日以来（以项目完成证明材料载明的时间为准）完成过含总承包项目的公共建筑工程全过程跟踪审计服务类似项目业绩（单独的结算审核业绩不计），每个得0.1分，最高分0.5分。</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可以与投标人业绩为同一合同项目。</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需提供合同（或中标通知书）复印件加盖公章和项目完成相关证明资料（如结算审核报告、结算送审申请、竣工验收报告等）复印件加盖公章。如上述资料不能体现项目负责人业绩要求内容的，应提供服务委托单位的证明予以说明（复印件加盖公章）。</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777" w:type="pct"/>
            <w:vAlign w:val="center"/>
          </w:tcPr>
          <w:p>
            <w:pPr>
              <w:pStyle w:val="6"/>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0" w:firstLineChars="0"/>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6" w:type="pc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项目负责人能力</w:t>
            </w:r>
          </w:p>
        </w:tc>
        <w:tc>
          <w:tcPr>
            <w:tcW w:w="2604" w:type="pct"/>
          </w:tcPr>
          <w:p>
            <w:pPr>
              <w:jc w:val="left"/>
              <w:rPr>
                <w:rFonts w:ascii="仿宋" w:hAnsi="仿宋" w:eastAsia="仿宋" w:cs="仿宋"/>
                <w:color w:val="auto"/>
                <w:highlight w:val="none"/>
              </w:rPr>
            </w:pPr>
            <w:r>
              <w:rPr>
                <w:rFonts w:hint="eastAsia" w:ascii="仿宋" w:hAnsi="仿宋" w:eastAsia="仿宋" w:cs="仿宋"/>
                <w:snapToGrid w:val="0"/>
                <w:color w:val="auto"/>
                <w:sz w:val="24"/>
                <w:highlight w:val="none"/>
              </w:rPr>
              <w:t>职业资格及职称满足“采购需求，第3.6条”要求</w:t>
            </w:r>
            <w:r>
              <w:rPr>
                <w:rFonts w:hint="eastAsia" w:ascii="仿宋" w:hAnsi="仿宋" w:eastAsia="仿宋" w:cs="仿宋"/>
                <w:bCs/>
                <w:color w:val="auto"/>
                <w:sz w:val="24"/>
                <w:highlight w:val="none"/>
              </w:rPr>
              <w:t>，且</w:t>
            </w:r>
            <w:r>
              <w:rPr>
                <w:rFonts w:hint="eastAsia" w:ascii="仿宋" w:hAnsi="仿宋" w:eastAsia="仿宋" w:cs="仿宋"/>
                <w:snapToGrid w:val="0"/>
                <w:color w:val="auto"/>
                <w:sz w:val="24"/>
                <w:highlight w:val="none"/>
              </w:rPr>
              <w:t>具有建设工程专业高级工程师及以上职称得4分；其余情况不得分。</w:t>
            </w:r>
          </w:p>
          <w:p>
            <w:pPr>
              <w:jc w:val="left"/>
              <w:rPr>
                <w:rFonts w:ascii="仿宋" w:hAnsi="仿宋" w:eastAsia="仿宋" w:cs="仿宋"/>
                <w:snapToGrid w:val="0"/>
                <w:color w:val="auto"/>
                <w:sz w:val="24"/>
                <w:highlight w:val="none"/>
              </w:rPr>
            </w:pPr>
            <w:r>
              <w:rPr>
                <w:rFonts w:hint="eastAsia" w:ascii="仿宋" w:hAnsi="仿宋" w:eastAsia="仿宋" w:cs="仿宋"/>
                <w:color w:val="auto"/>
                <w:sz w:val="24"/>
                <w:highlight w:val="none"/>
              </w:rPr>
              <w:t>证明材料</w:t>
            </w:r>
            <w:r>
              <w:rPr>
                <w:rFonts w:hint="eastAsia" w:ascii="仿宋" w:hAnsi="仿宋" w:eastAsia="仿宋" w:cs="仿宋"/>
                <w:snapToGrid w:val="0"/>
                <w:color w:val="auto"/>
                <w:sz w:val="24"/>
                <w:highlight w:val="none"/>
              </w:rPr>
              <w:t>：职称证、注册证书复印件加盖公章。</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777" w:type="pct"/>
            <w:vAlign w:val="center"/>
          </w:tcPr>
          <w:p>
            <w:pPr>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0" w:firstLineChars="0"/>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6" w:type="pc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项目各专业负责人员</w:t>
            </w:r>
          </w:p>
        </w:tc>
        <w:tc>
          <w:tcPr>
            <w:tcW w:w="2604" w:type="pct"/>
          </w:tcPr>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职业资格及职称（如项目负责人兼岗专业负责人则本人不得分）：房建、市政、景观、安装四个专业方向负责人，满足“采购需求，第3.6条要求”，</w:t>
            </w:r>
            <w:r>
              <w:rPr>
                <w:rFonts w:hint="eastAsia" w:ascii="仿宋" w:hAnsi="仿宋" w:eastAsia="仿宋" w:cs="仿宋"/>
                <w:bCs/>
                <w:color w:val="auto"/>
                <w:sz w:val="24"/>
                <w:highlight w:val="none"/>
              </w:rPr>
              <w:t>且</w:t>
            </w:r>
            <w:r>
              <w:rPr>
                <w:rFonts w:hint="eastAsia" w:ascii="仿宋" w:hAnsi="仿宋" w:eastAsia="仿宋" w:cs="仿宋"/>
                <w:color w:val="auto"/>
                <w:sz w:val="24"/>
                <w:szCs w:val="24"/>
                <w:highlight w:val="none"/>
              </w:rPr>
              <w:t>具有建设工程专业（不含岩土工程类、工程勘察类、燃气工程类、白蚁防治类）高级工程师及以上职称。每一人得3分，本项最高得12分。其余情况不得分。</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证明材料：职称证、注册证书复印件加盖公章。</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777" w:type="pct"/>
            <w:vAlign w:val="center"/>
          </w:tcPr>
          <w:p>
            <w:pPr>
              <w:jc w:val="center"/>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86" w:type="pc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项目其他成员情况</w:t>
            </w:r>
          </w:p>
        </w:tc>
        <w:tc>
          <w:tcPr>
            <w:tcW w:w="2604" w:type="pct"/>
          </w:tcPr>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职业资格及职称（专业负责人、项目负责人不得分）：</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满足“采购需求，第3.6条”要求，</w:t>
            </w:r>
            <w:r>
              <w:rPr>
                <w:rFonts w:hint="eastAsia" w:ascii="仿宋" w:hAnsi="仿宋" w:eastAsia="仿宋" w:cs="仿宋"/>
                <w:bCs/>
                <w:color w:val="auto"/>
                <w:sz w:val="24"/>
                <w:highlight w:val="none"/>
              </w:rPr>
              <w:t>且全国一级注册造价工程师或原注册造价师（土木建筑工程或安装工程）人员</w:t>
            </w:r>
            <w:r>
              <w:rPr>
                <w:rFonts w:hint="eastAsia" w:ascii="仿宋" w:hAnsi="仿宋" w:eastAsia="仿宋" w:cs="仿宋"/>
                <w:color w:val="auto"/>
                <w:sz w:val="24"/>
                <w:szCs w:val="24"/>
                <w:highlight w:val="none"/>
              </w:rPr>
              <w:t>具有中级工程师及以上职称。每一人得1.5分，本项最高得9分。其余情况不得分。</w:t>
            </w:r>
          </w:p>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证明材料：职称证、注册证书复印件加盖公章。</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777" w:type="pct"/>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restart"/>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6" w:type="pct"/>
            <w:vMerge w:val="restart"/>
            <w:vAlign w:val="center"/>
          </w:tcPr>
          <w:p>
            <w:pPr>
              <w:pStyle w:val="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全过程跟踪审计服务大纲</w:t>
            </w:r>
          </w:p>
        </w:tc>
        <w:tc>
          <w:tcPr>
            <w:tcW w:w="2604" w:type="pct"/>
          </w:tcPr>
          <w:p>
            <w:pPr>
              <w:pStyle w:val="6"/>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全过程跟踪审计服务</w:t>
            </w:r>
            <w:r>
              <w:rPr>
                <w:rFonts w:hint="eastAsia" w:ascii="仿宋" w:hAnsi="仿宋" w:eastAsia="仿宋" w:cs="仿宋"/>
                <w:color w:val="auto"/>
                <w:sz w:val="24"/>
                <w:szCs w:val="24"/>
                <w:highlight w:val="none"/>
              </w:rPr>
              <w:t>技术方案：</w:t>
            </w:r>
            <w:r>
              <w:rPr>
                <w:rFonts w:hint="eastAsia" w:ascii="仿宋" w:hAnsi="仿宋" w:eastAsia="仿宋" w:cs="仿宋"/>
                <w:color w:val="auto"/>
                <w:sz w:val="24"/>
                <w:highlight w:val="none"/>
              </w:rPr>
              <w:t>投标</w:t>
            </w:r>
            <w:r>
              <w:rPr>
                <w:rFonts w:hint="eastAsia" w:ascii="仿宋" w:hAnsi="仿宋" w:eastAsia="仿宋" w:cs="仿宋"/>
                <w:color w:val="auto"/>
                <w:sz w:val="24"/>
                <w:szCs w:val="24"/>
                <w:highlight w:val="none"/>
              </w:rPr>
              <w:t>服务技术</w:t>
            </w:r>
            <w:r>
              <w:rPr>
                <w:rFonts w:hint="eastAsia" w:ascii="仿宋" w:hAnsi="仿宋" w:eastAsia="仿宋" w:cs="仿宋"/>
                <w:color w:val="auto"/>
                <w:sz w:val="24"/>
                <w:highlight w:val="none"/>
              </w:rPr>
              <w:t>方案关于投标人组织机构、管理制度、内控体系情况的说明详尽、明晰，符合招标文件及采购需求的得2分；较详尽、明晰，较符合招标文件及采购需求的得1分，有基本说明的得0.5分，无相关描述的得0分。</w:t>
            </w:r>
            <w:r>
              <w:rPr>
                <w:rFonts w:hint="eastAsia" w:ascii="仿宋" w:hAnsi="仿宋" w:eastAsia="仿宋" w:cs="仿宋"/>
                <w:color w:val="auto"/>
                <w:sz w:val="24"/>
                <w:szCs w:val="24"/>
                <w:highlight w:val="none"/>
              </w:rPr>
              <w:t xml:space="preserve"> </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理念（包括投标人对重大专项政策的理解和掌握情况，结合项目的特点，能否提出定点全过程跟踪审计服务的定位、目标及标准等；提供的服务模式是否能够切合实际，且安全可行，保密性、安全性、文明服务的计划及承诺情况。）合理的得3分，较合理的得2分，一般的得1，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方案（包括是否具有比较完整的项目全过程实施措施，能否清晰简练地提出项目实施方式、工作程序、计划安排、相关建议、专项报告的撰写提纲等）科学合理的得3分，较科学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bCs/>
                <w:color w:val="auto"/>
                <w:sz w:val="24"/>
                <w:highlight w:val="none"/>
              </w:rPr>
              <w:t>工程量清单及控制价编制进度安排、质量保证措施科学合理的</w:t>
            </w:r>
            <w:r>
              <w:rPr>
                <w:rFonts w:hint="eastAsia" w:ascii="仿宋_GB2312" w:hAnsi="仿宋" w:eastAsia="仿宋_GB2312" w:cs="仿宋_GB2312"/>
                <w:color w:val="auto"/>
                <w:sz w:val="24"/>
                <w:highlight w:val="none"/>
              </w:rPr>
              <w:t>得5分，</w:t>
            </w:r>
            <w:r>
              <w:rPr>
                <w:rFonts w:hint="eastAsia" w:ascii="仿宋" w:hAnsi="仿宋" w:eastAsia="仿宋" w:cs="仿宋"/>
                <w:color w:val="auto"/>
                <w:sz w:val="24"/>
                <w:szCs w:val="24"/>
                <w:highlight w:val="none"/>
              </w:rPr>
              <w:t>较科学合理的得3.5分，基本合理的得2分，一般的得1分，无相关描述的得0分。</w:t>
            </w:r>
          </w:p>
        </w:tc>
        <w:tc>
          <w:tcPr>
            <w:tcW w:w="432" w:type="pct"/>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对相关人员的组织分工明确、合理的得3分，较明确、合理的得2分，一般的得1分，无相关描述的得0分。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隐蔽工程、材料进出场、签证及变更事项、工程进度款支付、重大事项等痕迹管理方案的科学、全面的</w:t>
            </w:r>
            <w:r>
              <w:rPr>
                <w:rFonts w:hint="eastAsia" w:ascii="仿宋_GB2312" w:hAnsi="仿宋" w:eastAsia="仿宋_GB2312" w:cs="仿宋_GB2312"/>
                <w:color w:val="auto"/>
                <w:sz w:val="24"/>
                <w:highlight w:val="none"/>
              </w:rPr>
              <w:t>5分，</w:t>
            </w:r>
            <w:r>
              <w:rPr>
                <w:rFonts w:hint="eastAsia" w:ascii="仿宋" w:hAnsi="仿宋" w:eastAsia="仿宋" w:cs="仿宋"/>
                <w:color w:val="auto"/>
                <w:sz w:val="24"/>
                <w:szCs w:val="24"/>
                <w:highlight w:val="none"/>
              </w:rPr>
              <w:t>较科学、全面的得3.5分，基本合理的得2分，一般的得1分，无相关描述的得0分。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拟驻场人数、驻场时间、各相关专业人员到工地的响应时间能保障项目顺利实施的得4分，较能保障项目顺利实施的得3分，基本能保障项目实施的得2分，一般的得1分，无相关描述的得0分。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4</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服务方案中有事前、事中、事后管理工作方案且编制的科学合理的得</w:t>
            </w:r>
            <w:r>
              <w:rPr>
                <w:rFonts w:hint="eastAsia" w:ascii="仿宋_GB2312" w:hAnsi="仿宋" w:eastAsia="仿宋_GB2312" w:cs="仿宋_GB2312"/>
                <w:color w:val="auto"/>
                <w:sz w:val="24"/>
                <w:highlight w:val="none"/>
              </w:rPr>
              <w:t>5分，</w:t>
            </w:r>
            <w:r>
              <w:rPr>
                <w:rFonts w:hint="eastAsia" w:ascii="仿宋" w:hAnsi="仿宋" w:eastAsia="仿宋" w:cs="仿宋"/>
                <w:color w:val="auto"/>
                <w:sz w:val="24"/>
                <w:szCs w:val="24"/>
                <w:highlight w:val="none"/>
              </w:rPr>
              <w:t>较科学合理的得3.5分，基本合理的得2分，一般的得1分，无相关描述的得0分。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5</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pStyle w:val="6"/>
              <w:jc w:val="center"/>
              <w:rPr>
                <w:rFonts w:ascii="仿宋" w:hAnsi="仿宋" w:eastAsia="仿宋" w:cs="仿宋"/>
                <w:color w:val="auto"/>
                <w:sz w:val="24"/>
                <w:szCs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服务方案中服务成果文件编制深度和完整度描述合理、完善</w:t>
            </w:r>
            <w:r>
              <w:rPr>
                <w:rFonts w:hint="eastAsia" w:ascii="仿宋_GB2312" w:hAnsi="仿宋" w:eastAsia="仿宋_GB2312" w:cs="仿宋_GB2312"/>
                <w:color w:val="auto"/>
                <w:sz w:val="24"/>
                <w:highlight w:val="none"/>
              </w:rPr>
              <w:t>得4分，</w:t>
            </w:r>
            <w:r>
              <w:rPr>
                <w:rFonts w:hint="eastAsia" w:ascii="仿宋" w:hAnsi="仿宋" w:eastAsia="仿宋" w:cs="仿宋"/>
                <w:color w:val="auto"/>
                <w:sz w:val="24"/>
                <w:szCs w:val="24"/>
                <w:highlight w:val="none"/>
              </w:rPr>
              <w:t>较合理、完善的得3分，基本合理的得2分，一般的得1分，无相关描述的得0分。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ascii="仿宋" w:hAnsi="仿宋" w:eastAsia="仿宋" w:cs="仿宋"/>
                <w:color w:val="auto"/>
                <w:kern w:val="0"/>
                <w:sz w:val="24"/>
                <w:highlight w:val="none"/>
                <w:lang w:bidi="ar"/>
              </w:rPr>
              <w:t>4</w:t>
            </w:r>
          </w:p>
        </w:tc>
        <w:tc>
          <w:tcPr>
            <w:tcW w:w="777" w:type="pct"/>
          </w:tcPr>
          <w:p>
            <w:pPr>
              <w:snapToGrid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9" w:type="pct"/>
            <w:vMerge w:val="restart"/>
            <w:vAlign w:val="center"/>
          </w:tcPr>
          <w:p>
            <w:pPr>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86" w:type="pct"/>
            <w:vMerge w:val="restar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全过程跟踪审计服务</w:t>
            </w:r>
            <w:r>
              <w:rPr>
                <w:rFonts w:hint="eastAsia" w:ascii="仿宋_GB2312" w:hAnsi="仿宋" w:eastAsia="仿宋_GB2312" w:cs="仿宋_GB2312"/>
                <w:color w:val="auto"/>
                <w:sz w:val="24"/>
                <w:highlight w:val="none"/>
              </w:rPr>
              <w:t>措施</w:t>
            </w:r>
          </w:p>
        </w:tc>
        <w:tc>
          <w:tcPr>
            <w:tcW w:w="2604" w:type="pct"/>
            <w:vAlign w:val="center"/>
          </w:tcPr>
          <w:p>
            <w:pPr>
              <w:pStyle w:val="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咨询服务工作流程及各环节主要工作内容描述科学合理的得5分，</w:t>
            </w:r>
            <w:r>
              <w:rPr>
                <w:rFonts w:hint="eastAsia" w:ascii="仿宋" w:hAnsi="仿宋" w:eastAsia="仿宋" w:cs="仿宋"/>
                <w:color w:val="auto"/>
                <w:sz w:val="24"/>
                <w:szCs w:val="24"/>
                <w:highlight w:val="none"/>
              </w:rPr>
              <w:t>较科学合理的得3.5分，基本合理的得2分，一般的得1分，无相关描述的得0分</w:t>
            </w:r>
            <w:r>
              <w:rPr>
                <w:rFonts w:hint="eastAsia" w:ascii="仿宋_GB2312" w:hAnsi="仿宋" w:eastAsia="仿宋_GB2312" w:cs="仿宋_GB2312"/>
                <w:color w:val="auto"/>
                <w:sz w:val="24"/>
                <w:highlight w:val="none"/>
              </w:rPr>
              <w:t>。</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snapToGrid w:val="0"/>
              <w:jc w:val="center"/>
              <w:rPr>
                <w:rFonts w:ascii="仿宋" w:hAnsi="仿宋" w:eastAsia="仿宋" w:cs="仿宋"/>
                <w:color w:val="auto"/>
                <w:sz w:val="24"/>
                <w:highlight w:val="none"/>
              </w:rPr>
            </w:pPr>
          </w:p>
        </w:tc>
        <w:tc>
          <w:tcPr>
            <w:tcW w:w="2604" w:type="pct"/>
            <w:vAlign w:val="center"/>
          </w:tcPr>
          <w:p>
            <w:pPr>
              <w:pStyle w:val="6"/>
              <w:rPr>
                <w:rFonts w:ascii="仿宋" w:hAnsi="仿宋" w:eastAsia="仿宋" w:cs="仿宋"/>
                <w:color w:val="auto"/>
                <w:sz w:val="24"/>
                <w:szCs w:val="24"/>
                <w:highlight w:val="none"/>
              </w:rPr>
            </w:pPr>
            <w:r>
              <w:rPr>
                <w:rFonts w:hint="eastAsia" w:ascii="仿宋_GB2312" w:hAnsi="仿宋" w:eastAsia="仿宋_GB2312" w:cs="仿宋_GB2312"/>
                <w:color w:val="auto"/>
                <w:sz w:val="24"/>
                <w:highlight w:val="none"/>
              </w:rPr>
              <w:t>服务质量的保证措施可行合理的得5分，</w:t>
            </w:r>
            <w:r>
              <w:rPr>
                <w:rFonts w:hint="eastAsia" w:ascii="仿宋" w:hAnsi="仿宋" w:eastAsia="仿宋" w:cs="仿宋"/>
                <w:color w:val="auto"/>
                <w:sz w:val="24"/>
                <w:szCs w:val="24"/>
                <w:highlight w:val="none"/>
              </w:rPr>
              <w:t>较科学合理的得3.5分，基本合理的得2分，一般的得1分，无相关描述的得0分</w:t>
            </w:r>
            <w:r>
              <w:rPr>
                <w:rFonts w:hint="eastAsia" w:ascii="仿宋_GB2312" w:hAnsi="仿宋" w:eastAsia="仿宋_GB2312" w:cs="仿宋_GB2312"/>
                <w:color w:val="auto"/>
                <w:sz w:val="24"/>
                <w:highlight w:val="none"/>
              </w:rPr>
              <w:t>。</w:t>
            </w:r>
          </w:p>
        </w:tc>
        <w:tc>
          <w:tcPr>
            <w:tcW w:w="432" w:type="pct"/>
            <w:vAlign w:val="center"/>
          </w:tcPr>
          <w:p>
            <w:pPr>
              <w:widowControl/>
              <w:jc w:val="center"/>
              <w:textAlignment w:val="center"/>
              <w:rPr>
                <w:rFonts w:ascii="仿宋" w:hAnsi="仿宋" w:eastAsia="仿宋" w:cs="仿宋"/>
                <w:snapToGrid w:val="0"/>
                <w:color w:val="auto"/>
                <w:sz w:val="24"/>
                <w:highlight w:val="none"/>
              </w:rPr>
            </w:pPr>
            <w:r>
              <w:rPr>
                <w:rFonts w:hint="eastAsia" w:ascii="仿宋" w:hAnsi="仿宋" w:eastAsia="仿宋" w:cs="仿宋"/>
                <w:color w:val="auto"/>
                <w:kern w:val="0"/>
                <w:sz w:val="24"/>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snapToGrid w:val="0"/>
              <w:jc w:val="center"/>
              <w:rPr>
                <w:rFonts w:ascii="仿宋" w:hAnsi="仿宋" w:eastAsia="仿宋" w:cs="仿宋"/>
                <w:color w:val="auto"/>
                <w:sz w:val="24"/>
                <w:highlight w:val="none"/>
              </w:rPr>
            </w:pPr>
          </w:p>
        </w:tc>
        <w:tc>
          <w:tcPr>
            <w:tcW w:w="2604" w:type="pct"/>
            <w:vAlign w:val="center"/>
          </w:tcPr>
          <w:p>
            <w:pPr>
              <w:pStyle w:val="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保证项目进度的有效措施科学合理的得5分，</w:t>
            </w:r>
            <w:r>
              <w:rPr>
                <w:rFonts w:hint="eastAsia" w:ascii="仿宋" w:hAnsi="仿宋" w:eastAsia="仿宋" w:cs="仿宋"/>
                <w:color w:val="auto"/>
                <w:sz w:val="24"/>
                <w:szCs w:val="24"/>
                <w:highlight w:val="none"/>
              </w:rPr>
              <w:t>较科学合理的得3.5分，基本合理的得2分，一般的得1分，无相关描述的得0分</w:t>
            </w:r>
            <w:r>
              <w:rPr>
                <w:rFonts w:hint="eastAsia" w:ascii="仿宋_GB2312" w:hAnsi="仿宋" w:eastAsia="仿宋_GB2312" w:cs="仿宋_GB2312"/>
                <w:color w:val="auto"/>
                <w:sz w:val="24"/>
                <w:highlight w:val="none"/>
              </w:rPr>
              <w:t>。</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Merge w:val="continue"/>
            <w:vAlign w:val="center"/>
          </w:tcPr>
          <w:p>
            <w:pPr>
              <w:ind w:firstLine="240" w:firstLineChars="100"/>
              <w:rPr>
                <w:rFonts w:ascii="仿宋" w:hAnsi="仿宋" w:eastAsia="仿宋" w:cs="仿宋"/>
                <w:color w:val="auto"/>
                <w:sz w:val="24"/>
                <w:highlight w:val="none"/>
              </w:rPr>
            </w:pPr>
          </w:p>
        </w:tc>
        <w:tc>
          <w:tcPr>
            <w:tcW w:w="786" w:type="pct"/>
            <w:vMerge w:val="continue"/>
            <w:vAlign w:val="center"/>
          </w:tcPr>
          <w:p>
            <w:pPr>
              <w:snapToGrid w:val="0"/>
              <w:jc w:val="center"/>
              <w:rPr>
                <w:rFonts w:ascii="仿宋" w:hAnsi="仿宋" w:eastAsia="仿宋" w:cs="仿宋"/>
                <w:color w:val="auto"/>
                <w:sz w:val="24"/>
                <w:highlight w:val="none"/>
              </w:rPr>
            </w:pPr>
          </w:p>
        </w:tc>
        <w:tc>
          <w:tcPr>
            <w:tcW w:w="2604" w:type="pct"/>
            <w:vAlign w:val="center"/>
          </w:tcPr>
          <w:p>
            <w:pPr>
              <w:pStyle w:val="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项目实施过程中突发事件处理机制与预案科学合理的得5分，</w:t>
            </w:r>
            <w:r>
              <w:rPr>
                <w:rFonts w:hint="eastAsia" w:ascii="仿宋" w:hAnsi="仿宋" w:eastAsia="仿宋" w:cs="仿宋"/>
                <w:color w:val="auto"/>
                <w:sz w:val="24"/>
                <w:szCs w:val="24"/>
                <w:highlight w:val="none"/>
              </w:rPr>
              <w:t>较科学合理的得3.5分，基本合理的得2分，一般的得1分，无相关描述的得0分</w:t>
            </w:r>
            <w:r>
              <w:rPr>
                <w:rFonts w:hint="eastAsia" w:ascii="仿宋_GB2312" w:hAnsi="仿宋" w:eastAsia="仿宋_GB2312" w:cs="仿宋_GB2312"/>
                <w:color w:val="auto"/>
                <w:sz w:val="24"/>
                <w:highlight w:val="none"/>
              </w:rPr>
              <w:t>。</w:t>
            </w:r>
          </w:p>
        </w:tc>
        <w:tc>
          <w:tcPr>
            <w:tcW w:w="432" w:type="pct"/>
            <w:vAlign w:val="center"/>
          </w:tcPr>
          <w:p>
            <w:pPr>
              <w:widowControl/>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86" w:type="pc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全过程跟踪审计服务的疑难点考虑</w:t>
            </w:r>
          </w:p>
        </w:tc>
        <w:tc>
          <w:tcPr>
            <w:tcW w:w="2604" w:type="pct"/>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对本医院项目全过程跟踪审计服务的疑难点的认识准确，解决措施完整、合理、可行的得5分；认识较准确，解决措施较完整、合理、可行的得3.5分；认识基本准确，解决措基本完整、合理、可行的得2分；一般的得1分；无相关描述的得0分。</w:t>
            </w:r>
          </w:p>
        </w:tc>
        <w:tc>
          <w:tcPr>
            <w:tcW w:w="432" w:type="pct"/>
            <w:vAlign w:val="center"/>
          </w:tcPr>
          <w:p>
            <w:pPr>
              <w:widowControl/>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399" w:type="pct"/>
            <w:vAlign w:val="center"/>
          </w:tcPr>
          <w:p>
            <w:pPr>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786" w:type="pct"/>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合理化建议</w:t>
            </w:r>
          </w:p>
        </w:tc>
        <w:tc>
          <w:tcPr>
            <w:tcW w:w="2604" w:type="pct"/>
            <w:vAlign w:val="center"/>
          </w:tcPr>
          <w:p>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全过程跟踪审计服务的合理化建议或其他合理化建议科学合理的得5分，较科学合理的得3.5分，基本合理的得2分，一般的得1分，无相关描述的得0分。</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777" w:type="pct"/>
          </w:tcPr>
          <w:p>
            <w:pP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9" w:type="pct"/>
            <w:vAlign w:val="center"/>
          </w:tcPr>
          <w:p>
            <w:pPr>
              <w:ind w:left="239" w:leftChars="114"/>
              <w:outlineLvl w:val="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报价</w:t>
            </w:r>
          </w:p>
        </w:tc>
        <w:tc>
          <w:tcPr>
            <w:tcW w:w="3390" w:type="pct"/>
            <w:gridSpan w:val="2"/>
          </w:tcPr>
          <w:p>
            <w:pPr>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432" w:type="pct"/>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777" w:type="pct"/>
            <w:vAlign w:val="center"/>
          </w:tcPr>
          <w:p>
            <w:pPr>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bookmarkEnd w:id="395"/>
    </w:tbl>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内容）提供评标标准相应的商务技术资料。</w:t>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7"/>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7"/>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7"/>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7"/>
        <w:snapToGrid w:val="0"/>
        <w:spacing w:line="360" w:lineRule="auto"/>
        <w:ind w:firstLine="0" w:firstLineChars="0"/>
        <w:rPr>
          <w:rFonts w:ascii="仿宋" w:hAnsi="仿宋" w:eastAsia="仿宋" w:cs="仿宋"/>
          <w:color w:val="auto"/>
          <w:highlight w:val="none"/>
        </w:rPr>
      </w:pPr>
    </w:p>
    <w:bookmarkEnd w:id="26"/>
    <w:p>
      <w:pPr>
        <w:spacing w:line="360" w:lineRule="auto"/>
        <w:ind w:left="720" w:leftChars="343" w:firstLine="1084" w:firstLineChars="300"/>
        <w:outlineLvl w:val="0"/>
        <w:rPr>
          <w:rFonts w:ascii="仿宋" w:hAnsi="仿宋" w:eastAsia="仿宋" w:cs="仿宋"/>
          <w:b/>
          <w:color w:val="auto"/>
          <w:sz w:val="36"/>
          <w:szCs w:val="36"/>
          <w:highlight w:val="none"/>
        </w:rPr>
      </w:pPr>
      <w:bookmarkStart w:id="396" w:name="第五部分"/>
      <w:bookmarkStart w:id="397" w:name="_Toc86217003"/>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ind w:left="720" w:leftChars="343" w:firstLine="1084" w:firstLineChars="300"/>
        <w:outlineLvl w:val="0"/>
        <w:rPr>
          <w:rFonts w:ascii="仿宋" w:hAnsi="仿宋" w:eastAsia="仿宋" w:cs="仿宋"/>
          <w:b/>
          <w:color w:val="auto"/>
          <w:sz w:val="36"/>
          <w:szCs w:val="36"/>
          <w:highlight w:val="none"/>
        </w:rPr>
      </w:pPr>
    </w:p>
    <w:p>
      <w:pPr>
        <w:spacing w:line="360" w:lineRule="auto"/>
        <w:jc w:val="center"/>
        <w:outlineLvl w:val="0"/>
        <w:rPr>
          <w:rFonts w:ascii="仿宋" w:hAnsi="仿宋" w:eastAsia="仿宋" w:cs="仿宋"/>
          <w:b/>
          <w:color w:val="auto"/>
          <w:sz w:val="36"/>
          <w:szCs w:val="36"/>
          <w:highlight w:val="none"/>
        </w:rPr>
        <w:sectPr>
          <w:footerReference r:id="rId8" w:type="default"/>
          <w:pgSz w:w="11911" w:h="16838"/>
          <w:pgMar w:top="1502" w:right="1378" w:bottom="1780" w:left="1582" w:header="0" w:footer="1378" w:gutter="0"/>
          <w:cols w:space="720" w:num="1"/>
        </w:sect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（以最终合同为准）</w:t>
      </w:r>
    </w:p>
    <w:p>
      <w:pPr>
        <w:ind w:firstLine="600" w:firstLineChars="200"/>
        <w:rPr>
          <w:rFonts w:ascii="仿宋" w:hAnsi="仿宋" w:eastAsia="仿宋" w:cs="仿宋"/>
          <w:b/>
          <w:color w:val="auto"/>
          <w:sz w:val="30"/>
          <w:szCs w:val="30"/>
          <w:highlight w:val="none"/>
          <w:u w:val="single"/>
        </w:rPr>
      </w:pPr>
      <w:r>
        <w:rPr>
          <w:rFonts w:hint="eastAsia" w:ascii="仿宋" w:hAnsi="仿宋" w:eastAsia="仿宋" w:cs="仿宋"/>
          <w:bCs/>
          <w:color w:val="auto"/>
          <w:sz w:val="30"/>
          <w:szCs w:val="30"/>
          <w:highlight w:val="none"/>
        </w:rPr>
        <w:t xml:space="preserve">GF—2015—0212                       </w:t>
      </w:r>
      <w:r>
        <w:rPr>
          <w:rFonts w:hint="eastAsia" w:ascii="仿宋" w:hAnsi="仿宋" w:eastAsia="仿宋" w:cs="仿宋"/>
          <w:b/>
          <w:color w:val="auto"/>
          <w:sz w:val="30"/>
          <w:szCs w:val="30"/>
          <w:highlight w:val="none"/>
        </w:rPr>
        <w:t>合同编号：</w:t>
      </w:r>
      <w:r>
        <w:rPr>
          <w:rFonts w:hint="eastAsia" w:ascii="仿宋" w:hAnsi="仿宋" w:eastAsia="仿宋" w:cs="仿宋"/>
          <w:b/>
          <w:color w:val="auto"/>
          <w:sz w:val="30"/>
          <w:szCs w:val="30"/>
          <w:highlight w:val="none"/>
          <w:u w:val="single"/>
        </w:rPr>
        <w:t xml:space="preserve">          </w:t>
      </w:r>
    </w:p>
    <w:p>
      <w:pPr>
        <w:rPr>
          <w:rFonts w:ascii="仿宋" w:hAnsi="仿宋" w:eastAsia="仿宋" w:cs="仿宋"/>
          <w:color w:val="auto"/>
          <w:highlight w:val="none"/>
        </w:rPr>
      </w:pPr>
    </w:p>
    <w:p>
      <w:pPr>
        <w:pStyle w:val="6"/>
        <w:rPr>
          <w:color w:val="auto"/>
          <w:highlight w:val="none"/>
        </w:rPr>
      </w:pPr>
    </w:p>
    <w:p>
      <w:pPr>
        <w:pStyle w:val="6"/>
        <w:rPr>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建设工程造价控制</w:t>
      </w:r>
    </w:p>
    <w:p>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咨询合同</w:t>
      </w:r>
    </w:p>
    <w:p>
      <w:pPr>
        <w:pStyle w:val="6"/>
        <w:rPr>
          <w:color w:val="auto"/>
          <w:highlight w:val="none"/>
        </w:rPr>
      </w:pPr>
    </w:p>
    <w:p>
      <w:pPr>
        <w:pStyle w:val="6"/>
        <w:rPr>
          <w:color w:val="auto"/>
          <w:highlight w:val="none"/>
        </w:rPr>
      </w:pPr>
    </w:p>
    <w:p>
      <w:pP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jc w:val="center"/>
        <w:rPr>
          <w:rFonts w:ascii="仿宋" w:hAnsi="仿宋" w:eastAsia="仿宋" w:cs="仿宋"/>
          <w:color w:val="auto"/>
          <w:highlight w:val="none"/>
        </w:rPr>
      </w:pPr>
    </w:p>
    <w:p>
      <w:pPr>
        <w:pStyle w:val="967"/>
        <w:rPr>
          <w:rFonts w:ascii="仿宋" w:hAnsi="仿宋" w:eastAsia="仿宋" w:cs="仿宋"/>
          <w:color w:val="auto"/>
          <w:sz w:val="32"/>
          <w:szCs w:val="32"/>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3761105</wp:posOffset>
                </wp:positionH>
                <wp:positionV relativeFrom="paragraph">
                  <wp:posOffset>180975</wp:posOffset>
                </wp:positionV>
                <wp:extent cx="2239010" cy="354965"/>
                <wp:effectExtent l="5080" t="4445" r="2286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39010" cy="354965"/>
                        </a:xfrm>
                        <a:prstGeom prst="rect">
                          <a:avLst/>
                        </a:prstGeom>
                        <a:solidFill>
                          <a:srgbClr val="FFFFFF"/>
                        </a:solidFill>
                        <a:ln w="0">
                          <a:solidFill>
                            <a:srgbClr val="FFFFFF"/>
                          </a:solidFill>
                          <a:miter lim="800000"/>
                        </a:ln>
                        <a:effectLst/>
                      </wps:spPr>
                      <wps:txbx>
                        <w:txbxContent>
                          <w:p>
                            <w:pPr>
                              <w:ind w:firstLine="321" w:firstLineChars="100"/>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96.15pt;margin-top:14.25pt;height:27.95pt;width:176.3pt;z-index:251662336;mso-width-relative:page;mso-height-relative:page;" fillcolor="#FFFFFF" filled="t" stroked="t" coordsize="21600,21600" o:gfxdata="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2g7w2AAAAAkBAAAPAAAAAAAAAAEAIAAAACIAAABk&#10;cnMvZG93bnJldi54bWxQSwECFAAUAAAACACHTuJA2nxbAz8CAACSBAAADgAAAAAAAAABACAAAAAn&#10;AQAAZHJzL2Uyb0RvYy54bWxQSwUGAAAAAAYABgBZAQAA2AUAAAAA&#10;">
                <v:fill on="t" focussize="0,0"/>
                <v:stroke weight="0pt" color="#FFFFFF" miterlimit="8" joinstyle="miter"/>
                <v:imagedata o:title=""/>
                <o:lock v:ext="edit" aspectratio="f"/>
                <v:textbox style="mso-fit-shape-to-text:t;">
                  <w:txbxContent>
                    <w:p>
                      <w:pPr>
                        <w:ind w:firstLine="321" w:firstLineChars="100"/>
                        <w:rPr>
                          <w:b/>
                          <w:sz w:val="32"/>
                          <w:szCs w:val="32"/>
                        </w:rPr>
                      </w:pPr>
                      <w:r>
                        <w:rPr>
                          <w:rFonts w:hint="eastAsia"/>
                          <w:b/>
                          <w:sz w:val="32"/>
                          <w:szCs w:val="32"/>
                        </w:rPr>
                        <w:t>制定</w:t>
                      </w:r>
                    </w:p>
                  </w:txbxContent>
                </v:textbox>
              </v:shape>
            </w:pict>
          </mc:Fallback>
        </mc:AlternateContent>
      </w:r>
      <w:r>
        <w:rPr>
          <w:rFonts w:hint="eastAsia" w:ascii="仿宋" w:hAnsi="仿宋" w:eastAsia="仿宋" w:cs="仿宋"/>
          <w:color w:val="auto"/>
          <w:sz w:val="32"/>
          <w:szCs w:val="32"/>
          <w:highlight w:val="none"/>
        </w:rPr>
        <w:t xml:space="preserve">                  住 房 和 城 乡 建 设 部</w:t>
      </w:r>
    </w:p>
    <w:p>
      <w:pPr>
        <w:pStyle w:val="967"/>
        <w:ind w:firstLine="2570" w:firstLineChars="8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国家工商行政管理总局</w:t>
      </w:r>
    </w:p>
    <w:p>
      <w:pPr>
        <w:spacing w:line="360" w:lineRule="auto"/>
        <w:ind w:firstLine="482" w:firstLineChars="200"/>
        <w:jc w:val="center"/>
        <w:outlineLvl w:val="2"/>
        <w:rPr>
          <w:rFonts w:ascii="仿宋" w:hAnsi="仿宋" w:eastAsia="仿宋" w:cs="仿宋"/>
          <w:b/>
          <w:bCs/>
          <w:color w:val="auto"/>
          <w:sz w:val="24"/>
          <w:highlight w:val="none"/>
        </w:rPr>
      </w:pPr>
      <w:bookmarkStart w:id="398" w:name="_Toc35366002"/>
    </w:p>
    <w:p>
      <w:pPr>
        <w:spacing w:line="360" w:lineRule="auto"/>
        <w:ind w:firstLine="482" w:firstLineChars="200"/>
        <w:jc w:val="center"/>
        <w:outlineLvl w:val="2"/>
        <w:rPr>
          <w:rFonts w:hint="eastAsia" w:ascii="仿宋" w:hAnsi="仿宋" w:eastAsia="仿宋" w:cs="仿宋"/>
          <w:b/>
          <w:bCs/>
          <w:color w:val="auto"/>
          <w:sz w:val="24"/>
          <w:highlight w:val="none"/>
        </w:rPr>
      </w:pPr>
    </w:p>
    <w:p>
      <w:pPr>
        <w:spacing w:line="360" w:lineRule="auto"/>
        <w:ind w:firstLine="482" w:firstLineChars="200"/>
        <w:jc w:val="center"/>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第一部分：协议书</w:t>
      </w:r>
      <w:bookmarkEnd w:id="398"/>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委托人（全称）：</w:t>
      </w:r>
      <w:r>
        <w:rPr>
          <w:rFonts w:hint="eastAsia" w:ascii="仿宋" w:hAnsi="仿宋" w:eastAsia="仿宋" w:cs="仿宋"/>
          <w:bCs/>
          <w:color w:val="auto"/>
          <w:sz w:val="24"/>
          <w:highlight w:val="none"/>
          <w:u w:val="single"/>
        </w:rPr>
        <w:t xml:space="preserve">杭州市卫生健康事业发展中心  </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咨询人（全称）：</w:t>
      </w:r>
      <w:r>
        <w:rPr>
          <w:rFonts w:hint="eastAsia" w:ascii="仿宋" w:hAnsi="仿宋" w:eastAsia="仿宋" w:cs="仿宋"/>
          <w:bCs/>
          <w:color w:val="auto"/>
          <w:sz w:val="24"/>
          <w:highlight w:val="none"/>
          <w:u w:val="single"/>
        </w:rPr>
        <w:t xml:space="preserve">                    </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根据《民法典》及其他有关法律、法规，遵循平等、自愿、公平和诚实信用的原则，双方就下述建设工程委托造价控制咨询与其他服务事项协商一致，订立本合同。</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一、工程概况</w:t>
      </w:r>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bCs/>
          <w:color w:val="auto"/>
          <w:sz w:val="24"/>
          <w:highlight w:val="none"/>
          <w:u w:val="single"/>
        </w:rPr>
        <w:t>杭州市第一人民医院新院区建设工程全过程跟踪审计服务项目。</w:t>
      </w:r>
    </w:p>
    <w:p>
      <w:pPr>
        <w:autoSpaceDE w:val="0"/>
        <w:autoSpaceDN w:val="0"/>
        <w:spacing w:line="360" w:lineRule="auto"/>
        <w:ind w:firstLine="480" w:firstLineChars="200"/>
        <w:jc w:val="left"/>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2、工程地点：</w:t>
      </w:r>
      <w:r>
        <w:rPr>
          <w:rFonts w:hint="eastAsia" w:ascii="仿宋" w:hAnsi="仿宋" w:eastAsia="仿宋" w:cs="仿宋"/>
          <w:bCs/>
          <w:color w:val="auto"/>
          <w:sz w:val="24"/>
          <w:highlight w:val="none"/>
          <w:u w:val="single"/>
        </w:rPr>
        <w:t>杭州市艮北新区单元，四至范围：东至红普路、西至园区路、北至红建路、南至艮山东路。</w:t>
      </w:r>
    </w:p>
    <w:p>
      <w:pPr>
        <w:spacing w:line="440" w:lineRule="exact"/>
        <w:ind w:firstLine="480" w:firstLineChars="200"/>
        <w:rPr>
          <w:rFonts w:ascii="仿宋" w:hAnsi="仿宋" w:eastAsia="仿宋" w:cs="仿宋"/>
          <w:color w:val="auto"/>
          <w:kern w:val="0"/>
          <w:sz w:val="24"/>
          <w:highlight w:val="none"/>
          <w:lang w:bidi="ar"/>
        </w:rPr>
      </w:pPr>
      <w:r>
        <w:rPr>
          <w:rFonts w:hint="eastAsia" w:ascii="仿宋" w:hAnsi="仿宋" w:eastAsia="仿宋" w:cs="仿宋"/>
          <w:bCs/>
          <w:color w:val="auto"/>
          <w:sz w:val="24"/>
          <w:highlight w:val="none"/>
        </w:rPr>
        <w:t>3、工程规模：</w:t>
      </w:r>
      <w:r>
        <w:rPr>
          <w:rFonts w:hint="eastAsia" w:ascii="仿宋" w:hAnsi="仿宋" w:eastAsia="仿宋" w:cs="仿宋"/>
          <w:color w:val="auto"/>
          <w:kern w:val="0"/>
          <w:sz w:val="24"/>
          <w:highlight w:val="none"/>
          <w:lang w:bidi="ar"/>
        </w:rPr>
        <w:t>总建筑面积暂定为312000平方米，地上建筑面积约177050平方米，地下建筑面积约134950平方米。</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4、总投资额：</w:t>
      </w:r>
      <w:r>
        <w:rPr>
          <w:rFonts w:hint="eastAsia" w:ascii="仿宋" w:hAnsi="仿宋" w:eastAsia="仿宋" w:cs="仿宋"/>
          <w:color w:val="auto"/>
          <w:kern w:val="0"/>
          <w:sz w:val="24"/>
          <w:highlight w:val="none"/>
          <w:lang w:bidi="ar"/>
        </w:rPr>
        <w:t>274119万元（不含土地费及医疗设备费）</w:t>
      </w:r>
      <w:r>
        <w:rPr>
          <w:rFonts w:hint="eastAsia" w:ascii="仿宋" w:hAnsi="仿宋" w:eastAsia="仿宋" w:cs="仿宋"/>
          <w:bCs/>
          <w:color w:val="auto"/>
          <w:sz w:val="24"/>
          <w:highlight w:val="none"/>
        </w:rPr>
        <w:t>。</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5、资金来源：财政资金。</w:t>
      </w:r>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6、建设工期或周期：</w:t>
      </w:r>
      <w:r>
        <w:rPr>
          <w:rFonts w:hint="eastAsia" w:ascii="仿宋" w:hAnsi="仿宋" w:eastAsia="仿宋" w:cs="仿宋"/>
          <w:bCs/>
          <w:color w:val="auto"/>
          <w:sz w:val="24"/>
          <w:highlight w:val="none"/>
          <w:u w:val="single"/>
        </w:rPr>
        <w:t>根据实际建设工期。</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7、其他：</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u w:val="single"/>
        </w:rPr>
        <w:t>。</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二、服务范围及工作内容：</w:t>
      </w:r>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预算</w:t>
      </w:r>
      <w:r>
        <w:rPr>
          <w:rFonts w:hint="eastAsia" w:ascii="仿宋" w:hAnsi="仿宋" w:eastAsia="仿宋" w:cs="仿宋"/>
          <w:color w:val="auto"/>
          <w:kern w:val="0"/>
          <w:sz w:val="24"/>
          <w:highlight w:val="none"/>
        </w:rPr>
        <w:t>编制及</w:t>
      </w:r>
      <w:r>
        <w:rPr>
          <w:rFonts w:hint="eastAsia" w:ascii="仿宋" w:hAnsi="仿宋" w:eastAsia="仿宋" w:cs="仿宋"/>
          <w:bCs/>
          <w:color w:val="auto"/>
          <w:sz w:val="24"/>
          <w:highlight w:val="none"/>
          <w:u w:val="single"/>
        </w:rPr>
        <w:t>审核、制定造价控制、资金使用计划的实施方案，合同价款审核（包括合同分析、合同交底、合同变更管理工作），施工阶段造价风险分析，审核工程预付款和完成期中结算（初审）及其价款支付，工程变更、签证及索赔管理，材料、设备的询价，</w:t>
      </w:r>
      <w:r>
        <w:rPr>
          <w:rFonts w:hint="eastAsia" w:ascii="仿宋" w:hAnsi="仿宋" w:eastAsia="仿宋" w:cs="仿宋"/>
          <w:bCs/>
          <w:color w:val="auto"/>
          <w:sz w:val="24"/>
          <w:highlight w:val="none"/>
          <w:u w:val="single"/>
        </w:rPr>
        <w:t>提供核价建议，工程造价动态管理，过程分阶段工程结算初审审核及汇总</w:t>
      </w:r>
      <w:r>
        <w:rPr>
          <w:rFonts w:hint="eastAsia" w:ascii="仿宋" w:hAnsi="仿宋" w:eastAsia="仿宋" w:cs="仿宋"/>
          <w:color w:val="auto"/>
          <w:kern w:val="0"/>
          <w:sz w:val="24"/>
          <w:highlight w:val="none"/>
          <w:u w:val="single"/>
        </w:rPr>
        <w:t>（根据委托人需求）</w:t>
      </w:r>
      <w:r>
        <w:rPr>
          <w:rFonts w:hint="eastAsia" w:ascii="仿宋" w:hAnsi="仿宋" w:eastAsia="仿宋" w:cs="仿宋"/>
          <w:bCs/>
          <w:color w:val="auto"/>
          <w:sz w:val="24"/>
          <w:highlight w:val="none"/>
          <w:u w:val="single"/>
        </w:rPr>
        <w:t>，完成竣工结算初审</w:t>
      </w:r>
      <w:r>
        <w:rPr>
          <w:rFonts w:hint="eastAsia" w:ascii="仿宋" w:hAnsi="仿宋" w:eastAsia="仿宋" w:cs="仿宋"/>
          <w:color w:val="auto"/>
          <w:kern w:val="0"/>
          <w:sz w:val="24"/>
          <w:highlight w:val="none"/>
          <w:u w:val="single"/>
        </w:rPr>
        <w:t>（核增核减追加费包含在合同总价中，不再额外支付）</w:t>
      </w:r>
      <w:r>
        <w:rPr>
          <w:rFonts w:hint="eastAsia" w:ascii="仿宋" w:hAnsi="仿宋" w:eastAsia="仿宋" w:cs="仿宋"/>
          <w:bCs/>
          <w:color w:val="auto"/>
          <w:sz w:val="24"/>
          <w:highlight w:val="none"/>
          <w:u w:val="single"/>
        </w:rPr>
        <w:t>，项目</w:t>
      </w:r>
      <w:r>
        <w:rPr>
          <w:rFonts w:hint="eastAsia" w:ascii="仿宋" w:hAnsi="仿宋" w:eastAsia="仿宋" w:cs="仿宋"/>
          <w:color w:val="auto"/>
          <w:kern w:val="0"/>
          <w:sz w:val="24"/>
          <w:highlight w:val="none"/>
          <w:u w:val="single"/>
        </w:rPr>
        <w:t>竣工财务决算编制</w:t>
      </w:r>
      <w:r>
        <w:rPr>
          <w:rFonts w:hint="eastAsia" w:ascii="仿宋" w:hAnsi="仿宋" w:eastAsia="仿宋" w:cs="仿宋"/>
          <w:bCs/>
          <w:color w:val="auto"/>
          <w:sz w:val="24"/>
          <w:highlight w:val="none"/>
          <w:u w:val="single"/>
        </w:rPr>
        <w:t>工作，工程技术经济指标分析等所有与全过程跟踪审计服务相关的工作。</w:t>
      </w:r>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如：工程量清单及招标控制价编制审核并出具审核报告，招标文件及合同的审核，工程联系单审核，工程款支付审核，竣工结算初审，</w:t>
      </w:r>
      <w:r>
        <w:rPr>
          <w:rFonts w:hint="eastAsia" w:ascii="仿宋" w:hAnsi="仿宋" w:eastAsia="仿宋" w:cs="仿宋"/>
          <w:bCs/>
          <w:color w:val="auto"/>
          <w:sz w:val="24"/>
          <w:highlight w:val="none"/>
          <w:u w:val="single"/>
        </w:rPr>
        <w:t>项目</w:t>
      </w:r>
      <w:r>
        <w:rPr>
          <w:rFonts w:hint="eastAsia" w:ascii="仿宋" w:hAnsi="仿宋" w:eastAsia="仿宋" w:cs="仿宋"/>
          <w:color w:val="auto"/>
          <w:kern w:val="0"/>
          <w:sz w:val="24"/>
          <w:highlight w:val="none"/>
          <w:u w:val="single"/>
        </w:rPr>
        <w:t>竣工财务决算编制，</w:t>
      </w:r>
      <w:r>
        <w:rPr>
          <w:rFonts w:hint="eastAsia" w:ascii="仿宋" w:hAnsi="仿宋" w:eastAsia="仿宋" w:cs="仿宋"/>
          <w:bCs/>
          <w:color w:val="auto"/>
          <w:sz w:val="24"/>
          <w:highlight w:val="none"/>
          <w:u w:val="single"/>
        </w:rPr>
        <w:t>成果交付，售后服务等所有与全过程跟踪审计服务相关的工作。</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三、服务期限</w:t>
      </w:r>
    </w:p>
    <w:p>
      <w:pP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rPr>
        <w:t>本合同约定的建设工程造价控制咨询服务期：</w:t>
      </w:r>
      <w:r>
        <w:rPr>
          <w:rFonts w:hint="eastAsia" w:ascii="仿宋" w:hAnsi="仿宋" w:eastAsia="仿宋" w:cs="仿宋"/>
          <w:color w:val="auto"/>
          <w:kern w:val="0"/>
          <w:sz w:val="24"/>
          <w:highlight w:val="none"/>
          <w:u w:val="single"/>
        </w:rPr>
        <w:t>合同签订之日起至整体项目竣工财务决算批复完成并归档。</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四、质量标准</w:t>
      </w:r>
    </w:p>
    <w:p>
      <w:pPr>
        <w:spacing w:line="440" w:lineRule="exact"/>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工程造价咨询成果文件应符合：</w:t>
      </w:r>
      <w:r>
        <w:rPr>
          <w:rFonts w:hint="eastAsia" w:ascii="仿宋" w:hAnsi="仿宋" w:eastAsia="仿宋" w:cs="仿宋"/>
          <w:bCs/>
          <w:color w:val="auto"/>
          <w:sz w:val="24"/>
          <w:highlight w:val="none"/>
          <w:u w:val="single"/>
        </w:rPr>
        <w:t xml:space="preserve">    合格     </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五、酬金或计取方式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1、酬金：</w:t>
      </w:r>
      <w:r>
        <w:rPr>
          <w:rFonts w:hint="eastAsia" w:ascii="仿宋" w:hAnsi="仿宋" w:eastAsia="仿宋" w:cs="仿宋"/>
          <w:color w:val="auto"/>
          <w:sz w:val="24"/>
          <w:highlight w:val="none"/>
        </w:rPr>
        <w:t>本项目全过程跟踪审计费用含税总价为人民币（大写）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  元），不含税总价为人民币（大写）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元），税率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40" w:lineRule="exact"/>
        <w:ind w:left="420"/>
        <w:rPr>
          <w:rFonts w:ascii="仿宋" w:hAnsi="仿宋" w:eastAsia="仿宋" w:cs="仿宋"/>
          <w:bCs/>
          <w:color w:val="auto"/>
          <w:sz w:val="24"/>
          <w:highlight w:val="none"/>
        </w:rPr>
      </w:pPr>
      <w:r>
        <w:rPr>
          <w:rFonts w:hint="eastAsia" w:ascii="仿宋" w:hAnsi="仿宋" w:eastAsia="仿宋" w:cs="仿宋"/>
          <w:bCs/>
          <w:color w:val="auto"/>
          <w:sz w:val="24"/>
          <w:highlight w:val="none"/>
        </w:rPr>
        <w:t>2、合同形式：固定总价，投标报价一次性包干，不做调整。</w:t>
      </w:r>
    </w:p>
    <w:p>
      <w:pPr>
        <w:spacing w:line="440" w:lineRule="exact"/>
        <w:ind w:left="420"/>
        <w:rPr>
          <w:rFonts w:ascii="仿宋" w:hAnsi="仿宋" w:eastAsia="仿宋" w:cs="仿宋"/>
          <w:bCs/>
          <w:color w:val="auto"/>
          <w:sz w:val="24"/>
          <w:highlight w:val="none"/>
        </w:rPr>
      </w:pPr>
      <w:r>
        <w:rPr>
          <w:rFonts w:hint="eastAsia" w:ascii="仿宋" w:hAnsi="仿宋" w:eastAsia="仿宋" w:cs="仿宋"/>
          <w:bCs/>
          <w:color w:val="auto"/>
          <w:sz w:val="24"/>
          <w:highlight w:val="none"/>
        </w:rPr>
        <w:t>六、合同文件的构成</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中标通知书或委托书（如果有）；</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询标纪要（如有）；</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投标函及投标函附录或造价咨询服务建议书（如果有）；</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专用条件及附录；</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通用条件；</w:t>
      </w:r>
    </w:p>
    <w:p>
      <w:pPr>
        <w:numPr>
          <w:ilvl w:val="0"/>
          <w:numId w:val="11"/>
        </w:numPr>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其他合同文件。</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上述各项合同文件包括合同当事人就该项合同文件所作出的补充和修改， 属于同一类内容的文件，应以最新签署的为准。</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在合同订立及履行过程中形成的与合同有关的文件（包括补充协议）均构成合同文件的组成部分。</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七、词语定义</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协议书中相关词语的含义与通用条件中的定义与解释相同。</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八、合同订立</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1.订立时间： 2022年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月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日。</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2.订立地点：杭州市上城区 。</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九、合同履行形式</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书面文件及委托人要求或认可的其他形式。</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十、合同生效</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本合同自签订且递交</w:t>
      </w:r>
      <w:r>
        <w:rPr>
          <w:rFonts w:hint="eastAsia" w:ascii="仿宋" w:hAnsi="仿宋" w:eastAsia="仿宋" w:cs="仿宋"/>
          <w:color w:val="auto"/>
          <w:sz w:val="24"/>
          <w:highlight w:val="none"/>
        </w:rPr>
        <w:t>履约保证金</w:t>
      </w:r>
      <w:r>
        <w:rPr>
          <w:rFonts w:hint="eastAsia" w:ascii="仿宋" w:hAnsi="仿宋" w:eastAsia="仿宋" w:cs="仿宋"/>
          <w:bCs/>
          <w:color w:val="auto"/>
          <w:sz w:val="24"/>
          <w:highlight w:val="none"/>
        </w:rPr>
        <w:t>后生效。</w:t>
      </w:r>
    </w:p>
    <w:p>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十一、合同份数</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本合同一式</w:t>
      </w:r>
      <w:r>
        <w:rPr>
          <w:rFonts w:hint="eastAsia" w:ascii="仿宋" w:hAnsi="仿宋" w:eastAsia="仿宋" w:cs="仿宋"/>
          <w:bCs/>
          <w:color w:val="auto"/>
          <w:sz w:val="24"/>
          <w:highlight w:val="none"/>
          <w:u w:val="single"/>
        </w:rPr>
        <w:t>玖份</w:t>
      </w:r>
      <w:r>
        <w:rPr>
          <w:rFonts w:hint="eastAsia" w:ascii="仿宋" w:hAnsi="仿宋" w:eastAsia="仿宋" w:cs="仿宋"/>
          <w:bCs/>
          <w:color w:val="auto"/>
          <w:sz w:val="24"/>
          <w:highlight w:val="none"/>
        </w:rPr>
        <w:t>，包含</w:t>
      </w:r>
      <w:r>
        <w:rPr>
          <w:rFonts w:hint="eastAsia" w:ascii="仿宋" w:hAnsi="仿宋" w:eastAsia="仿宋" w:cs="仿宋"/>
          <w:bCs/>
          <w:color w:val="auto"/>
          <w:sz w:val="24"/>
          <w:highlight w:val="none"/>
          <w:u w:val="single"/>
        </w:rPr>
        <w:t>贰份</w:t>
      </w:r>
      <w:r>
        <w:rPr>
          <w:rFonts w:hint="eastAsia" w:ascii="仿宋" w:hAnsi="仿宋" w:eastAsia="仿宋" w:cs="仿宋"/>
          <w:bCs/>
          <w:color w:val="auto"/>
          <w:sz w:val="24"/>
          <w:highlight w:val="none"/>
        </w:rPr>
        <w:t>正本及</w:t>
      </w:r>
      <w:r>
        <w:rPr>
          <w:rFonts w:hint="eastAsia" w:ascii="仿宋" w:hAnsi="仿宋" w:eastAsia="仿宋" w:cs="仿宋"/>
          <w:bCs/>
          <w:color w:val="auto"/>
          <w:sz w:val="24"/>
          <w:highlight w:val="none"/>
          <w:u w:val="single"/>
        </w:rPr>
        <w:t>柒份</w:t>
      </w:r>
      <w:r>
        <w:rPr>
          <w:rFonts w:hint="eastAsia" w:ascii="仿宋" w:hAnsi="仿宋" w:eastAsia="仿宋" w:cs="仿宋"/>
          <w:bCs/>
          <w:color w:val="auto"/>
          <w:sz w:val="24"/>
          <w:highlight w:val="none"/>
        </w:rPr>
        <w:t>副本。其中委托人执正本</w:t>
      </w:r>
      <w:r>
        <w:rPr>
          <w:rFonts w:hint="eastAsia" w:ascii="仿宋" w:hAnsi="仿宋" w:eastAsia="仿宋" w:cs="仿宋"/>
          <w:bCs/>
          <w:color w:val="auto"/>
          <w:sz w:val="24"/>
          <w:highlight w:val="none"/>
          <w:u w:val="single"/>
        </w:rPr>
        <w:t>壹份</w:t>
      </w:r>
      <w:r>
        <w:rPr>
          <w:rFonts w:hint="eastAsia" w:ascii="仿宋" w:hAnsi="仿宋" w:eastAsia="仿宋" w:cs="仿宋"/>
          <w:bCs/>
          <w:color w:val="auto"/>
          <w:sz w:val="24"/>
          <w:highlight w:val="none"/>
        </w:rPr>
        <w:t>，副本</w:t>
      </w:r>
      <w:r>
        <w:rPr>
          <w:rFonts w:hint="eastAsia" w:ascii="仿宋" w:hAnsi="仿宋" w:eastAsia="仿宋" w:cs="仿宋"/>
          <w:bCs/>
          <w:color w:val="auto"/>
          <w:sz w:val="24"/>
          <w:highlight w:val="none"/>
          <w:u w:val="single"/>
        </w:rPr>
        <w:t>伍份</w:t>
      </w:r>
      <w:r>
        <w:rPr>
          <w:rFonts w:hint="eastAsia" w:ascii="仿宋" w:hAnsi="仿宋" w:eastAsia="仿宋" w:cs="仿宋"/>
          <w:bCs/>
          <w:color w:val="auto"/>
          <w:sz w:val="24"/>
          <w:highlight w:val="none"/>
        </w:rPr>
        <w:t>；咨询人执正本</w:t>
      </w:r>
      <w:r>
        <w:rPr>
          <w:rFonts w:hint="eastAsia" w:ascii="仿宋" w:hAnsi="仿宋" w:eastAsia="仿宋" w:cs="仿宋"/>
          <w:bCs/>
          <w:color w:val="auto"/>
          <w:sz w:val="24"/>
          <w:highlight w:val="none"/>
          <w:u w:val="single"/>
        </w:rPr>
        <w:t>壹份</w:t>
      </w:r>
      <w:r>
        <w:rPr>
          <w:rFonts w:hint="eastAsia" w:ascii="仿宋" w:hAnsi="仿宋" w:eastAsia="仿宋" w:cs="仿宋"/>
          <w:bCs/>
          <w:color w:val="auto"/>
          <w:sz w:val="24"/>
          <w:highlight w:val="none"/>
        </w:rPr>
        <w:t>，副本</w:t>
      </w:r>
      <w:r>
        <w:rPr>
          <w:rFonts w:hint="eastAsia" w:ascii="仿宋" w:hAnsi="仿宋" w:eastAsia="仿宋" w:cs="仿宋"/>
          <w:bCs/>
          <w:color w:val="auto"/>
          <w:sz w:val="24"/>
          <w:highlight w:val="none"/>
          <w:u w:val="single"/>
        </w:rPr>
        <w:t>贰份</w:t>
      </w:r>
      <w:r>
        <w:rPr>
          <w:rFonts w:hint="eastAsia" w:ascii="仿宋" w:hAnsi="仿宋" w:eastAsia="仿宋" w:cs="仿宋"/>
          <w:bCs/>
          <w:color w:val="auto"/>
          <w:sz w:val="24"/>
          <w:highlight w:val="none"/>
        </w:rPr>
        <w:t>。</w:t>
      </w:r>
    </w:p>
    <w:p>
      <w:pPr>
        <w:pStyle w:val="24"/>
        <w:tabs>
          <w:tab w:val="left" w:pos="3384"/>
          <w:tab w:val="left" w:pos="5179"/>
          <w:tab w:val="left" w:pos="7723"/>
        </w:tabs>
        <w:spacing w:line="320" w:lineRule="exact"/>
        <w:ind w:left="862" w:right="417"/>
        <w:rPr>
          <w:rFonts w:ascii="仿宋" w:hAnsi="仿宋" w:eastAsia="仿宋" w:cs="仿宋"/>
          <w:color w:val="auto"/>
          <w:highlight w:val="none"/>
        </w:rPr>
      </w:pPr>
      <w:r>
        <w:rPr>
          <w:rFonts w:hint="eastAsia" w:ascii="仿宋" w:hAnsi="仿宋" w:eastAsia="仿宋" w:cs="仿宋"/>
          <w:color w:val="auto"/>
          <w:highlight w:val="none"/>
        </w:rPr>
        <w:t>委 托</w:t>
      </w:r>
      <w:r>
        <w:rPr>
          <w:rFonts w:hint="eastAsia" w:ascii="仿宋" w:hAnsi="仿宋" w:eastAsia="仿宋" w:cs="仿宋"/>
          <w:color w:val="auto"/>
          <w:spacing w:val="3"/>
          <w:highlight w:val="none"/>
        </w:rPr>
        <w:t xml:space="preserve"> </w:t>
      </w:r>
      <w:r>
        <w:rPr>
          <w:rFonts w:hint="eastAsia" w:ascii="仿宋" w:hAnsi="仿宋" w:eastAsia="仿宋" w:cs="仿宋"/>
          <w:color w:val="auto"/>
          <w:highlight w:val="none"/>
        </w:rPr>
        <w:t>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（盖章）</w:t>
      </w:r>
      <w:r>
        <w:rPr>
          <w:rFonts w:hint="eastAsia" w:ascii="仿宋" w:hAnsi="仿宋" w:eastAsia="仿宋" w:cs="仿宋"/>
          <w:color w:val="auto"/>
          <w:highlight w:val="none"/>
        </w:rPr>
        <w:tab/>
      </w:r>
      <w:r>
        <w:rPr>
          <w:rFonts w:hint="eastAsia" w:ascii="仿宋" w:hAnsi="仿宋" w:eastAsia="仿宋" w:cs="仿宋"/>
          <w:color w:val="auto"/>
          <w:highlight w:val="none"/>
        </w:rPr>
        <w:t>咨 询</w:t>
      </w:r>
      <w:r>
        <w:rPr>
          <w:rFonts w:hint="eastAsia" w:ascii="仿宋" w:hAnsi="仿宋" w:eastAsia="仿宋" w:cs="仿宋"/>
          <w:color w:val="auto"/>
          <w:spacing w:val="3"/>
          <w:highlight w:val="none"/>
        </w:rPr>
        <w:t xml:space="preserve"> </w:t>
      </w:r>
      <w:r>
        <w:rPr>
          <w:rFonts w:hint="eastAsia" w:ascii="仿宋" w:hAnsi="仿宋" w:eastAsia="仿宋" w:cs="仿宋"/>
          <w:color w:val="auto"/>
          <w:highlight w:val="none"/>
        </w:rPr>
        <w:t>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（盖章</w:t>
      </w:r>
      <w:r>
        <w:rPr>
          <w:rFonts w:hint="eastAsia" w:ascii="仿宋" w:hAnsi="仿宋" w:eastAsia="仿宋" w:cs="仿宋"/>
          <w:color w:val="auto"/>
          <w:spacing w:val="-16"/>
          <w:highlight w:val="none"/>
        </w:rPr>
        <w:t xml:space="preserve">） </w:t>
      </w:r>
      <w:r>
        <w:rPr>
          <w:rFonts w:hint="eastAsia" w:ascii="仿宋" w:hAnsi="仿宋" w:eastAsia="仿宋" w:cs="仿宋"/>
          <w:color w:val="auto"/>
          <w:highlight w:val="none"/>
        </w:rPr>
        <w:t>法定代表人或其授权的</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法定代表人或其授权的</w:t>
      </w:r>
    </w:p>
    <w:p>
      <w:pPr>
        <w:pStyle w:val="24"/>
        <w:tabs>
          <w:tab w:val="left" w:pos="3216"/>
          <w:tab w:val="left" w:pos="5172"/>
          <w:tab w:val="left" w:pos="7529"/>
        </w:tabs>
        <w:spacing w:line="320" w:lineRule="exact"/>
        <w:ind w:left="862" w:right="420"/>
        <w:rPr>
          <w:rFonts w:ascii="仿宋" w:hAnsi="仿宋" w:eastAsia="仿宋" w:cs="仿宋"/>
          <w:color w:val="auto"/>
          <w:highlight w:val="none"/>
        </w:rPr>
      </w:pPr>
      <w:r>
        <w:rPr>
          <w:rFonts w:hint="eastAsia" w:ascii="仿宋" w:hAnsi="仿宋" w:eastAsia="仿宋" w:cs="仿宋"/>
          <w:color w:val="auto"/>
          <w:highlight w:val="none"/>
        </w:rPr>
        <w:t>代</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理</w:t>
      </w:r>
      <w:r>
        <w:rPr>
          <w:rFonts w:hint="eastAsia" w:ascii="仿宋" w:hAnsi="仿宋" w:eastAsia="仿宋" w:cs="仿宋"/>
          <w:color w:val="auto"/>
          <w:spacing w:val="-58"/>
          <w:highlight w:val="none"/>
        </w:rPr>
        <w:t xml:space="preserve"> </w:t>
      </w:r>
      <w:r>
        <w:rPr>
          <w:rFonts w:hint="eastAsia" w:ascii="仿宋" w:hAnsi="仿宋" w:eastAsia="仿宋" w:cs="仿宋"/>
          <w:color w:val="auto"/>
          <w:highlight w:val="none"/>
        </w:rPr>
        <w:t>人</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签</w:t>
      </w:r>
      <w:r>
        <w:rPr>
          <w:rFonts w:hint="eastAsia" w:ascii="仿宋" w:hAnsi="仿宋" w:eastAsia="仿宋" w:cs="仿宋"/>
          <w:color w:val="auto"/>
          <w:spacing w:val="-58"/>
          <w:highlight w:val="none"/>
        </w:rPr>
        <w:t xml:space="preserve"> </w:t>
      </w:r>
      <w:r>
        <w:rPr>
          <w:rFonts w:hint="eastAsia" w:ascii="仿宋" w:hAnsi="仿宋" w:eastAsia="仿宋" w:cs="仿宋"/>
          <w:color w:val="auto"/>
          <w:highlight w:val="none"/>
        </w:rPr>
        <w:t>字</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rPr>
        <w:tab/>
      </w:r>
      <w:r>
        <w:rPr>
          <w:rFonts w:hint="eastAsia" w:ascii="仿宋" w:hAnsi="仿宋" w:eastAsia="仿宋" w:cs="仿宋"/>
          <w:color w:val="auto"/>
          <w:highlight w:val="none"/>
        </w:rPr>
        <w:t>代</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理</w:t>
      </w:r>
      <w:r>
        <w:rPr>
          <w:rFonts w:hint="eastAsia" w:ascii="仿宋" w:hAnsi="仿宋" w:eastAsia="仿宋" w:cs="仿宋"/>
          <w:color w:val="auto"/>
          <w:spacing w:val="-58"/>
          <w:highlight w:val="none"/>
        </w:rPr>
        <w:t xml:space="preserve"> </w:t>
      </w:r>
      <w:r>
        <w:rPr>
          <w:rFonts w:hint="eastAsia" w:ascii="仿宋" w:hAnsi="仿宋" w:eastAsia="仿宋" w:cs="仿宋"/>
          <w:color w:val="auto"/>
          <w:highlight w:val="none"/>
        </w:rPr>
        <w:t>人</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w:t>
      </w:r>
      <w:r>
        <w:rPr>
          <w:rFonts w:hint="eastAsia" w:ascii="仿宋" w:hAnsi="仿宋" w:eastAsia="仿宋" w:cs="仿宋"/>
          <w:color w:val="auto"/>
          <w:spacing w:val="-56"/>
          <w:highlight w:val="none"/>
        </w:rPr>
        <w:t xml:space="preserve"> </w:t>
      </w:r>
      <w:r>
        <w:rPr>
          <w:rFonts w:hint="eastAsia" w:ascii="仿宋" w:hAnsi="仿宋" w:eastAsia="仿宋" w:cs="仿宋"/>
          <w:color w:val="auto"/>
          <w:highlight w:val="none"/>
        </w:rPr>
        <w:t>签</w:t>
      </w:r>
      <w:r>
        <w:rPr>
          <w:rFonts w:hint="eastAsia" w:ascii="仿宋" w:hAnsi="仿宋" w:eastAsia="仿宋" w:cs="仿宋"/>
          <w:color w:val="auto"/>
          <w:spacing w:val="-58"/>
          <w:highlight w:val="none"/>
        </w:rPr>
        <w:t xml:space="preserve"> </w:t>
      </w:r>
      <w:r>
        <w:rPr>
          <w:rFonts w:hint="eastAsia" w:ascii="仿宋" w:hAnsi="仿宋" w:eastAsia="仿宋" w:cs="仿宋"/>
          <w:color w:val="auto"/>
          <w:highlight w:val="none"/>
        </w:rPr>
        <w:t>字</w:t>
      </w:r>
      <w:r>
        <w:rPr>
          <w:rFonts w:hint="eastAsia" w:ascii="仿宋" w:hAnsi="仿宋" w:eastAsia="仿宋" w:cs="仿宋"/>
          <w:color w:val="auto"/>
          <w:spacing w:val="-56"/>
          <w:highlight w:val="none"/>
        </w:rPr>
        <w:t xml:space="preserve"> </w:t>
      </w:r>
      <w:r>
        <w:rPr>
          <w:rFonts w:hint="eastAsia" w:ascii="仿宋" w:hAnsi="仿宋" w:eastAsia="仿宋" w:cs="仿宋"/>
          <w:color w:val="auto"/>
          <w:spacing w:val="-13"/>
          <w:highlight w:val="none"/>
        </w:rPr>
        <w:t xml:space="preserve">） </w:t>
      </w:r>
      <w:r>
        <w:rPr>
          <w:rFonts w:hint="eastAsia" w:ascii="仿宋" w:hAnsi="仿宋" w:eastAsia="仿宋" w:cs="仿宋"/>
          <w:color w:val="auto"/>
          <w:highlight w:val="none"/>
        </w:rPr>
        <w:t>组织机构代码：</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组织机构代码：</w:t>
      </w:r>
    </w:p>
    <w:p>
      <w:pPr>
        <w:pStyle w:val="24"/>
        <w:tabs>
          <w:tab w:val="left" w:pos="517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纳税人识别码：</w:t>
      </w:r>
      <w:r>
        <w:rPr>
          <w:rFonts w:hint="eastAsia" w:ascii="仿宋" w:hAnsi="仿宋" w:eastAsia="仿宋" w:cs="仿宋"/>
          <w:color w:val="auto"/>
          <w:highlight w:val="none"/>
        </w:rPr>
        <w:tab/>
      </w:r>
      <w:r>
        <w:rPr>
          <w:rFonts w:hint="eastAsia" w:ascii="仿宋" w:hAnsi="仿宋" w:eastAsia="仿宋" w:cs="仿宋"/>
          <w:color w:val="auto"/>
          <w:highlight w:val="none"/>
        </w:rPr>
        <w:t>纳税人识别码：</w:t>
      </w:r>
    </w:p>
    <w:p>
      <w:pPr>
        <w:pStyle w:val="24"/>
        <w:tabs>
          <w:tab w:val="left" w:pos="1579"/>
          <w:tab w:val="left" w:pos="5179"/>
          <w:tab w:val="left" w:pos="589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住</w:t>
      </w:r>
      <w:r>
        <w:rPr>
          <w:rFonts w:hint="eastAsia" w:ascii="仿宋" w:hAnsi="仿宋" w:eastAsia="仿宋" w:cs="仿宋"/>
          <w:color w:val="auto"/>
          <w:highlight w:val="none"/>
        </w:rPr>
        <w:tab/>
      </w:r>
      <w:r>
        <w:rPr>
          <w:rFonts w:hint="eastAsia" w:ascii="仿宋" w:hAnsi="仿宋" w:eastAsia="仿宋" w:cs="仿宋"/>
          <w:color w:val="auto"/>
          <w:highlight w:val="none"/>
        </w:rPr>
        <w:t>所：</w:t>
      </w:r>
      <w:r>
        <w:rPr>
          <w:rFonts w:hint="eastAsia" w:ascii="仿宋" w:hAnsi="仿宋" w:eastAsia="仿宋" w:cs="仿宋"/>
          <w:color w:val="auto"/>
          <w:highlight w:val="none"/>
        </w:rPr>
        <w:tab/>
      </w:r>
      <w:r>
        <w:rPr>
          <w:rFonts w:hint="eastAsia" w:ascii="仿宋" w:hAnsi="仿宋" w:eastAsia="仿宋" w:cs="仿宋"/>
          <w:color w:val="auto"/>
          <w:highlight w:val="none"/>
        </w:rPr>
        <w:t>住</w:t>
      </w:r>
      <w:r>
        <w:rPr>
          <w:rFonts w:hint="eastAsia" w:ascii="仿宋" w:hAnsi="仿宋" w:eastAsia="仿宋" w:cs="仿宋"/>
          <w:color w:val="auto"/>
          <w:highlight w:val="none"/>
        </w:rPr>
        <w:tab/>
      </w:r>
      <w:r>
        <w:rPr>
          <w:rFonts w:hint="eastAsia" w:ascii="仿宋" w:hAnsi="仿宋" w:eastAsia="仿宋" w:cs="仿宋"/>
          <w:color w:val="auto"/>
          <w:highlight w:val="none"/>
        </w:rPr>
        <w:t>所：</w:t>
      </w:r>
    </w:p>
    <w:p>
      <w:pPr>
        <w:pStyle w:val="24"/>
        <w:tabs>
          <w:tab w:val="left" w:pos="1579"/>
          <w:tab w:val="left" w:pos="5179"/>
          <w:tab w:val="left" w:pos="589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账</w:t>
      </w:r>
      <w:r>
        <w:rPr>
          <w:rFonts w:hint="eastAsia" w:ascii="仿宋" w:hAnsi="仿宋" w:eastAsia="仿宋" w:cs="仿宋"/>
          <w:color w:val="auto"/>
          <w:highlight w:val="none"/>
        </w:rPr>
        <w:tab/>
      </w:r>
      <w:r>
        <w:rPr>
          <w:rFonts w:hint="eastAsia" w:ascii="仿宋" w:hAnsi="仿宋" w:eastAsia="仿宋" w:cs="仿宋"/>
          <w:color w:val="auto"/>
          <w:highlight w:val="none"/>
        </w:rPr>
        <w:t>号：</w:t>
      </w:r>
      <w:r>
        <w:rPr>
          <w:rFonts w:hint="eastAsia" w:ascii="仿宋" w:hAnsi="仿宋" w:eastAsia="仿宋" w:cs="仿宋"/>
          <w:color w:val="auto"/>
          <w:highlight w:val="none"/>
        </w:rPr>
        <w:tab/>
      </w:r>
      <w:r>
        <w:rPr>
          <w:rFonts w:hint="eastAsia" w:ascii="仿宋" w:hAnsi="仿宋" w:eastAsia="仿宋" w:cs="仿宋"/>
          <w:color w:val="auto"/>
          <w:highlight w:val="none"/>
        </w:rPr>
        <w:t>账</w:t>
      </w:r>
      <w:r>
        <w:rPr>
          <w:rFonts w:hint="eastAsia" w:ascii="仿宋" w:hAnsi="仿宋" w:eastAsia="仿宋" w:cs="仿宋"/>
          <w:color w:val="auto"/>
          <w:highlight w:val="none"/>
        </w:rPr>
        <w:tab/>
      </w:r>
      <w:r>
        <w:rPr>
          <w:rFonts w:hint="eastAsia" w:ascii="仿宋" w:hAnsi="仿宋" w:eastAsia="仿宋" w:cs="仿宋"/>
          <w:color w:val="auto"/>
          <w:highlight w:val="none"/>
        </w:rPr>
        <w:t>号：</w:t>
      </w:r>
    </w:p>
    <w:p>
      <w:pPr>
        <w:pStyle w:val="24"/>
        <w:tabs>
          <w:tab w:val="left" w:pos="517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开户银行：</w:t>
      </w:r>
      <w:r>
        <w:rPr>
          <w:rFonts w:hint="eastAsia" w:ascii="仿宋" w:hAnsi="仿宋" w:eastAsia="仿宋" w:cs="仿宋"/>
          <w:color w:val="auto"/>
          <w:highlight w:val="none"/>
        </w:rPr>
        <w:tab/>
      </w:r>
      <w:bookmarkStart w:id="399" w:name="_bookmark4"/>
      <w:bookmarkEnd w:id="399"/>
      <w:r>
        <w:rPr>
          <w:rFonts w:hint="eastAsia" w:ascii="仿宋" w:hAnsi="仿宋" w:eastAsia="仿宋" w:cs="仿宋"/>
          <w:color w:val="auto"/>
          <w:highlight w:val="none"/>
        </w:rPr>
        <w:t>开户银行：</w:t>
      </w:r>
    </w:p>
    <w:p>
      <w:pPr>
        <w:pStyle w:val="24"/>
        <w:tabs>
          <w:tab w:val="left" w:pos="517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邮政编码：</w:t>
      </w:r>
      <w:r>
        <w:rPr>
          <w:rFonts w:hint="eastAsia" w:ascii="仿宋" w:hAnsi="仿宋" w:eastAsia="仿宋" w:cs="仿宋"/>
          <w:color w:val="auto"/>
          <w:highlight w:val="none"/>
        </w:rPr>
        <w:tab/>
      </w:r>
      <w:r>
        <w:rPr>
          <w:rFonts w:hint="eastAsia" w:ascii="仿宋" w:hAnsi="仿宋" w:eastAsia="仿宋" w:cs="仿宋"/>
          <w:color w:val="auto"/>
          <w:highlight w:val="none"/>
        </w:rPr>
        <w:t>邮政编码：</w:t>
      </w:r>
    </w:p>
    <w:p>
      <w:pPr>
        <w:pStyle w:val="24"/>
        <w:tabs>
          <w:tab w:val="left" w:pos="1579"/>
          <w:tab w:val="left" w:pos="5179"/>
          <w:tab w:val="left" w:pos="589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电</w:t>
      </w:r>
      <w:r>
        <w:rPr>
          <w:rFonts w:hint="eastAsia" w:ascii="仿宋" w:hAnsi="仿宋" w:eastAsia="仿宋" w:cs="仿宋"/>
          <w:color w:val="auto"/>
          <w:highlight w:val="none"/>
        </w:rPr>
        <w:tab/>
      </w:r>
      <w:r>
        <w:rPr>
          <w:rFonts w:hint="eastAsia" w:ascii="仿宋" w:hAnsi="仿宋" w:eastAsia="仿宋" w:cs="仿宋"/>
          <w:color w:val="auto"/>
          <w:highlight w:val="none"/>
        </w:rPr>
        <w:t>话：</w:t>
      </w:r>
      <w:r>
        <w:rPr>
          <w:rFonts w:hint="eastAsia" w:ascii="仿宋" w:hAnsi="仿宋" w:eastAsia="仿宋" w:cs="仿宋"/>
          <w:color w:val="auto"/>
          <w:highlight w:val="none"/>
        </w:rPr>
        <w:tab/>
      </w:r>
      <w:r>
        <w:rPr>
          <w:rFonts w:hint="eastAsia" w:ascii="仿宋" w:hAnsi="仿宋" w:eastAsia="仿宋" w:cs="仿宋"/>
          <w:color w:val="auto"/>
          <w:highlight w:val="none"/>
        </w:rPr>
        <w:t>电</w:t>
      </w:r>
      <w:r>
        <w:rPr>
          <w:rFonts w:hint="eastAsia" w:ascii="仿宋" w:hAnsi="仿宋" w:eastAsia="仿宋" w:cs="仿宋"/>
          <w:color w:val="auto"/>
          <w:highlight w:val="none"/>
        </w:rPr>
        <w:tab/>
      </w:r>
      <w:r>
        <w:rPr>
          <w:rFonts w:hint="eastAsia" w:ascii="仿宋" w:hAnsi="仿宋" w:eastAsia="仿宋" w:cs="仿宋"/>
          <w:color w:val="auto"/>
          <w:highlight w:val="none"/>
        </w:rPr>
        <w:t>话：</w:t>
      </w:r>
    </w:p>
    <w:p>
      <w:pPr>
        <w:pStyle w:val="24"/>
        <w:tabs>
          <w:tab w:val="left" w:pos="1579"/>
          <w:tab w:val="left" w:pos="5179"/>
          <w:tab w:val="left" w:pos="589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传</w:t>
      </w:r>
      <w:r>
        <w:rPr>
          <w:rFonts w:hint="eastAsia" w:ascii="仿宋" w:hAnsi="仿宋" w:eastAsia="仿宋" w:cs="仿宋"/>
          <w:color w:val="auto"/>
          <w:highlight w:val="none"/>
        </w:rPr>
        <w:tab/>
      </w:r>
      <w:r>
        <w:rPr>
          <w:rFonts w:hint="eastAsia" w:ascii="仿宋" w:hAnsi="仿宋" w:eastAsia="仿宋" w:cs="仿宋"/>
          <w:color w:val="auto"/>
          <w:highlight w:val="none"/>
        </w:rPr>
        <w:t>真：</w:t>
      </w:r>
      <w:r>
        <w:rPr>
          <w:rFonts w:hint="eastAsia" w:ascii="仿宋" w:hAnsi="仿宋" w:eastAsia="仿宋" w:cs="仿宋"/>
          <w:color w:val="auto"/>
          <w:highlight w:val="none"/>
        </w:rPr>
        <w:tab/>
      </w:r>
      <w:r>
        <w:rPr>
          <w:rFonts w:hint="eastAsia" w:ascii="仿宋" w:hAnsi="仿宋" w:eastAsia="仿宋" w:cs="仿宋"/>
          <w:color w:val="auto"/>
          <w:highlight w:val="none"/>
        </w:rPr>
        <w:t>传</w:t>
      </w:r>
      <w:r>
        <w:rPr>
          <w:rFonts w:hint="eastAsia" w:ascii="仿宋" w:hAnsi="仿宋" w:eastAsia="仿宋" w:cs="仿宋"/>
          <w:color w:val="auto"/>
          <w:highlight w:val="none"/>
        </w:rPr>
        <w:tab/>
      </w:r>
      <w:r>
        <w:rPr>
          <w:rFonts w:hint="eastAsia" w:ascii="仿宋" w:hAnsi="仿宋" w:eastAsia="仿宋" w:cs="仿宋"/>
          <w:color w:val="auto"/>
          <w:highlight w:val="none"/>
        </w:rPr>
        <w:t>真：</w:t>
      </w:r>
    </w:p>
    <w:p>
      <w:pPr>
        <w:pStyle w:val="24"/>
        <w:tabs>
          <w:tab w:val="left" w:pos="5179"/>
        </w:tabs>
        <w:spacing w:line="320" w:lineRule="exact"/>
        <w:ind w:left="862"/>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rPr>
        <w:tab/>
      </w:r>
      <w:r>
        <w:rPr>
          <w:rFonts w:hint="eastAsia" w:ascii="仿宋" w:hAnsi="仿宋" w:eastAsia="仿宋" w:cs="仿宋"/>
          <w:color w:val="auto"/>
          <w:highlight w:val="none"/>
        </w:rPr>
        <w:t>电子信箱：</w:t>
      </w:r>
    </w:p>
    <w:p>
      <w:pPr>
        <w:spacing w:line="360" w:lineRule="auto"/>
        <w:ind w:firstLine="120" w:firstLineChars="50"/>
        <w:jc w:val="center"/>
        <w:outlineLvl w:val="2"/>
        <w:rPr>
          <w:rFonts w:ascii="仿宋" w:hAnsi="仿宋" w:eastAsia="仿宋" w:cs="仿宋"/>
          <w:b/>
          <w:bCs/>
          <w:color w:val="auto"/>
          <w:sz w:val="24"/>
          <w:highlight w:val="none"/>
        </w:rPr>
      </w:pPr>
      <w:bookmarkStart w:id="400" w:name="_bookmark5"/>
      <w:bookmarkEnd w:id="400"/>
      <w:bookmarkStart w:id="401" w:name="_bookmark6"/>
      <w:bookmarkEnd w:id="401"/>
      <w:bookmarkStart w:id="402" w:name="_Toc35366003"/>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第二部分：通用条件</w:t>
      </w:r>
      <w:bookmarkEnd w:id="402"/>
    </w:p>
    <w:p>
      <w:pPr>
        <w:spacing w:line="360" w:lineRule="auto"/>
        <w:ind w:firstLine="960" w:firstLineChars="400"/>
        <w:rPr>
          <w:rFonts w:ascii="仿宋" w:hAnsi="仿宋" w:eastAsia="仿宋" w:cs="仿宋"/>
          <w:bCs/>
          <w:color w:val="auto"/>
          <w:sz w:val="24"/>
          <w:highlight w:val="none"/>
        </w:rPr>
      </w:pPr>
      <w:r>
        <w:rPr>
          <w:rFonts w:hint="eastAsia" w:ascii="仿宋" w:hAnsi="仿宋" w:eastAsia="仿宋" w:cs="仿宋"/>
          <w:bCs/>
          <w:color w:val="auto"/>
          <w:sz w:val="24"/>
          <w:highlight w:val="none"/>
        </w:rPr>
        <w:t>适用住房城乡建设部和国家工商行政管理总局联合制定的《建设工程造价咨询合同</w:t>
      </w:r>
      <w:bookmarkStart w:id="403" w:name="_Toc35366004"/>
      <w:r>
        <w:rPr>
          <w:rFonts w:hint="eastAsia" w:ascii="仿宋" w:hAnsi="仿宋" w:eastAsia="仿宋" w:cs="仿宋"/>
          <w:bCs/>
          <w:color w:val="auto"/>
          <w:sz w:val="24"/>
          <w:highlight w:val="none"/>
        </w:rPr>
        <w:t>（示范文本）》（GF—2015—0212）第二部分通用条件的规定。</w:t>
      </w:r>
      <w:bookmarkEnd w:id="403"/>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bookmarkStart w:id="404" w:name="_Toc419045067"/>
      <w:bookmarkStart w:id="405" w:name="_Toc422322482"/>
      <w:r>
        <w:rPr>
          <w:rFonts w:hint="eastAsia" w:ascii="仿宋" w:hAnsi="仿宋" w:eastAsia="仿宋" w:cs="仿宋"/>
          <w:b/>
          <w:color w:val="auto"/>
          <w:sz w:val="24"/>
          <w:highlight w:val="none"/>
        </w:rPr>
        <w:t>1.词语定义、语言、解释顺序与适用法律</w:t>
      </w:r>
      <w:bookmarkEnd w:id="404"/>
      <w:bookmarkEnd w:id="405"/>
    </w:p>
    <w:p>
      <w:pPr>
        <w:pStyle w:val="48"/>
        <w:spacing w:after="120" w:line="360" w:lineRule="auto"/>
        <w:ind w:firstLine="482" w:firstLineChars="200"/>
        <w:jc w:val="left"/>
        <w:rPr>
          <w:rFonts w:ascii="仿宋" w:hAnsi="仿宋" w:eastAsia="仿宋" w:cs="仿宋"/>
          <w:color w:val="auto"/>
          <w:sz w:val="24"/>
          <w:szCs w:val="24"/>
          <w:highlight w:val="none"/>
        </w:rPr>
      </w:pPr>
      <w:bookmarkStart w:id="406" w:name="_Toc419045068"/>
      <w:bookmarkStart w:id="407" w:name="_Toc422322483"/>
      <w:r>
        <w:rPr>
          <w:rFonts w:hint="eastAsia" w:ascii="仿宋" w:hAnsi="仿宋" w:eastAsia="仿宋" w:cs="仿宋"/>
          <w:color w:val="auto"/>
          <w:sz w:val="24"/>
          <w:szCs w:val="24"/>
          <w:highlight w:val="none"/>
        </w:rPr>
        <w:t>1.1词语定义</w:t>
      </w:r>
      <w:bookmarkEnd w:id="406"/>
      <w:bookmarkEnd w:id="407"/>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组成本合同的全部文件中的下列名词和用语应具有本款所赋予的含义：</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1.1.1“工程”是指按照本合同约定实施造价咨询与其他服务的建设工程。    </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1.1.2“工程造价”是指工程项目建设过程中预计或实际支出的全部费用。</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1.1.3“委托人”是指本合同中委托造价咨询与其他服务的一方，及其合法的继承人或受让人。</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1.1.4“咨询人”是指本合同中提供造价咨询与其他服务的一方</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及其合法的继承人。</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1.1.5“第三人”是指除委托人、咨询人以外与本咨询业务有关的当事人。</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1.1.6“正常工作”是指本合同订立时通用条件和专用条件中约定的咨询人的工作。</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1.1.7“附加工作”是指咨询人根据合同条件完成的正常工作以外的工作。</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1.1.8“项目咨询团队”是指咨询人指派负责履行本合同的团队，其团队成员为本合同的项目咨询人员。</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1.1.9“项目负责人”是指由咨询人的法定代表人书面授权，在授权范围内负责履行本合同、主持项目咨询团队工作的负责人。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1.1.10“委托人代表”是指由委托人的法定代表人书面授权，在授权范围内行使委托人权利的人。</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1.1.11“酬金”是指咨询人履行本合同义务，委托人按照本合同约定给付咨询人的金额。</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1.1.12“正常工作酬金”是指在协议书中载明的，咨询人完成正常工作，委托人应给付咨询人的酬金。</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1.1.13“附加工作酬金”是指咨询人完成附加工作，委托人应给付咨询人的酬金。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 “书面形式”是指合同书、信件和数据电文（包括电报、电传、传真、电子数据交换和电子邮件）等可以有形地表现所载内容的形式。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1.1.15 “不可抗力”是指委托人和咨询人在订立本合同时不可预见，在合同履行过程中不可避免并不能克服的自然灾害和社会性突发事件，如地震、海啸、瘟疫、水灾、骚乱、暴动、战争等情形。</w:t>
      </w:r>
    </w:p>
    <w:p>
      <w:pPr>
        <w:pStyle w:val="48"/>
        <w:spacing w:after="120" w:line="360" w:lineRule="auto"/>
        <w:ind w:firstLine="482" w:firstLineChars="200"/>
        <w:jc w:val="left"/>
        <w:rPr>
          <w:rFonts w:ascii="仿宋" w:hAnsi="仿宋" w:eastAsia="仿宋" w:cs="仿宋"/>
          <w:color w:val="auto"/>
          <w:sz w:val="24"/>
          <w:szCs w:val="24"/>
          <w:highlight w:val="none"/>
        </w:rPr>
      </w:pPr>
      <w:bookmarkStart w:id="408" w:name="_Toc419045069"/>
      <w:bookmarkStart w:id="409" w:name="_Toc422322484"/>
      <w:r>
        <w:rPr>
          <w:rFonts w:hint="eastAsia" w:ascii="仿宋" w:hAnsi="仿宋" w:eastAsia="仿宋" w:cs="仿宋"/>
          <w:color w:val="auto"/>
          <w:sz w:val="24"/>
          <w:szCs w:val="24"/>
          <w:highlight w:val="none"/>
        </w:rPr>
        <w:t>1.2语言</w:t>
      </w:r>
      <w:bookmarkEnd w:id="408"/>
      <w:bookmarkEnd w:id="409"/>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本合同使用中文书写、解释和说明。如专用条件约定使用两种及以上语言文字时，应以中文为准。</w:t>
      </w:r>
    </w:p>
    <w:p>
      <w:pPr>
        <w:pStyle w:val="48"/>
        <w:spacing w:after="120" w:line="360" w:lineRule="auto"/>
        <w:ind w:firstLine="482" w:firstLineChars="200"/>
        <w:jc w:val="left"/>
        <w:rPr>
          <w:rFonts w:ascii="仿宋" w:hAnsi="仿宋" w:eastAsia="仿宋" w:cs="仿宋"/>
          <w:color w:val="auto"/>
          <w:sz w:val="24"/>
          <w:szCs w:val="24"/>
          <w:highlight w:val="none"/>
        </w:rPr>
      </w:pPr>
      <w:bookmarkStart w:id="410" w:name="_Toc422322485"/>
      <w:bookmarkStart w:id="411" w:name="_Toc419045070"/>
      <w:r>
        <w:rPr>
          <w:rFonts w:hint="eastAsia" w:ascii="仿宋" w:hAnsi="仿宋" w:eastAsia="仿宋" w:cs="仿宋"/>
          <w:color w:val="auto"/>
          <w:sz w:val="24"/>
          <w:szCs w:val="24"/>
          <w:highlight w:val="none"/>
        </w:rPr>
        <w:t>1.3合同文件的优先顺序</w:t>
      </w:r>
      <w:bookmarkEnd w:id="410"/>
      <w:bookmarkEnd w:id="411"/>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组成本合同的下列文件彼此应能相互解释、互为说明。除专用条件另有约定外，本合同文件的解释顺序如下：</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1.协议书</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2.中标通知书或委托书（如果有）；</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3.专用条件及附录；</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4.通用条件；</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5.投标函及投标函附录或造价咨询服务建议书（如果有）；</w:t>
      </w:r>
    </w:p>
    <w:p>
      <w:pPr>
        <w:spacing w:line="360" w:lineRule="auto"/>
        <w:ind w:firstLine="468"/>
        <w:rPr>
          <w:rFonts w:ascii="仿宋" w:hAnsi="仿宋" w:eastAsia="仿宋" w:cs="仿宋"/>
          <w:bCs/>
          <w:color w:val="auto"/>
          <w:sz w:val="24"/>
          <w:highlight w:val="none"/>
        </w:rPr>
      </w:pPr>
      <w:r>
        <w:rPr>
          <w:rFonts w:hint="eastAsia" w:ascii="仿宋" w:hAnsi="仿宋" w:eastAsia="仿宋" w:cs="仿宋"/>
          <w:bCs/>
          <w:color w:val="auto"/>
          <w:sz w:val="24"/>
          <w:highlight w:val="none"/>
        </w:rPr>
        <w:t>6.其他合同文件。</w:t>
      </w:r>
    </w:p>
    <w:p>
      <w:pPr>
        <w:pStyle w:val="781"/>
        <w:spacing w:line="360" w:lineRule="auto"/>
        <w:ind w:firstLine="420" w:firstLineChars="200"/>
        <w:rPr>
          <w:rFonts w:ascii="仿宋" w:hAnsi="仿宋" w:eastAsia="仿宋" w:cs="仿宋"/>
          <w:bCs/>
          <w:color w:val="auto"/>
          <w:szCs w:val="24"/>
          <w:highlight w:val="none"/>
        </w:rPr>
      </w:pPr>
      <w:r>
        <w:rPr>
          <w:rFonts w:hint="eastAsia" w:ascii="仿宋" w:hAnsi="仿宋" w:eastAsia="仿宋" w:cs="仿宋"/>
          <w:bCs/>
          <w:color w:val="auto"/>
          <w:szCs w:val="24"/>
          <w:highlight w:val="none"/>
        </w:rPr>
        <w:t>上述各项合同文件包括合同当事人就该项合同文件所作出的补充和修改，属于同一类内容的文件，应以最新签署的为准。</w:t>
      </w:r>
    </w:p>
    <w:p>
      <w:pPr>
        <w:spacing w:line="360" w:lineRule="auto"/>
        <w:ind w:firstLine="468"/>
        <w:rPr>
          <w:rFonts w:ascii="仿宋" w:hAnsi="仿宋" w:eastAsia="仿宋" w:cs="仿宋"/>
          <w:bCs/>
          <w:color w:val="auto"/>
          <w:sz w:val="24"/>
          <w:highlight w:val="none"/>
        </w:rPr>
      </w:pPr>
      <w:r>
        <w:rPr>
          <w:rFonts w:hint="eastAsia" w:ascii="仿宋" w:hAnsi="仿宋" w:eastAsia="仿宋" w:cs="仿宋"/>
          <w:bCs/>
          <w:color w:val="auto"/>
          <w:sz w:val="24"/>
          <w:highlight w:val="none"/>
        </w:rPr>
        <w:t>在合同订立及履行过程中形成的与合同有关的文件均构成合同文件的组成部分。</w:t>
      </w:r>
    </w:p>
    <w:p>
      <w:pPr>
        <w:pStyle w:val="48"/>
        <w:spacing w:after="120" w:line="360" w:lineRule="auto"/>
        <w:ind w:firstLine="482" w:firstLineChars="200"/>
        <w:jc w:val="left"/>
        <w:rPr>
          <w:rFonts w:ascii="仿宋" w:hAnsi="仿宋" w:eastAsia="仿宋" w:cs="仿宋"/>
          <w:color w:val="auto"/>
          <w:sz w:val="24"/>
          <w:szCs w:val="24"/>
          <w:highlight w:val="none"/>
        </w:rPr>
      </w:pPr>
      <w:bookmarkStart w:id="412" w:name="_Toc419045071"/>
      <w:bookmarkStart w:id="413" w:name="_Toc422322486"/>
      <w:r>
        <w:rPr>
          <w:rFonts w:hint="eastAsia" w:ascii="仿宋" w:hAnsi="仿宋" w:eastAsia="仿宋" w:cs="仿宋"/>
          <w:color w:val="auto"/>
          <w:sz w:val="24"/>
          <w:szCs w:val="24"/>
          <w:highlight w:val="none"/>
        </w:rPr>
        <w:t>1.4适用法律</w:t>
      </w:r>
      <w:bookmarkEnd w:id="412"/>
      <w:bookmarkEnd w:id="413"/>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本合同适用中华人民共和国法律、行政法规、部门规章以及工程所在地的地方性法规、自治条例、单行条例和地方政府规章等。</w:t>
      </w:r>
    </w:p>
    <w:p>
      <w:pPr>
        <w:spacing w:line="360" w:lineRule="auto"/>
        <w:ind w:firstLine="480" w:firstLineChars="200"/>
        <w:rPr>
          <w:rStyle w:val="334"/>
          <w:rFonts w:ascii="仿宋" w:hAnsi="仿宋" w:eastAsia="仿宋" w:cs="仿宋"/>
          <w:color w:val="auto"/>
          <w:highlight w:val="none"/>
        </w:rPr>
      </w:pPr>
      <w:r>
        <w:rPr>
          <w:rFonts w:hint="eastAsia" w:ascii="仿宋" w:hAnsi="仿宋" w:eastAsia="仿宋" w:cs="仿宋"/>
          <w:color w:val="auto"/>
          <w:sz w:val="24"/>
          <w:highlight w:val="none"/>
        </w:rPr>
        <w:t>合同当事人可以在专用条件中约定本合同适用的其他规范、规程、定额、技术标准等规范性文件。</w:t>
      </w:r>
    </w:p>
    <w:p>
      <w:pPr>
        <w:pStyle w:val="59"/>
        <w:spacing w:line="360" w:lineRule="auto"/>
        <w:ind w:firstLine="482" w:firstLineChars="200"/>
        <w:jc w:val="left"/>
        <w:rPr>
          <w:rFonts w:ascii="仿宋" w:hAnsi="仿宋" w:eastAsia="仿宋" w:cs="仿宋"/>
          <w:color w:val="auto"/>
          <w:szCs w:val="24"/>
          <w:highlight w:val="none"/>
        </w:rPr>
      </w:pPr>
      <w:bookmarkStart w:id="414" w:name="_Toc422322487"/>
      <w:r>
        <w:rPr>
          <w:rFonts w:hint="eastAsia" w:ascii="仿宋" w:hAnsi="仿宋" w:eastAsia="仿宋" w:cs="仿宋"/>
          <w:color w:val="auto"/>
          <w:szCs w:val="24"/>
          <w:highlight w:val="none"/>
        </w:rPr>
        <w:t>2.委托人的义务</w:t>
      </w:r>
      <w:bookmarkEnd w:id="414"/>
    </w:p>
    <w:p>
      <w:pPr>
        <w:pStyle w:val="48"/>
        <w:spacing w:after="120" w:line="360" w:lineRule="auto"/>
        <w:ind w:firstLine="482" w:firstLineChars="200"/>
        <w:jc w:val="left"/>
        <w:rPr>
          <w:rFonts w:ascii="仿宋" w:hAnsi="仿宋" w:eastAsia="仿宋" w:cs="仿宋"/>
          <w:color w:val="auto"/>
          <w:sz w:val="24"/>
          <w:szCs w:val="24"/>
          <w:highlight w:val="none"/>
        </w:rPr>
      </w:pPr>
      <w:bookmarkStart w:id="415" w:name="_Toc422322488"/>
      <w:bookmarkStart w:id="416" w:name="_Toc419045072"/>
      <w:r>
        <w:rPr>
          <w:rFonts w:hint="eastAsia" w:ascii="仿宋" w:hAnsi="仿宋" w:eastAsia="仿宋" w:cs="仿宋"/>
          <w:color w:val="auto"/>
          <w:sz w:val="24"/>
          <w:szCs w:val="24"/>
          <w:highlight w:val="none"/>
        </w:rPr>
        <w:t>2.1提供资料</w:t>
      </w:r>
      <w:bookmarkEnd w:id="415"/>
      <w:bookmarkEnd w:id="41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48"/>
        <w:spacing w:after="120" w:line="360" w:lineRule="auto"/>
        <w:ind w:firstLine="482" w:firstLineChars="200"/>
        <w:jc w:val="left"/>
        <w:rPr>
          <w:rFonts w:ascii="仿宋" w:hAnsi="仿宋" w:eastAsia="仿宋" w:cs="仿宋"/>
          <w:color w:val="auto"/>
          <w:sz w:val="24"/>
          <w:szCs w:val="24"/>
          <w:highlight w:val="none"/>
        </w:rPr>
      </w:pPr>
      <w:bookmarkStart w:id="417" w:name="_Toc419045073"/>
      <w:bookmarkStart w:id="418" w:name="_Toc422322489"/>
      <w:r>
        <w:rPr>
          <w:rFonts w:hint="eastAsia" w:ascii="仿宋" w:hAnsi="仿宋" w:eastAsia="仿宋" w:cs="仿宋"/>
          <w:color w:val="auto"/>
          <w:sz w:val="24"/>
          <w:szCs w:val="24"/>
          <w:highlight w:val="none"/>
        </w:rPr>
        <w:t>2.2提供工作条件</w:t>
      </w:r>
      <w:bookmarkEnd w:id="417"/>
      <w:bookmarkEnd w:id="418"/>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委托人应为咨询人完成造价咨询提供必要的条件。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2.2.1委托人需要咨询人派驻项目现场咨询人员的，除专用条件另有约定外，项目咨询人员有权无偿使用附录D中由委托人提供的房屋及设备。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2.2.2委托人应负责与本工程造价咨询业务有关的所有外部关系的协调，为咨询人履行本合同提供必要的外部条件。</w:t>
      </w:r>
    </w:p>
    <w:p>
      <w:pPr>
        <w:pStyle w:val="48"/>
        <w:spacing w:after="120" w:line="360" w:lineRule="auto"/>
        <w:ind w:firstLine="482" w:firstLineChars="200"/>
        <w:jc w:val="left"/>
        <w:rPr>
          <w:rFonts w:ascii="仿宋" w:hAnsi="仿宋" w:eastAsia="仿宋" w:cs="仿宋"/>
          <w:color w:val="auto"/>
          <w:sz w:val="24"/>
          <w:szCs w:val="24"/>
          <w:highlight w:val="none"/>
        </w:rPr>
      </w:pPr>
      <w:bookmarkStart w:id="419" w:name="_Toc422322490"/>
      <w:bookmarkStart w:id="420" w:name="_Toc419045074"/>
      <w:r>
        <w:rPr>
          <w:rFonts w:hint="eastAsia" w:ascii="仿宋" w:hAnsi="仿宋" w:eastAsia="仿宋" w:cs="仿宋"/>
          <w:color w:val="auto"/>
          <w:sz w:val="24"/>
          <w:szCs w:val="24"/>
          <w:highlight w:val="none"/>
        </w:rPr>
        <w:t>2.3合理工作时限</w:t>
      </w:r>
      <w:bookmarkEnd w:id="419"/>
      <w:bookmarkEnd w:id="420"/>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委托人应当为咨询人完成其咨询工作，设定合理的工作时限。</w:t>
      </w:r>
    </w:p>
    <w:p>
      <w:pPr>
        <w:pStyle w:val="48"/>
        <w:spacing w:after="120" w:line="360" w:lineRule="auto"/>
        <w:ind w:firstLine="482" w:firstLineChars="200"/>
        <w:jc w:val="left"/>
        <w:rPr>
          <w:rFonts w:ascii="仿宋" w:hAnsi="仿宋" w:eastAsia="仿宋" w:cs="仿宋"/>
          <w:color w:val="auto"/>
          <w:sz w:val="24"/>
          <w:szCs w:val="24"/>
          <w:highlight w:val="none"/>
        </w:rPr>
      </w:pPr>
      <w:bookmarkStart w:id="421" w:name="_Toc422322491"/>
      <w:bookmarkStart w:id="422" w:name="_Toc419045075"/>
      <w:r>
        <w:rPr>
          <w:rFonts w:hint="eastAsia" w:ascii="仿宋" w:hAnsi="仿宋" w:eastAsia="仿宋" w:cs="仿宋"/>
          <w:color w:val="auto"/>
          <w:sz w:val="24"/>
          <w:szCs w:val="24"/>
          <w:highlight w:val="none"/>
        </w:rPr>
        <w:t>2.4委托人代表</w:t>
      </w:r>
      <w:bookmarkEnd w:id="421"/>
      <w:bookmarkEnd w:id="422"/>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委托人应授权一名代表负责本合同的履行。委托人应在双方签订本合同7日内，将委托人代表的姓名和权限范围书面告知咨询人。委托人更换委托人代表时，应提前7日书面通知咨询人。</w:t>
      </w:r>
    </w:p>
    <w:p>
      <w:pPr>
        <w:pStyle w:val="48"/>
        <w:spacing w:after="120" w:line="360" w:lineRule="auto"/>
        <w:ind w:firstLine="482" w:firstLineChars="200"/>
        <w:jc w:val="left"/>
        <w:rPr>
          <w:rFonts w:ascii="仿宋" w:hAnsi="仿宋" w:eastAsia="仿宋" w:cs="仿宋"/>
          <w:color w:val="auto"/>
          <w:sz w:val="24"/>
          <w:szCs w:val="24"/>
          <w:highlight w:val="none"/>
        </w:rPr>
      </w:pPr>
      <w:bookmarkStart w:id="423" w:name="_Toc419045076"/>
      <w:bookmarkStart w:id="424" w:name="_Toc422322492"/>
      <w:r>
        <w:rPr>
          <w:rFonts w:hint="eastAsia" w:ascii="仿宋" w:hAnsi="仿宋" w:eastAsia="仿宋" w:cs="仿宋"/>
          <w:color w:val="auto"/>
          <w:sz w:val="24"/>
          <w:szCs w:val="24"/>
          <w:highlight w:val="none"/>
        </w:rPr>
        <w:t>2.5答复</w:t>
      </w:r>
      <w:bookmarkEnd w:id="423"/>
      <w:bookmarkEnd w:id="424"/>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委托人应当在专用条件约定的时间内就咨询人以书面形式提交并要求做出答复的事宜给予书面答复。逾期未答复的，由此造成的工作延误和损失由委托人承担。</w:t>
      </w:r>
    </w:p>
    <w:p>
      <w:pPr>
        <w:pStyle w:val="48"/>
        <w:spacing w:after="120" w:line="360" w:lineRule="auto"/>
        <w:ind w:firstLine="482" w:firstLineChars="200"/>
        <w:jc w:val="left"/>
        <w:rPr>
          <w:rFonts w:ascii="仿宋" w:hAnsi="仿宋" w:eastAsia="仿宋" w:cs="仿宋"/>
          <w:color w:val="auto"/>
          <w:sz w:val="24"/>
          <w:szCs w:val="24"/>
          <w:highlight w:val="none"/>
        </w:rPr>
      </w:pPr>
      <w:bookmarkStart w:id="425" w:name="_Toc419045077"/>
      <w:bookmarkStart w:id="426" w:name="_Toc422322493"/>
      <w:r>
        <w:rPr>
          <w:rFonts w:hint="eastAsia" w:ascii="仿宋" w:hAnsi="仿宋" w:eastAsia="仿宋" w:cs="仿宋"/>
          <w:color w:val="auto"/>
          <w:sz w:val="24"/>
          <w:szCs w:val="24"/>
          <w:highlight w:val="none"/>
        </w:rPr>
        <w:t>2.6支付</w:t>
      </w:r>
      <w:bookmarkEnd w:id="425"/>
      <w:bookmarkEnd w:id="42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委托人应当按照合同的约定，向咨询人支付酬金。</w:t>
      </w:r>
    </w:p>
    <w:p>
      <w:pPr>
        <w:pStyle w:val="59"/>
        <w:spacing w:line="360" w:lineRule="auto"/>
        <w:ind w:firstLine="482" w:firstLineChars="200"/>
        <w:jc w:val="left"/>
        <w:rPr>
          <w:rFonts w:ascii="仿宋" w:hAnsi="仿宋" w:eastAsia="仿宋" w:cs="仿宋"/>
          <w:color w:val="auto"/>
          <w:szCs w:val="24"/>
          <w:highlight w:val="none"/>
        </w:rPr>
      </w:pPr>
      <w:bookmarkStart w:id="427" w:name="_Toc422322494"/>
      <w:bookmarkStart w:id="428" w:name="_Toc419045078"/>
      <w:r>
        <w:rPr>
          <w:rFonts w:hint="eastAsia" w:ascii="仿宋" w:hAnsi="仿宋" w:eastAsia="仿宋" w:cs="仿宋"/>
          <w:color w:val="auto"/>
          <w:szCs w:val="24"/>
          <w:highlight w:val="none"/>
        </w:rPr>
        <w:t>3.咨询人的义务</w:t>
      </w:r>
      <w:bookmarkEnd w:id="427"/>
      <w:bookmarkEnd w:id="428"/>
    </w:p>
    <w:p>
      <w:pPr>
        <w:pStyle w:val="48"/>
        <w:spacing w:after="120" w:line="360" w:lineRule="auto"/>
        <w:ind w:firstLine="482" w:firstLineChars="200"/>
        <w:jc w:val="left"/>
        <w:rPr>
          <w:rFonts w:ascii="仿宋" w:hAnsi="仿宋" w:eastAsia="仿宋" w:cs="仿宋"/>
          <w:color w:val="auto"/>
          <w:sz w:val="24"/>
          <w:szCs w:val="24"/>
          <w:highlight w:val="none"/>
        </w:rPr>
      </w:pPr>
      <w:bookmarkStart w:id="429" w:name="_Toc419045080"/>
      <w:bookmarkStart w:id="430" w:name="_Toc422322495"/>
      <w:bookmarkStart w:id="431" w:name="16"/>
      <w:r>
        <w:rPr>
          <w:rFonts w:hint="eastAsia" w:ascii="仿宋" w:hAnsi="仿宋" w:eastAsia="仿宋" w:cs="仿宋"/>
          <w:color w:val="auto"/>
          <w:sz w:val="24"/>
          <w:szCs w:val="24"/>
          <w:highlight w:val="none"/>
        </w:rPr>
        <w:t>3.1 项目咨询团队及人员</w:t>
      </w:r>
      <w:bookmarkEnd w:id="429"/>
      <w:bookmarkEnd w:id="430"/>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3.1.1项目咨询团队的主要人员应具有专用条件约定的资格条件，团队人员的数量应符合专用条件的约定。</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3.1.2项目负责人</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咨询人应以书面形式授权一名项目负责人负责履行本合同、主持项目咨询团队工作。采用招标程序签署本合同的，项目负责人应当与投标文件载明的一致。</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3.1.3在本合同履行过程中，咨询人员应保持相对稳定，以保证咨询工作正常进行。</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3.1.4咨询人员有下列情形之一，委托人要求咨询人更换的，咨询人应当更换：</w:t>
      </w:r>
    </w:p>
    <w:p>
      <w:pPr>
        <w:pStyle w:val="781"/>
        <w:spacing w:line="360" w:lineRule="auto"/>
        <w:ind w:firstLine="336"/>
        <w:rPr>
          <w:rFonts w:ascii="仿宋" w:hAnsi="仿宋" w:eastAsia="仿宋" w:cs="仿宋"/>
          <w:color w:val="auto"/>
          <w:szCs w:val="24"/>
          <w:highlight w:val="none"/>
        </w:rPr>
      </w:pPr>
      <w:r>
        <w:rPr>
          <w:rFonts w:hint="eastAsia" w:ascii="仿宋" w:hAnsi="仿宋" w:eastAsia="仿宋" w:cs="仿宋"/>
          <w:color w:val="auto"/>
          <w:szCs w:val="24"/>
          <w:highlight w:val="none"/>
        </w:rPr>
        <w:t>（1）存在严重过失行为的；</w:t>
      </w:r>
    </w:p>
    <w:p>
      <w:pPr>
        <w:pStyle w:val="781"/>
        <w:spacing w:line="360" w:lineRule="auto"/>
        <w:ind w:firstLine="336"/>
        <w:rPr>
          <w:rFonts w:ascii="仿宋" w:hAnsi="仿宋" w:eastAsia="仿宋" w:cs="仿宋"/>
          <w:color w:val="auto"/>
          <w:szCs w:val="24"/>
          <w:highlight w:val="none"/>
        </w:rPr>
      </w:pPr>
      <w:r>
        <w:rPr>
          <w:rFonts w:hint="eastAsia" w:ascii="仿宋" w:hAnsi="仿宋" w:eastAsia="仿宋" w:cs="仿宋"/>
          <w:color w:val="auto"/>
          <w:szCs w:val="24"/>
          <w:highlight w:val="none"/>
        </w:rPr>
        <w:t>（2）存在违法行为不能履行职责的；</w:t>
      </w:r>
    </w:p>
    <w:p>
      <w:pPr>
        <w:pStyle w:val="781"/>
        <w:spacing w:line="360" w:lineRule="auto"/>
        <w:ind w:firstLine="336"/>
        <w:rPr>
          <w:rFonts w:ascii="仿宋" w:hAnsi="仿宋" w:eastAsia="仿宋" w:cs="仿宋"/>
          <w:color w:val="auto"/>
          <w:szCs w:val="24"/>
          <w:highlight w:val="none"/>
        </w:rPr>
      </w:pPr>
      <w:r>
        <w:rPr>
          <w:rFonts w:hint="eastAsia" w:ascii="仿宋" w:hAnsi="仿宋" w:eastAsia="仿宋" w:cs="仿宋"/>
          <w:color w:val="auto"/>
          <w:szCs w:val="24"/>
          <w:highlight w:val="none"/>
        </w:rPr>
        <w:t>（3）涉嫌犯罪的；</w:t>
      </w:r>
    </w:p>
    <w:p>
      <w:pPr>
        <w:pStyle w:val="781"/>
        <w:spacing w:line="360" w:lineRule="auto"/>
        <w:ind w:firstLine="336"/>
        <w:rPr>
          <w:rFonts w:ascii="仿宋" w:hAnsi="仿宋" w:eastAsia="仿宋" w:cs="仿宋"/>
          <w:color w:val="auto"/>
          <w:szCs w:val="24"/>
          <w:highlight w:val="none"/>
        </w:rPr>
      </w:pPr>
      <w:r>
        <w:rPr>
          <w:rFonts w:hint="eastAsia" w:ascii="仿宋" w:hAnsi="仿宋" w:eastAsia="仿宋" w:cs="仿宋"/>
          <w:color w:val="auto"/>
          <w:szCs w:val="24"/>
          <w:highlight w:val="none"/>
        </w:rPr>
        <w:t>（4）不能胜任岗位职责的；</w:t>
      </w:r>
    </w:p>
    <w:p>
      <w:pPr>
        <w:pStyle w:val="781"/>
        <w:spacing w:line="360" w:lineRule="auto"/>
        <w:ind w:firstLine="336"/>
        <w:rPr>
          <w:rFonts w:ascii="仿宋" w:hAnsi="仿宋" w:eastAsia="仿宋" w:cs="仿宋"/>
          <w:color w:val="auto"/>
          <w:szCs w:val="24"/>
          <w:highlight w:val="none"/>
        </w:rPr>
      </w:pPr>
      <w:r>
        <w:rPr>
          <w:rFonts w:hint="eastAsia" w:ascii="仿宋" w:hAnsi="仿宋" w:eastAsia="仿宋" w:cs="仿宋"/>
          <w:color w:val="auto"/>
          <w:szCs w:val="24"/>
          <w:highlight w:val="none"/>
        </w:rPr>
        <w:t>（5）严重违反职业道德的；</w:t>
      </w:r>
    </w:p>
    <w:p>
      <w:pPr>
        <w:pStyle w:val="781"/>
        <w:spacing w:line="360" w:lineRule="auto"/>
        <w:ind w:firstLine="336"/>
        <w:rPr>
          <w:rStyle w:val="968"/>
          <w:rFonts w:ascii="仿宋" w:hAnsi="仿宋" w:eastAsia="仿宋" w:cs="仿宋"/>
          <w:color w:val="auto"/>
          <w:sz w:val="24"/>
          <w:szCs w:val="24"/>
          <w:highlight w:val="none"/>
        </w:rPr>
      </w:pPr>
      <w:r>
        <w:rPr>
          <w:rFonts w:hint="eastAsia" w:ascii="仿宋" w:hAnsi="仿宋" w:eastAsia="仿宋" w:cs="仿宋"/>
          <w:color w:val="auto"/>
          <w:szCs w:val="24"/>
          <w:highlight w:val="none"/>
        </w:rPr>
        <w:t>（6）专用条件约定的其他情形。</w:t>
      </w:r>
    </w:p>
    <w:p>
      <w:pPr>
        <w:pStyle w:val="48"/>
        <w:spacing w:after="120" w:line="360" w:lineRule="auto"/>
        <w:ind w:firstLine="482" w:firstLineChars="200"/>
        <w:jc w:val="left"/>
        <w:rPr>
          <w:rFonts w:ascii="仿宋" w:hAnsi="仿宋" w:eastAsia="仿宋" w:cs="仿宋"/>
          <w:color w:val="auto"/>
          <w:sz w:val="24"/>
          <w:szCs w:val="24"/>
          <w:highlight w:val="none"/>
        </w:rPr>
      </w:pPr>
      <w:bookmarkStart w:id="432" w:name="_Toc422322496"/>
      <w:r>
        <w:rPr>
          <w:rFonts w:hint="eastAsia" w:ascii="仿宋" w:hAnsi="仿宋" w:eastAsia="仿宋" w:cs="仿宋"/>
          <w:color w:val="auto"/>
          <w:sz w:val="24"/>
          <w:szCs w:val="24"/>
          <w:highlight w:val="none"/>
        </w:rPr>
        <w:t>3.2 咨询人的工作要求</w:t>
      </w:r>
      <w:bookmarkEnd w:id="432"/>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3.2.2咨询人应当在专用条件约定的时间内，按照专用条件约定的份数、组成向委托人提交咨询成果文件。</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3.2.3咨询人提交的工程造价咨询成果文件，除加盖咨询人单位公章、工程造价咨询企业执业印章外，还必须按要求加盖参加咨询工作人员的执业（从业）资格印章。</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3.2.4咨询人应在专用条件约定的时间内，对委托人以书面形式提出的建议或者异议给予书面答复。</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3.2.5咨询人从事工程造价咨询活动，应当遵循独立、客观、公正、诚实信用的原则，不得损害社会公共利益和他人的合法权益。</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3.2.6咨询人承诺按照法律规定及合同约定，完成合同范围内的建设工程造价咨询服务，不转包承接的造价咨询服务业务。</w:t>
      </w:r>
    </w:p>
    <w:p>
      <w:pPr>
        <w:pStyle w:val="48"/>
        <w:spacing w:after="120" w:line="360" w:lineRule="auto"/>
        <w:ind w:firstLine="482" w:firstLineChars="200"/>
        <w:jc w:val="left"/>
        <w:rPr>
          <w:rFonts w:ascii="仿宋" w:hAnsi="仿宋" w:eastAsia="仿宋" w:cs="仿宋"/>
          <w:color w:val="auto"/>
          <w:sz w:val="24"/>
          <w:szCs w:val="24"/>
          <w:highlight w:val="none"/>
        </w:rPr>
      </w:pPr>
      <w:bookmarkStart w:id="433" w:name="_Toc419045081"/>
      <w:bookmarkStart w:id="434" w:name="_Toc422322497"/>
      <w:r>
        <w:rPr>
          <w:rFonts w:hint="eastAsia" w:ascii="仿宋" w:hAnsi="仿宋" w:eastAsia="仿宋" w:cs="仿宋"/>
          <w:color w:val="auto"/>
          <w:sz w:val="24"/>
          <w:szCs w:val="24"/>
          <w:highlight w:val="none"/>
        </w:rPr>
        <w:t>3.3咨询人的工作依据</w:t>
      </w:r>
      <w:bookmarkEnd w:id="433"/>
      <w:bookmarkEnd w:id="434"/>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咨询人应在专用条件内与委托人协商明确履行本合同约定的咨询服务需要适用的技术标准、规范、定额等工作依据，但不得违反国家及工程所在地的强制性标准、规范。</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咨询人应自行配备本条所述的技术标准、规范、定额等相关资料。必须由委托人提供的资料，应在附录C中载明。需要委托人协助才能获得的资料，委托人应予以协助。</w:t>
      </w:r>
    </w:p>
    <w:p>
      <w:pPr>
        <w:pStyle w:val="48"/>
        <w:spacing w:after="120" w:line="360" w:lineRule="auto"/>
        <w:ind w:firstLine="482" w:firstLineChars="200"/>
        <w:jc w:val="left"/>
        <w:rPr>
          <w:rFonts w:ascii="仿宋" w:hAnsi="仿宋" w:eastAsia="仿宋" w:cs="仿宋"/>
          <w:color w:val="auto"/>
          <w:sz w:val="24"/>
          <w:szCs w:val="24"/>
          <w:highlight w:val="none"/>
        </w:rPr>
      </w:pPr>
      <w:bookmarkStart w:id="435" w:name="_Toc419045082"/>
      <w:bookmarkStart w:id="436" w:name="_Toc422322498"/>
      <w:r>
        <w:rPr>
          <w:rFonts w:hint="eastAsia" w:ascii="仿宋" w:hAnsi="仿宋" w:eastAsia="仿宋" w:cs="仿宋"/>
          <w:color w:val="auto"/>
          <w:sz w:val="24"/>
          <w:szCs w:val="24"/>
          <w:highlight w:val="none"/>
        </w:rPr>
        <w:t>3.4使用委托人房屋及设备的返还</w:t>
      </w:r>
      <w:bookmarkEnd w:id="435"/>
      <w:bookmarkEnd w:id="436"/>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项目咨询人员使用委托人提供的房屋及设备的，咨询人应妥善使用和保管，在本合同终止时将上述房屋及设备按专用条件约定的时间和方式返还委托人。</w:t>
      </w:r>
    </w:p>
    <w:bookmarkEnd w:id="431"/>
    <w:p>
      <w:pPr>
        <w:spacing w:line="360" w:lineRule="auto"/>
        <w:ind w:firstLine="482" w:firstLineChars="200"/>
        <w:rPr>
          <w:rStyle w:val="334"/>
          <w:rFonts w:ascii="仿宋" w:hAnsi="仿宋" w:eastAsia="仿宋" w:cs="仿宋"/>
          <w:color w:val="auto"/>
          <w:highlight w:val="none"/>
        </w:rPr>
      </w:pPr>
      <w:bookmarkStart w:id="437" w:name="_Toc419045083"/>
      <w:bookmarkStart w:id="438" w:name="_Toc422322499"/>
      <w:bookmarkStart w:id="439" w:name="19"/>
      <w:r>
        <w:rPr>
          <w:rStyle w:val="334"/>
          <w:rFonts w:hint="eastAsia" w:ascii="仿宋" w:hAnsi="仿宋" w:eastAsia="仿宋" w:cs="仿宋"/>
          <w:color w:val="auto"/>
          <w:highlight w:val="none"/>
        </w:rPr>
        <w:t>4.违约责任</w:t>
      </w:r>
      <w:bookmarkEnd w:id="437"/>
      <w:bookmarkEnd w:id="438"/>
    </w:p>
    <w:p>
      <w:pPr>
        <w:pStyle w:val="48"/>
        <w:spacing w:after="120" w:line="360" w:lineRule="auto"/>
        <w:ind w:firstLine="482" w:firstLineChars="200"/>
        <w:jc w:val="left"/>
        <w:rPr>
          <w:rFonts w:ascii="仿宋" w:hAnsi="仿宋" w:eastAsia="仿宋" w:cs="仿宋"/>
          <w:color w:val="auto"/>
          <w:sz w:val="24"/>
          <w:szCs w:val="24"/>
          <w:highlight w:val="none"/>
        </w:rPr>
      </w:pPr>
      <w:bookmarkStart w:id="440" w:name="_Toc422322500"/>
      <w:r>
        <w:rPr>
          <w:rFonts w:hint="eastAsia" w:ascii="仿宋" w:hAnsi="仿宋" w:eastAsia="仿宋" w:cs="仿宋"/>
          <w:color w:val="auto"/>
          <w:sz w:val="24"/>
          <w:szCs w:val="24"/>
          <w:highlight w:val="none"/>
        </w:rPr>
        <w:t>4.1委托人的违约责任</w:t>
      </w:r>
      <w:bookmarkEnd w:id="440"/>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4.1.1委托人不履行本合同义务或者履行义务不符合本合同约定的，应承担违约责任。双方可在专用条件中约定违约金的计算及支付方法。</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4.1.2委托人违反本合同约定造成咨询人损失的，委托人应予以赔偿。双方可在专用条件中约定赔偿金额的确定及支付方法。</w:t>
      </w:r>
    </w:p>
    <w:p>
      <w:pPr>
        <w:pStyle w:val="781"/>
        <w:spacing w:line="360" w:lineRule="auto"/>
        <w:ind w:firstLine="420" w:firstLineChars="200"/>
        <w:rPr>
          <w:rStyle w:val="334"/>
          <w:rFonts w:ascii="仿宋" w:hAnsi="仿宋" w:eastAsia="仿宋" w:cs="仿宋"/>
          <w:b w:val="0"/>
          <w:color w:val="auto"/>
          <w:szCs w:val="24"/>
          <w:highlight w:val="none"/>
        </w:rPr>
      </w:pPr>
      <w:r>
        <w:rPr>
          <w:rFonts w:hint="eastAsia" w:ascii="仿宋" w:hAnsi="仿宋" w:eastAsia="仿宋" w:cs="仿宋"/>
          <w:color w:val="auto"/>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48"/>
        <w:spacing w:after="120" w:line="360" w:lineRule="auto"/>
        <w:ind w:firstLine="482" w:firstLineChars="200"/>
        <w:jc w:val="left"/>
        <w:rPr>
          <w:rFonts w:ascii="仿宋" w:hAnsi="仿宋" w:eastAsia="仿宋" w:cs="仿宋"/>
          <w:color w:val="auto"/>
          <w:sz w:val="24"/>
          <w:szCs w:val="24"/>
          <w:highlight w:val="none"/>
        </w:rPr>
      </w:pPr>
      <w:bookmarkStart w:id="441" w:name="_Toc422322501"/>
      <w:bookmarkStart w:id="442" w:name="_Toc419045084"/>
      <w:r>
        <w:rPr>
          <w:rFonts w:hint="eastAsia" w:ascii="仿宋" w:hAnsi="仿宋" w:eastAsia="仿宋" w:cs="仿宋"/>
          <w:color w:val="auto"/>
          <w:sz w:val="24"/>
          <w:szCs w:val="24"/>
          <w:highlight w:val="none"/>
        </w:rPr>
        <w:t>4.2咨询人的违约责任</w:t>
      </w:r>
      <w:bookmarkEnd w:id="441"/>
      <w:bookmarkEnd w:id="442"/>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4.2.1咨询人不履行本合同义务或者履行义务不符合本合同约定的，应承担违约责任。双方可在专用条件中约定违约金的计算及支付方法。</w:t>
      </w:r>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4.2.2因咨询人违反本合同约定给委托人造成损失的，咨询人应当赔偿委托人损失。双方可在专用条件中约定赔偿金额的确定及支付方法。</w:t>
      </w:r>
    </w:p>
    <w:p>
      <w:pPr>
        <w:spacing w:line="360" w:lineRule="auto"/>
        <w:ind w:firstLine="482" w:firstLineChars="200"/>
        <w:rPr>
          <w:rStyle w:val="334"/>
          <w:rFonts w:ascii="仿宋" w:hAnsi="仿宋" w:eastAsia="仿宋" w:cs="仿宋"/>
          <w:color w:val="auto"/>
          <w:highlight w:val="none"/>
        </w:rPr>
      </w:pPr>
      <w:bookmarkStart w:id="443" w:name="_Toc422322502"/>
      <w:bookmarkStart w:id="444" w:name="_Toc419045086"/>
      <w:r>
        <w:rPr>
          <w:rStyle w:val="334"/>
          <w:rFonts w:hint="eastAsia" w:ascii="仿宋" w:hAnsi="仿宋" w:eastAsia="仿宋" w:cs="仿宋"/>
          <w:color w:val="auto"/>
          <w:highlight w:val="none"/>
        </w:rPr>
        <w:t>5.支付</w:t>
      </w:r>
      <w:bookmarkEnd w:id="443"/>
      <w:bookmarkEnd w:id="444"/>
    </w:p>
    <w:p>
      <w:pPr>
        <w:pStyle w:val="48"/>
        <w:spacing w:after="120" w:line="360" w:lineRule="auto"/>
        <w:ind w:firstLine="482" w:firstLineChars="200"/>
        <w:jc w:val="left"/>
        <w:rPr>
          <w:rFonts w:ascii="仿宋" w:hAnsi="仿宋" w:eastAsia="仿宋" w:cs="仿宋"/>
          <w:color w:val="auto"/>
          <w:sz w:val="24"/>
          <w:szCs w:val="24"/>
          <w:highlight w:val="none"/>
        </w:rPr>
      </w:pPr>
      <w:bookmarkStart w:id="445" w:name="_Toc422322503"/>
      <w:bookmarkStart w:id="446" w:name="_Toc419045087"/>
      <w:r>
        <w:rPr>
          <w:rStyle w:val="968"/>
          <w:rFonts w:hint="eastAsia" w:ascii="仿宋" w:hAnsi="仿宋" w:eastAsia="仿宋" w:cs="仿宋"/>
          <w:color w:val="auto"/>
          <w:sz w:val="24"/>
          <w:szCs w:val="24"/>
          <w:highlight w:val="none"/>
        </w:rPr>
        <w:t>5.1支付货币</w:t>
      </w:r>
      <w:bookmarkEnd w:id="445"/>
      <w:bookmarkEnd w:id="446"/>
    </w:p>
    <w:p>
      <w:pPr>
        <w:spacing w:line="360" w:lineRule="auto"/>
        <w:rPr>
          <w:rStyle w:val="968"/>
          <w:rFonts w:ascii="仿宋" w:hAnsi="仿宋" w:eastAsia="仿宋" w:cs="仿宋"/>
          <w:color w:val="auto"/>
          <w:sz w:val="24"/>
          <w:szCs w:val="24"/>
          <w:highlight w:val="none"/>
        </w:rPr>
      </w:pPr>
      <w:r>
        <w:rPr>
          <w:rFonts w:hint="eastAsia" w:ascii="仿宋" w:hAnsi="仿宋" w:eastAsia="仿宋" w:cs="仿宋"/>
          <w:color w:val="auto"/>
          <w:sz w:val="24"/>
          <w:highlight w:val="none"/>
        </w:rPr>
        <w:t>　　除专用条件另有约定外，酬金均以人民币支付。涉及外币支付的，所采用的货币种类和汇率等在专用条件中约定。</w:t>
      </w:r>
    </w:p>
    <w:p>
      <w:pPr>
        <w:pStyle w:val="48"/>
        <w:spacing w:after="120" w:line="360" w:lineRule="auto"/>
        <w:ind w:firstLine="482" w:firstLineChars="200"/>
        <w:jc w:val="left"/>
        <w:rPr>
          <w:rFonts w:ascii="仿宋" w:hAnsi="仿宋" w:eastAsia="仿宋" w:cs="仿宋"/>
          <w:color w:val="auto"/>
          <w:sz w:val="24"/>
          <w:szCs w:val="24"/>
          <w:highlight w:val="none"/>
        </w:rPr>
      </w:pPr>
      <w:bookmarkStart w:id="447" w:name="_Toc422322504"/>
      <w:r>
        <w:rPr>
          <w:rFonts w:hint="eastAsia" w:ascii="仿宋" w:hAnsi="仿宋" w:eastAsia="仿宋" w:cs="仿宋"/>
          <w:color w:val="auto"/>
          <w:sz w:val="24"/>
          <w:szCs w:val="24"/>
          <w:highlight w:val="none"/>
        </w:rPr>
        <w:t>5.2支付申请</w:t>
      </w:r>
      <w:bookmarkEnd w:id="447"/>
    </w:p>
    <w:p>
      <w:pPr>
        <w:spacing w:line="360" w:lineRule="auto"/>
        <w:rPr>
          <w:rStyle w:val="968"/>
          <w:rFonts w:ascii="仿宋" w:hAnsi="仿宋" w:eastAsia="仿宋" w:cs="仿宋"/>
          <w:color w:val="auto"/>
          <w:sz w:val="24"/>
          <w:szCs w:val="24"/>
          <w:highlight w:val="none"/>
        </w:rPr>
      </w:pPr>
      <w:r>
        <w:rPr>
          <w:rFonts w:hint="eastAsia" w:ascii="仿宋" w:hAnsi="仿宋" w:eastAsia="仿宋" w:cs="仿宋"/>
          <w:color w:val="auto"/>
          <w:sz w:val="24"/>
          <w:highlight w:val="none"/>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48"/>
        <w:spacing w:after="120" w:line="360" w:lineRule="auto"/>
        <w:ind w:firstLine="482" w:firstLineChars="200"/>
        <w:jc w:val="left"/>
        <w:rPr>
          <w:rFonts w:ascii="仿宋" w:hAnsi="仿宋" w:eastAsia="仿宋" w:cs="仿宋"/>
          <w:color w:val="auto"/>
          <w:sz w:val="24"/>
          <w:szCs w:val="24"/>
          <w:highlight w:val="none"/>
        </w:rPr>
      </w:pPr>
      <w:bookmarkStart w:id="448" w:name="_Toc422322505"/>
      <w:r>
        <w:rPr>
          <w:rFonts w:hint="eastAsia" w:ascii="仿宋" w:hAnsi="仿宋" w:eastAsia="仿宋" w:cs="仿宋"/>
          <w:color w:val="auto"/>
          <w:sz w:val="24"/>
          <w:szCs w:val="24"/>
          <w:highlight w:val="none"/>
        </w:rPr>
        <w:t>5.3 支付酬金</w:t>
      </w:r>
      <w:bookmarkEnd w:id="448"/>
    </w:p>
    <w:p>
      <w:pPr>
        <w:spacing w:line="360" w:lineRule="auto"/>
        <w:rPr>
          <w:rStyle w:val="968"/>
          <w:rFonts w:ascii="仿宋" w:hAnsi="仿宋" w:eastAsia="仿宋" w:cs="仿宋"/>
          <w:color w:val="auto"/>
          <w:sz w:val="24"/>
          <w:szCs w:val="24"/>
          <w:highlight w:val="none"/>
        </w:rPr>
      </w:pPr>
      <w:r>
        <w:rPr>
          <w:rFonts w:hint="eastAsia" w:ascii="仿宋" w:hAnsi="仿宋" w:eastAsia="仿宋" w:cs="仿宋"/>
          <w:color w:val="auto"/>
          <w:sz w:val="24"/>
          <w:highlight w:val="none"/>
        </w:rPr>
        <w:t>　　支付酬金包括正常工作酬金、附加工作酬金、合理化建议奖励金额及费用。</w:t>
      </w:r>
    </w:p>
    <w:p>
      <w:pPr>
        <w:pStyle w:val="48"/>
        <w:spacing w:after="120" w:line="360" w:lineRule="auto"/>
        <w:ind w:firstLine="482" w:firstLineChars="200"/>
        <w:jc w:val="left"/>
        <w:rPr>
          <w:rFonts w:ascii="仿宋" w:hAnsi="仿宋" w:eastAsia="仿宋" w:cs="仿宋"/>
          <w:color w:val="auto"/>
          <w:sz w:val="24"/>
          <w:szCs w:val="24"/>
          <w:highlight w:val="none"/>
        </w:rPr>
      </w:pPr>
      <w:bookmarkStart w:id="449" w:name="_Toc422322506"/>
      <w:r>
        <w:rPr>
          <w:rFonts w:hint="eastAsia" w:ascii="仿宋" w:hAnsi="仿宋" w:eastAsia="仿宋" w:cs="仿宋"/>
          <w:color w:val="auto"/>
          <w:sz w:val="24"/>
          <w:szCs w:val="24"/>
          <w:highlight w:val="none"/>
        </w:rPr>
        <w:t>5.4有异议部分的支付</w:t>
      </w:r>
      <w:bookmarkEnd w:id="449"/>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委托人对咨询人提交的支付申请书有异议时，应当在收到咨询人提交的支付申请书后7日内，以书面形式向咨询人发出异议通知。无异议部分的款项应按期支付，有异议部分的款项按第7条约定办理。</w:t>
      </w:r>
    </w:p>
    <w:p>
      <w:pPr>
        <w:spacing w:line="360" w:lineRule="auto"/>
        <w:ind w:firstLine="482" w:firstLineChars="200"/>
        <w:rPr>
          <w:rStyle w:val="334"/>
          <w:rFonts w:ascii="仿宋" w:hAnsi="仿宋" w:eastAsia="仿宋" w:cs="仿宋"/>
          <w:color w:val="auto"/>
          <w:highlight w:val="none"/>
        </w:rPr>
      </w:pPr>
      <w:bookmarkStart w:id="450" w:name="_Toc422322507"/>
      <w:bookmarkStart w:id="451" w:name="_Toc419045088"/>
      <w:r>
        <w:rPr>
          <w:rStyle w:val="334"/>
          <w:rFonts w:hint="eastAsia" w:ascii="仿宋" w:hAnsi="仿宋" w:eastAsia="仿宋" w:cs="仿宋"/>
          <w:color w:val="auto"/>
          <w:highlight w:val="none"/>
        </w:rPr>
        <w:t>6.合同变更、解除与终止</w:t>
      </w:r>
      <w:bookmarkEnd w:id="450"/>
      <w:bookmarkEnd w:id="451"/>
    </w:p>
    <w:p>
      <w:pPr>
        <w:spacing w:line="360" w:lineRule="auto"/>
        <w:ind w:firstLine="480" w:firstLineChars="200"/>
        <w:rPr>
          <w:rFonts w:ascii="仿宋" w:hAnsi="仿宋" w:eastAsia="仿宋" w:cs="仿宋"/>
          <w:color w:val="auto"/>
          <w:sz w:val="24"/>
          <w:highlight w:val="none"/>
        </w:rPr>
      </w:pPr>
      <w:bookmarkStart w:id="452" w:name="_Toc419045089"/>
      <w:bookmarkStart w:id="453" w:name="_Toc422322508"/>
      <w:r>
        <w:rPr>
          <w:rStyle w:val="968"/>
          <w:rFonts w:hint="eastAsia" w:ascii="仿宋" w:hAnsi="仿宋" w:eastAsia="仿宋" w:cs="仿宋"/>
          <w:color w:val="auto"/>
          <w:sz w:val="24"/>
          <w:szCs w:val="24"/>
          <w:highlight w:val="none"/>
        </w:rPr>
        <w:t>6.1合同变更</w:t>
      </w:r>
      <w:bookmarkEnd w:id="452"/>
      <w:bookmarkEnd w:id="453"/>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6.1.1 任何一方以书面形式提出变更请求时，双方经协商一致后可进行变更。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Style w:val="968"/>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6.1.4 因工程规模、服务范围及工作内容的变化等导致咨询人的工作量增减时，服务酬金应作相应调整，调整方法由双方在专用条件中约定。</w:t>
      </w:r>
      <w:bookmarkStart w:id="454" w:name="_Toc422322509"/>
      <w:bookmarkStart w:id="455" w:name="_Toc419045090"/>
    </w:p>
    <w:p>
      <w:pPr>
        <w:spacing w:line="360" w:lineRule="auto"/>
        <w:ind w:firstLine="480" w:firstLineChars="200"/>
        <w:rPr>
          <w:rStyle w:val="968"/>
          <w:rFonts w:ascii="仿宋" w:hAnsi="仿宋" w:eastAsia="仿宋" w:cs="仿宋"/>
          <w:color w:val="auto"/>
          <w:sz w:val="24"/>
          <w:szCs w:val="24"/>
          <w:highlight w:val="none"/>
        </w:rPr>
      </w:pPr>
      <w:r>
        <w:rPr>
          <w:rStyle w:val="968"/>
          <w:rFonts w:hint="eastAsia" w:ascii="仿宋" w:hAnsi="仿宋" w:eastAsia="仿宋" w:cs="仿宋"/>
          <w:color w:val="auto"/>
          <w:sz w:val="24"/>
          <w:szCs w:val="24"/>
          <w:highlight w:val="none"/>
        </w:rPr>
        <w:t>6.2合同解除</w:t>
      </w:r>
      <w:bookmarkEnd w:id="454"/>
      <w:bookmarkEnd w:id="455"/>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6.2.1 委托人与咨询人协商一致，可以解除合同。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6.2.2 有下列情形之一的，合同当事人一方或双方可以解除合同：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（1）咨询人将本合同约定的工程造价咨询服务工作全部或部分转包给他人，委托人可以解除合同；【风险提示：本合同第8页《投标人须知》提及可以部分分包，请确认。】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（2）咨询人提供的造价咨询服务不符合合同约定的要求，经委托人催告仍不能达到合同约定要求的，委托人可以解除合同；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（3）委托人未按合同约定支付服务酬金，经咨询人催告后，在28天内仍未支付的，咨询人可以解除合同；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（4）因不可抗力致使合同无法履行；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（5）因一方违约致使合同无法实际履行或实际履行已无必要。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除上述情形外，双方可以根据委托的服务范围及工作内容，在专用条件中约定解除合同的其他条件。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6.2.3 任何一方提出解除合同的，应提前30天书面通知对方。</w:t>
      </w:r>
    </w:p>
    <w:p>
      <w:pPr>
        <w:spacing w:line="360" w:lineRule="auto"/>
        <w:ind w:firstLine="465"/>
        <w:rPr>
          <w:rFonts w:ascii="仿宋" w:hAnsi="仿宋" w:eastAsia="仿宋" w:cs="仿宋"/>
          <w:color w:val="auto"/>
          <w:sz w:val="24"/>
          <w:highlight w:val="none"/>
        </w:rPr>
      </w:pPr>
      <w:r>
        <w:rPr>
          <w:rFonts w:hint="eastAsia" w:ascii="仿宋" w:hAnsi="仿宋" w:eastAsia="仿宋" w:cs="仿宋"/>
          <w:color w:val="auto"/>
          <w:sz w:val="24"/>
          <w:highlight w:val="none"/>
        </w:rPr>
        <w:t>6.2.4合同解除后，委托人应按照合同约定向咨询人支付已完成部分的咨询服务酬金。</w:t>
      </w:r>
    </w:p>
    <w:p>
      <w:pPr>
        <w:spacing w:line="360" w:lineRule="auto"/>
        <w:ind w:firstLine="465"/>
        <w:rPr>
          <w:rFonts w:ascii="仿宋" w:hAnsi="仿宋" w:eastAsia="仿宋" w:cs="仿宋"/>
          <w:color w:val="auto"/>
          <w:sz w:val="24"/>
          <w:highlight w:val="none"/>
        </w:rPr>
      </w:pPr>
      <w:r>
        <w:rPr>
          <w:rFonts w:hint="eastAsia" w:ascii="仿宋" w:hAnsi="仿宋" w:eastAsia="仿宋" w:cs="仿宋"/>
          <w:color w:val="auto"/>
          <w:sz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仿宋" w:hAnsi="仿宋" w:eastAsia="仿宋" w:cs="仿宋"/>
          <w:smallCaps/>
          <w:color w:val="auto"/>
          <w:sz w:val="24"/>
          <w:highlight w:val="none"/>
        </w:rPr>
      </w:pPr>
      <w:r>
        <w:rPr>
          <w:rFonts w:hint="eastAsia" w:ascii="仿宋" w:hAnsi="仿宋" w:eastAsia="仿宋" w:cs="仿宋"/>
          <w:color w:val="auto"/>
          <w:sz w:val="24"/>
          <w:highlight w:val="none"/>
        </w:rPr>
        <w:t>6.2.5本合同解除后，本合同约定的有关结算、争议解决方式的条款仍然有效。</w:t>
      </w:r>
    </w:p>
    <w:p>
      <w:pPr>
        <w:spacing w:line="360" w:lineRule="auto"/>
        <w:ind w:firstLine="480" w:firstLineChars="200"/>
        <w:rPr>
          <w:rStyle w:val="968"/>
          <w:rFonts w:ascii="仿宋" w:hAnsi="仿宋" w:eastAsia="仿宋" w:cs="仿宋"/>
          <w:color w:val="auto"/>
          <w:sz w:val="24"/>
          <w:szCs w:val="24"/>
          <w:highlight w:val="none"/>
        </w:rPr>
      </w:pPr>
      <w:bookmarkStart w:id="456" w:name="_Toc422322510"/>
      <w:r>
        <w:rPr>
          <w:rStyle w:val="968"/>
          <w:rFonts w:hint="eastAsia" w:ascii="仿宋" w:hAnsi="仿宋" w:eastAsia="仿宋" w:cs="仿宋"/>
          <w:color w:val="auto"/>
          <w:sz w:val="24"/>
          <w:szCs w:val="24"/>
          <w:highlight w:val="none"/>
        </w:rPr>
        <w:t>6.3 合同终止</w:t>
      </w:r>
      <w:bookmarkEnd w:id="456"/>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smallCaps/>
          <w:color w:val="auto"/>
          <w:sz w:val="24"/>
          <w:highlight w:val="none"/>
        </w:rPr>
        <w:t>　　</w:t>
      </w:r>
      <w:r>
        <w:rPr>
          <w:rFonts w:hint="eastAsia" w:ascii="仿宋" w:hAnsi="仿宋" w:eastAsia="仿宋" w:cs="仿宋"/>
          <w:bCs/>
          <w:smallCaps/>
          <w:color w:val="auto"/>
          <w:sz w:val="24"/>
          <w:highlight w:val="none"/>
        </w:rPr>
        <w:t>除合同解除外，以下条</w:t>
      </w:r>
      <w:r>
        <w:rPr>
          <w:rFonts w:hint="eastAsia" w:ascii="仿宋" w:hAnsi="仿宋" w:eastAsia="仿宋" w:cs="仿宋"/>
          <w:color w:val="auto"/>
          <w:sz w:val="24"/>
          <w:highlight w:val="none"/>
        </w:rPr>
        <w:t>件全部满足时，本合同终止：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（1）咨询人完成本合同约定的全部工作；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（2）委托人与咨询人结清并支付酬金；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（3）咨询人将委托人提供的资料交还。</w:t>
      </w:r>
    </w:p>
    <w:p>
      <w:pPr>
        <w:spacing w:line="360" w:lineRule="auto"/>
        <w:ind w:firstLine="482" w:firstLineChars="200"/>
        <w:rPr>
          <w:rStyle w:val="334"/>
          <w:rFonts w:ascii="仿宋" w:hAnsi="仿宋" w:eastAsia="仿宋" w:cs="仿宋"/>
          <w:color w:val="auto"/>
          <w:highlight w:val="none"/>
        </w:rPr>
      </w:pPr>
      <w:bookmarkStart w:id="457" w:name="_Toc419045091"/>
      <w:bookmarkStart w:id="458" w:name="_Toc422322511"/>
      <w:r>
        <w:rPr>
          <w:rStyle w:val="334"/>
          <w:rFonts w:hint="eastAsia" w:ascii="仿宋" w:hAnsi="仿宋" w:eastAsia="仿宋" w:cs="仿宋"/>
          <w:color w:val="auto"/>
          <w:highlight w:val="none"/>
        </w:rPr>
        <w:t>7.争议解决</w:t>
      </w:r>
      <w:bookmarkEnd w:id="439"/>
      <w:bookmarkEnd w:id="457"/>
      <w:bookmarkEnd w:id="458"/>
    </w:p>
    <w:p>
      <w:pPr>
        <w:pStyle w:val="781"/>
        <w:spacing w:line="360" w:lineRule="auto"/>
        <w:ind w:firstLine="480" w:firstLineChars="200"/>
        <w:rPr>
          <w:rStyle w:val="968"/>
          <w:rFonts w:ascii="仿宋" w:hAnsi="仿宋" w:eastAsia="仿宋" w:cs="仿宋"/>
          <w:smallCaps/>
          <w:color w:val="auto"/>
          <w:sz w:val="24"/>
          <w:szCs w:val="24"/>
          <w:highlight w:val="none"/>
        </w:rPr>
      </w:pPr>
      <w:bookmarkStart w:id="459" w:name="_Toc419045092"/>
      <w:bookmarkStart w:id="460" w:name="_Toc422322512"/>
      <w:r>
        <w:rPr>
          <w:rStyle w:val="968"/>
          <w:rFonts w:hint="eastAsia" w:ascii="仿宋" w:hAnsi="仿宋" w:eastAsia="仿宋" w:cs="仿宋"/>
          <w:smallCaps/>
          <w:color w:val="auto"/>
          <w:sz w:val="24"/>
          <w:szCs w:val="24"/>
          <w:highlight w:val="none"/>
        </w:rPr>
        <w:t>7.1协商</w:t>
      </w:r>
      <w:bookmarkEnd w:id="459"/>
      <w:bookmarkEnd w:id="460"/>
    </w:p>
    <w:p>
      <w:pPr>
        <w:pStyle w:val="781"/>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　　双方应本着诚实信用的原则协商解决本合同履行过程中发生的争议。</w:t>
      </w:r>
      <w:bookmarkStart w:id="461" w:name="37"/>
    </w:p>
    <w:p>
      <w:pPr>
        <w:pStyle w:val="781"/>
        <w:spacing w:line="360" w:lineRule="auto"/>
        <w:ind w:firstLine="480" w:firstLineChars="200"/>
        <w:rPr>
          <w:rStyle w:val="968"/>
          <w:rFonts w:ascii="仿宋" w:hAnsi="仿宋" w:eastAsia="仿宋" w:cs="仿宋"/>
          <w:smallCaps/>
          <w:color w:val="auto"/>
          <w:sz w:val="24"/>
          <w:szCs w:val="24"/>
          <w:highlight w:val="none"/>
        </w:rPr>
      </w:pPr>
      <w:bookmarkStart w:id="462" w:name="_Toc419045093"/>
      <w:bookmarkStart w:id="463" w:name="_Toc422322513"/>
      <w:r>
        <w:rPr>
          <w:rStyle w:val="968"/>
          <w:rFonts w:hint="eastAsia" w:ascii="仿宋" w:hAnsi="仿宋" w:eastAsia="仿宋" w:cs="仿宋"/>
          <w:smallCaps/>
          <w:color w:val="auto"/>
          <w:sz w:val="24"/>
          <w:szCs w:val="24"/>
          <w:highlight w:val="none"/>
        </w:rPr>
        <w:t>7.2</w:t>
      </w:r>
      <w:bookmarkEnd w:id="461"/>
      <w:r>
        <w:rPr>
          <w:rStyle w:val="968"/>
          <w:rFonts w:hint="eastAsia" w:ascii="仿宋" w:hAnsi="仿宋" w:eastAsia="仿宋" w:cs="仿宋"/>
          <w:smallCaps/>
          <w:color w:val="auto"/>
          <w:sz w:val="24"/>
          <w:szCs w:val="24"/>
          <w:highlight w:val="none"/>
        </w:rPr>
        <w:t>调解</w:t>
      </w:r>
      <w:bookmarkEnd w:id="462"/>
      <w:bookmarkEnd w:id="463"/>
    </w:p>
    <w:p>
      <w:pPr>
        <w:pStyle w:val="781"/>
        <w:spacing w:line="360" w:lineRule="auto"/>
        <w:ind w:firstLine="420" w:firstLineChars="200"/>
        <w:rPr>
          <w:rFonts w:ascii="仿宋" w:hAnsi="仿宋" w:eastAsia="仿宋" w:cs="仿宋"/>
          <w:b/>
          <w:bCs/>
          <w:color w:val="auto"/>
          <w:szCs w:val="24"/>
          <w:highlight w:val="none"/>
        </w:rPr>
      </w:pPr>
      <w:r>
        <w:rPr>
          <w:rFonts w:hint="eastAsia" w:ascii="仿宋" w:hAnsi="仿宋" w:eastAsia="仿宋" w:cs="仿宋"/>
          <w:color w:val="auto"/>
          <w:szCs w:val="24"/>
          <w:highlight w:val="none"/>
        </w:rPr>
        <w:t>　　如果双方不能在14日内或双方商定的其他时间内解决本合同争议，可以将其提交给专用条件约定的或事后达成协议的调解人进行调解。</w:t>
      </w:r>
    </w:p>
    <w:p>
      <w:pPr>
        <w:spacing w:line="360" w:lineRule="auto"/>
        <w:ind w:firstLine="480" w:firstLineChars="200"/>
        <w:rPr>
          <w:rStyle w:val="968"/>
          <w:rFonts w:ascii="仿宋" w:hAnsi="仿宋" w:eastAsia="仿宋" w:cs="仿宋"/>
          <w:smallCaps/>
          <w:color w:val="auto"/>
          <w:sz w:val="24"/>
          <w:szCs w:val="24"/>
          <w:highlight w:val="none"/>
        </w:rPr>
      </w:pPr>
      <w:bookmarkStart w:id="464" w:name="38"/>
      <w:bookmarkStart w:id="465" w:name="_Toc422322514"/>
      <w:bookmarkStart w:id="466" w:name="_Toc419045094"/>
      <w:r>
        <w:rPr>
          <w:rStyle w:val="968"/>
          <w:rFonts w:hint="eastAsia" w:ascii="仿宋" w:hAnsi="仿宋" w:eastAsia="仿宋" w:cs="仿宋"/>
          <w:smallCaps/>
          <w:color w:val="auto"/>
          <w:sz w:val="24"/>
          <w:szCs w:val="24"/>
          <w:highlight w:val="none"/>
        </w:rPr>
        <w:t>7.</w:t>
      </w:r>
      <w:bookmarkEnd w:id="464"/>
      <w:r>
        <w:rPr>
          <w:rStyle w:val="968"/>
          <w:rFonts w:hint="eastAsia" w:ascii="仿宋" w:hAnsi="仿宋" w:eastAsia="仿宋" w:cs="仿宋"/>
          <w:smallCaps/>
          <w:color w:val="auto"/>
          <w:sz w:val="24"/>
          <w:szCs w:val="24"/>
          <w:highlight w:val="none"/>
        </w:rPr>
        <w:t>3仲裁或诉讼</w:t>
      </w:r>
      <w:bookmarkEnd w:id="465"/>
      <w:bookmarkEnd w:id="46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双方均有权不经调解直接向专用条件约定的仲裁机构申请仲裁或向有管辖权的人民法院提起诉讼。</w:t>
      </w:r>
    </w:p>
    <w:p>
      <w:pPr>
        <w:spacing w:line="360" w:lineRule="auto"/>
        <w:ind w:firstLine="482" w:firstLineChars="200"/>
        <w:rPr>
          <w:rStyle w:val="334"/>
          <w:rFonts w:ascii="仿宋" w:hAnsi="仿宋" w:eastAsia="仿宋" w:cs="仿宋"/>
          <w:color w:val="auto"/>
          <w:highlight w:val="none"/>
        </w:rPr>
      </w:pPr>
      <w:bookmarkStart w:id="467" w:name="_Toc422322515"/>
      <w:bookmarkStart w:id="468" w:name="_Toc419045095"/>
      <w:r>
        <w:rPr>
          <w:rStyle w:val="334"/>
          <w:rFonts w:hint="eastAsia" w:ascii="仿宋" w:hAnsi="仿宋" w:eastAsia="仿宋" w:cs="仿宋"/>
          <w:color w:val="auto"/>
          <w:highlight w:val="none"/>
        </w:rPr>
        <w:t>8.其他</w:t>
      </w:r>
      <w:bookmarkEnd w:id="467"/>
      <w:bookmarkEnd w:id="468"/>
    </w:p>
    <w:p>
      <w:pPr>
        <w:pStyle w:val="48"/>
        <w:spacing w:after="120" w:line="360" w:lineRule="auto"/>
        <w:ind w:firstLine="482" w:firstLineChars="200"/>
        <w:jc w:val="left"/>
        <w:rPr>
          <w:rFonts w:ascii="仿宋" w:hAnsi="仿宋" w:eastAsia="仿宋" w:cs="仿宋"/>
          <w:color w:val="auto"/>
          <w:sz w:val="24"/>
          <w:szCs w:val="24"/>
          <w:highlight w:val="none"/>
        </w:rPr>
      </w:pPr>
      <w:bookmarkStart w:id="469" w:name="39"/>
      <w:bookmarkStart w:id="470" w:name="_Toc419045096"/>
      <w:bookmarkStart w:id="471" w:name="_Toc422322516"/>
      <w:r>
        <w:rPr>
          <w:rFonts w:hint="eastAsia" w:ascii="仿宋" w:hAnsi="仿宋" w:eastAsia="仿宋" w:cs="仿宋"/>
          <w:smallCaps/>
          <w:color w:val="auto"/>
          <w:sz w:val="24"/>
          <w:szCs w:val="24"/>
          <w:highlight w:val="none"/>
        </w:rPr>
        <w:t>8.1</w:t>
      </w:r>
      <w:bookmarkEnd w:id="469"/>
      <w:r>
        <w:rPr>
          <w:rFonts w:hint="eastAsia" w:ascii="仿宋" w:hAnsi="仿宋" w:eastAsia="仿宋" w:cs="仿宋"/>
          <w:color w:val="auto"/>
          <w:sz w:val="24"/>
          <w:szCs w:val="24"/>
          <w:highlight w:val="none"/>
        </w:rPr>
        <w:t>考察及相关费用</w:t>
      </w:r>
      <w:bookmarkEnd w:id="470"/>
      <w:bookmarkEnd w:id="471"/>
    </w:p>
    <w:p>
      <w:pPr>
        <w:spacing w:line="360" w:lineRule="auto"/>
        <w:ind w:firstLine="480" w:firstLineChars="200"/>
        <w:rPr>
          <w:rStyle w:val="968"/>
          <w:rFonts w:ascii="仿宋" w:hAnsi="仿宋" w:eastAsia="仿宋" w:cs="仿宋"/>
          <w:color w:val="auto"/>
          <w:sz w:val="24"/>
          <w:szCs w:val="24"/>
          <w:highlight w:val="none"/>
        </w:rPr>
      </w:pPr>
      <w:r>
        <w:rPr>
          <w:rFonts w:hint="eastAsia" w:ascii="仿宋" w:hAnsi="仿宋" w:eastAsia="仿宋" w:cs="仿宋"/>
          <w:color w:val="auto"/>
          <w:sz w:val="24"/>
          <w:highlight w:val="none"/>
        </w:rPr>
        <w:t>除专用条件另有约定外，咨询人经委托人同意进行考察发生的费用由委托人审核后另行支付。差旅费及相关费用的承担由双方在专用条件中约定。</w:t>
      </w:r>
    </w:p>
    <w:p>
      <w:pPr>
        <w:pStyle w:val="48"/>
        <w:spacing w:after="120" w:line="360" w:lineRule="auto"/>
        <w:ind w:firstLine="482" w:firstLineChars="200"/>
        <w:jc w:val="left"/>
        <w:rPr>
          <w:rFonts w:ascii="仿宋" w:hAnsi="仿宋" w:eastAsia="仿宋" w:cs="仿宋"/>
          <w:color w:val="auto"/>
          <w:sz w:val="24"/>
          <w:szCs w:val="24"/>
          <w:highlight w:val="none"/>
        </w:rPr>
      </w:pPr>
      <w:bookmarkStart w:id="472" w:name="_Toc422322517"/>
      <w:r>
        <w:rPr>
          <w:rFonts w:hint="eastAsia" w:ascii="仿宋" w:hAnsi="仿宋" w:eastAsia="仿宋" w:cs="仿宋"/>
          <w:color w:val="auto"/>
          <w:sz w:val="24"/>
          <w:szCs w:val="24"/>
          <w:highlight w:val="none"/>
        </w:rPr>
        <w:t>8.2奖励</w:t>
      </w:r>
      <w:bookmarkEnd w:id="472"/>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对于咨询人在服务过程中提出合理化建议，使委托人获得效益的，双方在专用条件中约定奖励金额的确定方法。奖励金额在合理化建议被采纳后，与最近一期的正常工作酬金同期支付。</w:t>
      </w:r>
    </w:p>
    <w:p>
      <w:pPr>
        <w:pStyle w:val="48"/>
        <w:spacing w:after="120" w:line="360" w:lineRule="auto"/>
        <w:ind w:firstLine="482" w:firstLineChars="200"/>
        <w:jc w:val="left"/>
        <w:rPr>
          <w:rFonts w:ascii="仿宋" w:hAnsi="仿宋" w:eastAsia="仿宋" w:cs="仿宋"/>
          <w:color w:val="auto"/>
          <w:sz w:val="24"/>
          <w:szCs w:val="24"/>
          <w:highlight w:val="none"/>
        </w:rPr>
      </w:pPr>
      <w:bookmarkStart w:id="473" w:name="_Toc422322518"/>
      <w:r>
        <w:rPr>
          <w:rFonts w:hint="eastAsia" w:ascii="仿宋" w:hAnsi="仿宋" w:eastAsia="仿宋" w:cs="仿宋"/>
          <w:color w:val="auto"/>
          <w:sz w:val="24"/>
          <w:szCs w:val="24"/>
          <w:highlight w:val="none"/>
        </w:rPr>
        <w:t>8.3保密</w:t>
      </w:r>
      <w:bookmarkEnd w:id="473"/>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ascii="仿宋" w:hAnsi="仿宋" w:eastAsia="仿宋" w:cs="仿宋"/>
          <w:b/>
          <w:color w:val="auto"/>
          <w:sz w:val="24"/>
          <w:highlight w:val="none"/>
        </w:rPr>
      </w:pPr>
      <w:r>
        <w:rPr>
          <w:rFonts w:hint="eastAsia" w:ascii="仿宋" w:hAnsi="仿宋" w:eastAsia="仿宋" w:cs="仿宋"/>
          <w:bCs/>
          <w:smallCaps/>
          <w:color w:val="auto"/>
          <w:sz w:val="24"/>
          <w:highlight w:val="none"/>
        </w:rPr>
        <w:t xml:space="preserve">　　 </w:t>
      </w:r>
      <w:bookmarkStart w:id="474" w:name="_Toc419045097"/>
      <w:bookmarkStart w:id="475" w:name="_Toc422322519"/>
      <w:r>
        <w:rPr>
          <w:rStyle w:val="968"/>
          <w:rFonts w:hint="eastAsia" w:ascii="仿宋" w:hAnsi="仿宋" w:eastAsia="仿宋" w:cs="仿宋"/>
          <w:color w:val="auto"/>
          <w:sz w:val="24"/>
          <w:szCs w:val="24"/>
          <w:highlight w:val="none"/>
        </w:rPr>
        <w:t>8.4</w:t>
      </w:r>
      <w:bookmarkEnd w:id="474"/>
      <w:r>
        <w:rPr>
          <w:rStyle w:val="968"/>
          <w:rFonts w:hint="eastAsia" w:ascii="仿宋" w:hAnsi="仿宋" w:eastAsia="仿宋" w:cs="仿宋"/>
          <w:color w:val="auto"/>
          <w:sz w:val="24"/>
          <w:szCs w:val="24"/>
          <w:highlight w:val="none"/>
        </w:rPr>
        <w:t>联络</w:t>
      </w:r>
      <w:bookmarkEnd w:id="475"/>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8.4.1与合同有关的通知、指示、要求、决定等，均应采用书面形式，并应在专用条件约定的期限内送达接收人和送达地点。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Style w:val="968"/>
          <w:rFonts w:ascii="仿宋" w:hAnsi="仿宋" w:eastAsia="仿宋" w:cs="仿宋"/>
          <w:color w:val="auto"/>
          <w:sz w:val="24"/>
          <w:szCs w:val="24"/>
          <w:highlight w:val="none"/>
        </w:rPr>
      </w:pPr>
      <w:r>
        <w:rPr>
          <w:rFonts w:hint="eastAsia" w:ascii="仿宋" w:hAnsi="仿宋" w:eastAsia="仿宋" w:cs="仿宋"/>
          <w:color w:val="auto"/>
          <w:sz w:val="24"/>
          <w:highlight w:val="none"/>
        </w:rPr>
        <w:t>8.4.3委托人和咨询人应当及时签收另一方送达至送达地点和指定接收人的往来函件，如确有充分证据证明一方无正当理由拒不签收的，视为认可往来函件的内容。</w:t>
      </w:r>
    </w:p>
    <w:p>
      <w:pPr>
        <w:pStyle w:val="48"/>
        <w:spacing w:after="120" w:line="360" w:lineRule="auto"/>
        <w:ind w:firstLine="482" w:firstLineChars="200"/>
        <w:jc w:val="left"/>
        <w:rPr>
          <w:rFonts w:ascii="仿宋" w:hAnsi="仿宋" w:eastAsia="仿宋" w:cs="仿宋"/>
          <w:color w:val="auto"/>
          <w:sz w:val="24"/>
          <w:szCs w:val="24"/>
          <w:highlight w:val="none"/>
        </w:rPr>
      </w:pPr>
      <w:bookmarkStart w:id="476" w:name="_Toc422322520"/>
      <w:r>
        <w:rPr>
          <w:rFonts w:hint="eastAsia" w:ascii="仿宋" w:hAnsi="仿宋" w:eastAsia="仿宋" w:cs="仿宋"/>
          <w:color w:val="auto"/>
          <w:sz w:val="24"/>
          <w:szCs w:val="24"/>
          <w:highlight w:val="none"/>
        </w:rPr>
        <w:t>8.5知识产权</w:t>
      </w:r>
      <w:bookmarkEnd w:id="47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120" w:firstLineChars="50"/>
        <w:jc w:val="center"/>
        <w:outlineLvl w:val="2"/>
        <w:rPr>
          <w:rFonts w:ascii="仿宋" w:hAnsi="仿宋" w:eastAsia="仿宋" w:cs="仿宋"/>
          <w:b/>
          <w:bCs/>
          <w:color w:val="auto"/>
          <w:sz w:val="24"/>
          <w:highlight w:val="none"/>
        </w:rPr>
      </w:pPr>
      <w:bookmarkStart w:id="477" w:name="_Toc35366005"/>
      <w:r>
        <w:rPr>
          <w:rFonts w:hint="eastAsia" w:ascii="仿宋" w:hAnsi="仿宋" w:eastAsia="仿宋" w:cs="仿宋"/>
          <w:b/>
          <w:bCs/>
          <w:color w:val="auto"/>
          <w:sz w:val="24"/>
          <w:highlight w:val="none"/>
        </w:rPr>
        <w:t>第三部分：专用条件</w:t>
      </w:r>
      <w:bookmarkEnd w:id="477"/>
    </w:p>
    <w:p>
      <w:pPr>
        <w:rPr>
          <w:rFonts w:ascii="仿宋" w:hAnsi="仿宋" w:eastAsia="仿宋" w:cs="仿宋"/>
          <w:color w:val="auto"/>
          <w:sz w:val="24"/>
          <w:highlight w:val="none"/>
        </w:rPr>
      </w:pPr>
    </w:p>
    <w:p>
      <w:pPr>
        <w:pStyle w:val="4"/>
        <w:tabs>
          <w:tab w:val="left" w:pos="1041"/>
          <w:tab w:val="clear" w:pos="900"/>
        </w:tabs>
        <w:snapToGrid w:val="0"/>
        <w:spacing w:line="440" w:lineRule="exact"/>
        <w:jc w:val="center"/>
        <w:rPr>
          <w:rFonts w:ascii="仿宋" w:hAnsi="仿宋" w:eastAsia="仿宋" w:cs="仿宋"/>
          <w:color w:val="auto"/>
          <w:sz w:val="24"/>
          <w:szCs w:val="24"/>
          <w:highlight w:val="none"/>
        </w:rPr>
      </w:pPr>
      <w:bookmarkStart w:id="478" w:name="_Toc528528897"/>
      <w:bookmarkStart w:id="479" w:name="_Toc528529047"/>
      <w:bookmarkStart w:id="480" w:name="_Toc35366006"/>
      <w:r>
        <w:rPr>
          <w:rFonts w:hint="eastAsia" w:ascii="仿宋" w:hAnsi="仿宋" w:eastAsia="仿宋" w:cs="仿宋"/>
          <w:color w:val="auto"/>
          <w:sz w:val="24"/>
          <w:szCs w:val="24"/>
          <w:highlight w:val="none"/>
        </w:rPr>
        <w:t>1.词语定义、语言、解释顺序与适用法律</w:t>
      </w:r>
      <w:bookmarkEnd w:id="478"/>
      <w:bookmarkEnd w:id="479"/>
      <w:bookmarkEnd w:id="480"/>
    </w:p>
    <w:p>
      <w:pPr>
        <w:pStyle w:val="24"/>
        <w:tabs>
          <w:tab w:val="left" w:pos="8407"/>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1.2语言</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本合同文件除使用中文外，还可用</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pPr>
        <w:pStyle w:val="24"/>
        <w:tabs>
          <w:tab w:val="left" w:pos="8407"/>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1.3合同文件的优先顺序</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本合同文件的解释顺序为：</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1.协议书</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2.中标通知书或委托书（如果有）；</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3.询标纪要（如有）；</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4.专用条件及附录；</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5.通用条件；</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6.投标函及投标函附录或造价咨询服务建议书（如果有）；</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7.其他合同文件。</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上述各项合同文件包括合同当事人就该项合同文件所作出的补充和修改，属于同一类内容的文件，应以最新签署的为准。</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在合同订立及履行过程中形成的与合同有关的文件均构成合同文件的组成部分。</w:t>
      </w:r>
    </w:p>
    <w:p>
      <w:pPr>
        <w:pStyle w:val="24"/>
        <w:tabs>
          <w:tab w:val="left" w:pos="8407"/>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1.4适用法律</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本合同适用的其他规范性文件包括: 行业出台的相关规范性文件。</w:t>
      </w:r>
    </w:p>
    <w:p>
      <w:pPr>
        <w:pStyle w:val="4"/>
        <w:tabs>
          <w:tab w:val="left" w:pos="1041"/>
          <w:tab w:val="clear" w:pos="900"/>
        </w:tabs>
        <w:snapToGrid w:val="0"/>
        <w:spacing w:line="440" w:lineRule="exact"/>
        <w:ind w:left="0" w:firstLine="0"/>
        <w:jc w:val="center"/>
        <w:rPr>
          <w:rFonts w:ascii="仿宋" w:hAnsi="仿宋" w:eastAsia="仿宋" w:cs="仿宋"/>
          <w:color w:val="auto"/>
          <w:sz w:val="24"/>
          <w:szCs w:val="24"/>
          <w:highlight w:val="none"/>
        </w:rPr>
      </w:pPr>
      <w:bookmarkStart w:id="481" w:name="_Toc528529048"/>
      <w:bookmarkStart w:id="482" w:name="_Toc528528898"/>
      <w:bookmarkStart w:id="483" w:name="_Toc35366007"/>
      <w:r>
        <w:rPr>
          <w:rFonts w:hint="eastAsia" w:ascii="仿宋" w:hAnsi="仿宋" w:eastAsia="仿宋" w:cs="仿宋"/>
          <w:color w:val="auto"/>
          <w:sz w:val="24"/>
          <w:szCs w:val="24"/>
          <w:highlight w:val="none"/>
        </w:rPr>
        <w:t>2.委托人的义务</w:t>
      </w:r>
      <w:bookmarkEnd w:id="481"/>
      <w:bookmarkEnd w:id="482"/>
      <w:bookmarkEnd w:id="483"/>
    </w:p>
    <w:p>
      <w:pPr>
        <w:pStyle w:val="24"/>
        <w:tabs>
          <w:tab w:val="left" w:pos="8407"/>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2.1提供资料</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委托人按照约定无偿向咨询人提供与本合同咨询业务有关资料的时间为：</w:t>
      </w:r>
      <w:r>
        <w:rPr>
          <w:rFonts w:hint="eastAsia" w:ascii="仿宋" w:hAnsi="仿宋" w:eastAsia="仿宋" w:cs="仿宋"/>
          <w:color w:val="auto"/>
          <w:highlight w:val="none"/>
          <w:u w:val="single"/>
        </w:rPr>
        <w:t>工程完工后14天内委托人按照咨询人罗列的竣工结算资料清单提供结算报审资料。</w:t>
      </w:r>
    </w:p>
    <w:p>
      <w:pPr>
        <w:pStyle w:val="24"/>
        <w:tabs>
          <w:tab w:val="left" w:pos="8407"/>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2.2提供工作条件</w:t>
      </w:r>
    </w:p>
    <w:p>
      <w:pPr>
        <w:pStyle w:val="24"/>
        <w:tabs>
          <w:tab w:val="left" w:pos="8407"/>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2.2.1项目咨询人员由委托人提供的房屋及设备，支付使用费的标准为：</w:t>
      </w:r>
      <w:r>
        <w:rPr>
          <w:rFonts w:hint="eastAsia" w:ascii="仿宋" w:hAnsi="仿宋" w:eastAsia="仿宋" w:cs="仿宋"/>
          <w:color w:val="auto"/>
          <w:highlight w:val="none"/>
          <w:u w:val="single"/>
        </w:rPr>
        <w:t>驻点办公室由委托人提供，免费使用。电脑、打印机等其他办公用品由项目咨询人员自行承担</w:t>
      </w:r>
      <w:r>
        <w:rPr>
          <w:rFonts w:hint="eastAsia" w:ascii="仿宋" w:hAnsi="仿宋" w:eastAsia="仿宋" w:cs="仿宋"/>
          <w:color w:val="auto"/>
          <w:spacing w:val="-18"/>
          <w:highlight w:val="none"/>
        </w:rPr>
        <w:t>。</w:t>
      </w:r>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2.4委托人代表</w:t>
      </w:r>
    </w:p>
    <w:p>
      <w:pPr>
        <w:pStyle w:val="24"/>
        <w:tabs>
          <w:tab w:val="left" w:pos="4699"/>
          <w:tab w:val="left" w:pos="8479"/>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委托人代表为：</w:t>
      </w:r>
      <w:r>
        <w:rPr>
          <w:rFonts w:hint="eastAsia" w:ascii="仿宋" w:hAnsi="仿宋" w:eastAsia="仿宋" w:cs="仿宋"/>
          <w:color w:val="auto"/>
          <w:highlight w:val="none"/>
          <w:u w:val="single"/>
        </w:rPr>
        <w:tab/>
      </w:r>
      <w:r>
        <w:rPr>
          <w:rFonts w:hint="eastAsia" w:ascii="仿宋" w:hAnsi="仿宋" w:eastAsia="仿宋" w:cs="仿宋"/>
          <w:color w:val="auto"/>
          <w:highlight w:val="none"/>
        </w:rPr>
        <w:t>，其权限范围：</w:t>
      </w:r>
      <w:r>
        <w:rPr>
          <w:rFonts w:hint="eastAsia" w:ascii="仿宋" w:hAnsi="仿宋" w:eastAsia="仿宋" w:cs="仿宋"/>
          <w:color w:val="auto"/>
          <w:highlight w:val="none"/>
          <w:u w:val="single"/>
        </w:rPr>
        <w:tab/>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      </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       </w:t>
      </w:r>
      <w:r>
        <w:rPr>
          <w:rFonts w:hint="eastAsia" w:ascii="仿宋" w:hAnsi="仿宋" w:eastAsia="仿宋" w:cs="仿宋"/>
          <w:color w:val="auto"/>
          <w:sz w:val="24"/>
          <w:highlight w:val="none"/>
        </w:rPr>
        <w:t>；</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w:t>
      </w:r>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2.5答复</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委托人同意在</w:t>
      </w:r>
      <w:r>
        <w:rPr>
          <w:rFonts w:hint="eastAsia" w:ascii="仿宋" w:hAnsi="仿宋" w:eastAsia="仿宋" w:cs="仿宋"/>
          <w:color w:val="auto"/>
          <w:highlight w:val="none"/>
          <w:u w:val="single"/>
        </w:rPr>
        <w:t>10个工作日</w:t>
      </w:r>
      <w:r>
        <w:rPr>
          <w:rFonts w:hint="eastAsia" w:ascii="仿宋" w:hAnsi="仿宋" w:eastAsia="仿宋" w:cs="仿宋"/>
          <w:color w:val="auto"/>
          <w:highlight w:val="none"/>
        </w:rPr>
        <w:t>内，对咨询人书面提交并要求做出决定的事宜给</w:t>
      </w:r>
      <w:r>
        <w:rPr>
          <w:rFonts w:hint="eastAsia" w:ascii="仿宋" w:hAnsi="仿宋" w:eastAsia="仿宋" w:cs="仿宋"/>
          <w:color w:val="auto"/>
          <w:spacing w:val="-18"/>
          <w:highlight w:val="none"/>
        </w:rPr>
        <w:t>予</w:t>
      </w:r>
      <w:r>
        <w:rPr>
          <w:rFonts w:hint="eastAsia" w:ascii="仿宋" w:hAnsi="仿宋" w:eastAsia="仿宋" w:cs="仿宋"/>
          <w:color w:val="auto"/>
          <w:highlight w:val="none"/>
        </w:rPr>
        <w:t>书面答复。</w:t>
      </w:r>
    </w:p>
    <w:p>
      <w:pPr>
        <w:pStyle w:val="4"/>
        <w:tabs>
          <w:tab w:val="left" w:pos="1041"/>
          <w:tab w:val="clear" w:pos="900"/>
        </w:tabs>
        <w:snapToGrid w:val="0"/>
        <w:spacing w:line="440" w:lineRule="exact"/>
        <w:jc w:val="center"/>
        <w:rPr>
          <w:rFonts w:ascii="仿宋" w:hAnsi="仿宋" w:eastAsia="仿宋" w:cs="仿宋"/>
          <w:color w:val="auto"/>
          <w:sz w:val="24"/>
          <w:szCs w:val="24"/>
          <w:highlight w:val="none"/>
        </w:rPr>
      </w:pPr>
      <w:bookmarkStart w:id="484" w:name="_Toc35366008"/>
      <w:bookmarkStart w:id="485" w:name="_Toc528528899"/>
      <w:bookmarkStart w:id="486" w:name="_Toc528529049"/>
      <w:r>
        <w:rPr>
          <w:rFonts w:hint="eastAsia" w:ascii="仿宋" w:hAnsi="仿宋" w:eastAsia="仿宋" w:cs="仿宋"/>
          <w:color w:val="auto"/>
          <w:sz w:val="24"/>
          <w:szCs w:val="24"/>
          <w:highlight w:val="none"/>
        </w:rPr>
        <w:t>3.咨询人的义务</w:t>
      </w:r>
      <w:bookmarkEnd w:id="484"/>
      <w:bookmarkEnd w:id="485"/>
      <w:bookmarkEnd w:id="486"/>
    </w:p>
    <w:p>
      <w:pPr>
        <w:pStyle w:val="788"/>
        <w:tabs>
          <w:tab w:val="left" w:pos="1280"/>
        </w:tabs>
        <w:snapToGrid w:val="0"/>
        <w:spacing w:line="44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3.1 项目咨询团队及人员</w:t>
      </w:r>
    </w:p>
    <w:p>
      <w:pPr>
        <w:pStyle w:val="24"/>
        <w:tabs>
          <w:tab w:val="left" w:pos="3139"/>
        </w:tabs>
        <w:snapToGrid w:val="0"/>
        <w:spacing w:line="440" w:lineRule="exact"/>
        <w:ind w:left="239" w:leftChars="114" w:right="445" w:firstLine="240" w:firstLineChars="100"/>
        <w:rPr>
          <w:rFonts w:ascii="仿宋" w:hAnsi="仿宋" w:eastAsia="仿宋" w:cs="仿宋"/>
          <w:color w:val="auto"/>
          <w:highlight w:val="none"/>
        </w:rPr>
      </w:pPr>
      <w:r>
        <w:rPr>
          <w:rFonts w:hint="eastAsia" w:ascii="仿宋" w:hAnsi="仿宋" w:eastAsia="仿宋" w:cs="仿宋"/>
          <w:color w:val="auto"/>
          <w:highlight w:val="none"/>
        </w:rPr>
        <w:t>3.1.1项目咨询团队的主要人员应具有</w:t>
      </w:r>
      <w:r>
        <w:rPr>
          <w:rFonts w:hint="eastAsia" w:ascii="仿宋" w:hAnsi="仿宋" w:eastAsia="仿宋" w:cs="仿宋"/>
          <w:color w:val="auto"/>
          <w:highlight w:val="none"/>
          <w:u w:val="single"/>
        </w:rPr>
        <w:t>注册造价师</w:t>
      </w:r>
      <w:r>
        <w:rPr>
          <w:rFonts w:hint="eastAsia" w:ascii="仿宋" w:hAnsi="仿宋" w:eastAsia="仿宋" w:cs="仿宋"/>
          <w:color w:val="auto"/>
          <w:highlight w:val="none"/>
        </w:rPr>
        <w:t>资格条件，团队</w:t>
      </w:r>
      <w:r>
        <w:rPr>
          <w:rFonts w:hint="eastAsia" w:ascii="仿宋" w:hAnsi="仿宋" w:eastAsia="仿宋" w:cs="仿宋"/>
          <w:color w:val="auto"/>
          <w:spacing w:val="-18"/>
          <w:highlight w:val="none"/>
        </w:rPr>
        <w:t>人</w:t>
      </w:r>
      <w:r>
        <w:rPr>
          <w:rFonts w:hint="eastAsia" w:ascii="仿宋" w:hAnsi="仿宋" w:eastAsia="仿宋" w:cs="仿宋"/>
          <w:color w:val="auto"/>
          <w:highlight w:val="none"/>
        </w:rPr>
        <w:t>员的数量为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（详见合同附件</w:t>
      </w:r>
      <w:r>
        <w:rPr>
          <w:rFonts w:hint="eastAsia" w:ascii="仿宋" w:hAnsi="仿宋" w:eastAsia="仿宋" w:cs="仿宋"/>
          <w:b/>
          <w:snapToGrid/>
          <w:color w:val="auto"/>
          <w:szCs w:val="24"/>
          <w:highlight w:val="none"/>
          <w:u w:val="single"/>
          <w:lang w:val="en-US"/>
        </w:rPr>
        <w:t>一</w:t>
      </w:r>
      <w:r>
        <w:rPr>
          <w:rFonts w:hint="eastAsia" w:ascii="仿宋" w:hAnsi="仿宋" w:eastAsia="仿宋" w:cs="仿宋"/>
          <w:color w:val="auto"/>
          <w:highlight w:val="none"/>
          <w:u w:val="single"/>
          <w:lang w:val="en-US"/>
        </w:rPr>
        <w:t>）</w:t>
      </w:r>
      <w:r>
        <w:rPr>
          <w:rFonts w:hint="eastAsia" w:ascii="仿宋" w:hAnsi="仿宋" w:eastAsia="仿宋" w:cs="仿宋"/>
          <w:color w:val="auto"/>
          <w:highlight w:val="none"/>
        </w:rPr>
        <w:t>。</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3.1.2项目负责人为：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highlight w:val="none"/>
        </w:rPr>
        <w:t xml:space="preserve">，各专业负责人员为：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。项目负责人为履行本合同的权限为：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bookmarkStart w:id="487" w:name="_bookmark19"/>
      <w:bookmarkEnd w:id="487"/>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3.1.3咨询人更换项目咨询团队其他咨询人员的约定:</w:t>
      </w:r>
      <w:r>
        <w:rPr>
          <w:rFonts w:hint="eastAsia" w:ascii="仿宋" w:hAnsi="仿宋" w:eastAsia="仿宋" w:cs="仿宋"/>
          <w:color w:val="auto"/>
          <w:highlight w:val="none"/>
          <w:u w:val="single"/>
        </w:rPr>
        <w:t xml:space="preserve"> 除不可抗因素外，不得擅自更换。如</w:t>
      </w:r>
      <w:bookmarkStart w:id="488" w:name="_Hlk69984568"/>
      <w:r>
        <w:rPr>
          <w:rFonts w:hint="eastAsia" w:ascii="仿宋" w:hAnsi="仿宋" w:eastAsia="仿宋" w:cs="仿宋"/>
          <w:color w:val="auto"/>
          <w:highlight w:val="none"/>
          <w:u w:val="single"/>
        </w:rPr>
        <w:t>因咨询人原因需更换项目人员的，应征得委托人书面同意</w:t>
      </w:r>
      <w:bookmarkEnd w:id="488"/>
      <w:r>
        <w:rPr>
          <w:rFonts w:hint="eastAsia" w:ascii="仿宋" w:hAnsi="仿宋" w:eastAsia="仿宋" w:cs="仿宋"/>
          <w:color w:val="auto"/>
          <w:highlight w:val="none"/>
          <w:u w:val="single"/>
        </w:rPr>
        <w:t>，且替换人员资格不得低于相应投标人员</w:t>
      </w:r>
      <w:r>
        <w:rPr>
          <w:rFonts w:hint="eastAsia" w:ascii="仿宋" w:hAnsi="仿宋" w:eastAsia="仿宋" w:cs="仿宋"/>
          <w:color w:val="auto"/>
          <w:highlight w:val="none"/>
        </w:rPr>
        <w:t>。</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3.1.4委托人要求更换咨询人员的情形还包括：</w:t>
      </w:r>
      <w:r>
        <w:rPr>
          <w:rFonts w:hint="eastAsia" w:ascii="仿宋" w:hAnsi="仿宋" w:eastAsia="仿宋" w:cs="仿宋"/>
          <w:color w:val="auto"/>
          <w:highlight w:val="none"/>
          <w:u w:val="single"/>
        </w:rPr>
        <w:t>不称职的人员、应回避的人员或不符合招标文件有关规定的人员。更换人员应在委托人提出要求之日起3日内完成。否则委托人有权处以咨询人承担合同价10%的违约金，违约金在服务费中扣除。</w:t>
      </w:r>
    </w:p>
    <w:p>
      <w:pPr>
        <w:pStyle w:val="24"/>
        <w:tabs>
          <w:tab w:val="left" w:pos="3139"/>
        </w:tabs>
        <w:snapToGrid w:val="0"/>
        <w:spacing w:line="440" w:lineRule="exact"/>
        <w:ind w:right="445"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3.1.5</w:t>
      </w:r>
      <w:r>
        <w:rPr>
          <w:rFonts w:hint="eastAsia" w:ascii="仿宋" w:hAnsi="仿宋" w:eastAsia="仿宋" w:cs="仿宋"/>
          <w:color w:val="auto"/>
          <w:highlight w:val="none"/>
          <w:u w:val="single"/>
        </w:rPr>
        <w:t>未经委托人书面同意，咨询人不得变更项目负责人及各专业负责人，否则委托人有权处以咨询人承担合同价10%的违约金，违约金在服务费中扣除。</w:t>
      </w:r>
    </w:p>
    <w:p>
      <w:pPr>
        <w:pStyle w:val="24"/>
        <w:tabs>
          <w:tab w:val="left" w:pos="3139"/>
        </w:tabs>
        <w:snapToGrid w:val="0"/>
        <w:spacing w:line="440" w:lineRule="exact"/>
        <w:ind w:right="445"/>
        <w:rPr>
          <w:rFonts w:ascii="仿宋" w:hAnsi="仿宋" w:eastAsia="仿宋" w:cs="仿宋"/>
          <w:color w:val="auto"/>
          <w:highlight w:val="none"/>
        </w:rPr>
      </w:pPr>
      <w:r>
        <w:rPr>
          <w:rFonts w:hint="eastAsia" w:ascii="仿宋" w:hAnsi="仿宋" w:eastAsia="仿宋" w:cs="仿宋"/>
          <w:color w:val="auto"/>
          <w:highlight w:val="none"/>
        </w:rPr>
        <w:t>3.2 咨询人的工作要求</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3.2.1咨询人向委托人提供有关资料的时间：</w:t>
      </w:r>
      <w:r>
        <w:rPr>
          <w:rFonts w:hint="eastAsia" w:ascii="仿宋" w:hAnsi="仿宋" w:eastAsia="仿宋" w:cs="仿宋"/>
          <w:color w:val="auto"/>
          <w:highlight w:val="none"/>
          <w:u w:val="single"/>
        </w:rPr>
        <w:t>项目实施过程中按项目进展的实际需求</w:t>
      </w:r>
      <w:r>
        <w:rPr>
          <w:rFonts w:hint="eastAsia" w:ascii="仿宋" w:hAnsi="仿宋" w:eastAsia="仿宋" w:cs="仿宋"/>
          <w:color w:val="auto"/>
          <w:highlight w:val="none"/>
        </w:rPr>
        <w:t xml:space="preserve">。  </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咨询人向委托人提供的资料还包括：</w:t>
      </w:r>
      <w:r>
        <w:rPr>
          <w:rFonts w:hint="eastAsia" w:ascii="仿宋" w:hAnsi="仿宋" w:eastAsia="仿宋" w:cs="仿宋"/>
          <w:color w:val="auto"/>
          <w:highlight w:val="none"/>
          <w:u w:val="single"/>
        </w:rPr>
        <w:t xml:space="preserve">按全过程跟踪审计服务要求的资料向委托人提供  </w:t>
      </w:r>
      <w:r>
        <w:rPr>
          <w:rFonts w:hint="eastAsia" w:ascii="仿宋" w:hAnsi="仿宋" w:eastAsia="仿宋" w:cs="仿宋"/>
          <w:color w:val="auto"/>
          <w:highlight w:val="none"/>
        </w:rPr>
        <w:t>。</w:t>
      </w:r>
    </w:p>
    <w:p>
      <w:pPr>
        <w:pStyle w:val="24"/>
        <w:tabs>
          <w:tab w:val="left" w:pos="313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3.2.2咨询人向委托人提供咨询成果文件的名称、组成、时间、份数及质量标准：</w:t>
      </w:r>
      <w:r>
        <w:rPr>
          <w:rFonts w:hint="eastAsia" w:ascii="仿宋" w:hAnsi="仿宋" w:eastAsia="仿宋" w:cs="仿宋"/>
          <w:color w:val="auto"/>
          <w:highlight w:val="none"/>
          <w:u w:val="single"/>
        </w:rPr>
        <w:t>按项目实施过程中委托人的要求</w:t>
      </w:r>
      <w:r>
        <w:rPr>
          <w:rFonts w:hint="eastAsia" w:ascii="仿宋" w:hAnsi="仿宋" w:eastAsia="仿宋" w:cs="仿宋"/>
          <w:color w:val="auto"/>
          <w:highlight w:val="none"/>
        </w:rPr>
        <w:t>。</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咨询人应在收到委托人以书面形式提出的建议或者异议后</w:t>
      </w:r>
      <w:r>
        <w:rPr>
          <w:rFonts w:hint="eastAsia" w:ascii="仿宋" w:hAnsi="仿宋" w:eastAsia="仿宋" w:cs="仿宋"/>
          <w:b/>
          <w:color w:val="auto"/>
          <w:sz w:val="24"/>
          <w:highlight w:val="none"/>
          <w:u w:val="single"/>
        </w:rPr>
        <w:t xml:space="preserve"> 3 </w:t>
      </w:r>
      <w:r>
        <w:rPr>
          <w:rFonts w:hint="eastAsia" w:ascii="仿宋" w:hAnsi="仿宋" w:eastAsia="仿宋" w:cs="仿宋"/>
          <w:b/>
          <w:color w:val="auto"/>
          <w:sz w:val="24"/>
          <w:highlight w:val="none"/>
        </w:rPr>
        <w:t>日</w:t>
      </w:r>
      <w:r>
        <w:rPr>
          <w:rFonts w:hint="eastAsia" w:ascii="仿宋" w:hAnsi="仿宋" w:eastAsia="仿宋" w:cs="仿宋"/>
          <w:color w:val="auto"/>
          <w:sz w:val="24"/>
          <w:highlight w:val="none"/>
        </w:rPr>
        <w:t>内给予书面答复。</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3.3咨询人的工作依据</w:t>
      </w:r>
    </w:p>
    <w:p>
      <w:pPr>
        <w:pStyle w:val="24"/>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经双方协商，本合同约定的造价咨询服务适用的技术标准、规范、定额等工作依据为：</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建设工程工程量清单计价规范》（GB50500-2013）及其各专业工程量计算规范；</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《建设工程工程量清单计价规范》浙江省补充条款及补充内容的规定；</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浙江省建设工程计价规则（2018版）；</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浙江省房屋建筑与装饰工程预算定额（2018版）； </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浙江省通用安装工程预算定额（2018版）；</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浙江省市政工程预算定额（2018版）； </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浙江省园林绿化及仿古建筑工程预算定额（2018版）；</w:t>
      </w:r>
    </w:p>
    <w:p>
      <w:pPr>
        <w:snapToGrid w:val="0"/>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其他法律法规、规范性文件及行业最新相关规定。</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3.4使用委托人房屋及设备的返还</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咨询人应在本合同终止后 3日内移交委托人提供的房屋及设备，移交的方式为：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pStyle w:val="4"/>
        <w:tabs>
          <w:tab w:val="left" w:pos="1223"/>
          <w:tab w:val="clear" w:pos="900"/>
        </w:tabs>
        <w:snapToGrid w:val="0"/>
        <w:spacing w:line="440" w:lineRule="exact"/>
        <w:jc w:val="center"/>
        <w:rPr>
          <w:rFonts w:ascii="仿宋" w:hAnsi="仿宋" w:eastAsia="仿宋" w:cs="仿宋"/>
          <w:color w:val="auto"/>
          <w:sz w:val="24"/>
          <w:szCs w:val="24"/>
          <w:highlight w:val="none"/>
        </w:rPr>
      </w:pPr>
      <w:bookmarkStart w:id="489" w:name="_Toc528528900"/>
      <w:bookmarkStart w:id="490" w:name="_Toc35366009"/>
      <w:bookmarkStart w:id="491" w:name="_Toc528529050"/>
      <w:r>
        <w:rPr>
          <w:rFonts w:hint="eastAsia" w:ascii="仿宋" w:hAnsi="仿宋" w:eastAsia="仿宋" w:cs="仿宋"/>
          <w:color w:val="auto"/>
          <w:sz w:val="24"/>
          <w:szCs w:val="24"/>
          <w:highlight w:val="none"/>
        </w:rPr>
        <w:t>4.违约责任</w:t>
      </w:r>
      <w:bookmarkEnd w:id="489"/>
      <w:bookmarkEnd w:id="490"/>
      <w:bookmarkEnd w:id="491"/>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szCs w:val="24"/>
          <w:highlight w:val="none"/>
        </w:rPr>
        <w:t>咨询人须按委托人需求完成招标文件“采购需求”工作内容（但不包含逾期交付的成果文件），如无法满足委托人要求，委托人有权向咨询人发放《整改通知单》；如咨询人仍未能按《整改通知单》要求完成</w:t>
      </w:r>
      <w:r>
        <w:rPr>
          <w:rFonts w:hint="eastAsia" w:ascii="仿宋" w:hAnsi="仿宋" w:eastAsia="仿宋" w:cs="仿宋"/>
          <w:color w:val="auto"/>
          <w:szCs w:val="24"/>
          <w:highlight w:val="none"/>
          <w:lang w:val="en-US"/>
        </w:rPr>
        <w:t>相关服务工作，</w:t>
      </w:r>
      <w:r>
        <w:rPr>
          <w:rFonts w:hint="eastAsia" w:ascii="仿宋" w:hAnsi="仿宋" w:eastAsia="仿宋" w:cs="仿宋"/>
          <w:color w:val="auto"/>
          <w:szCs w:val="24"/>
          <w:highlight w:val="none"/>
        </w:rPr>
        <w:t>委托人有权每次处</w:t>
      </w:r>
      <w:r>
        <w:rPr>
          <w:rFonts w:hint="eastAsia" w:ascii="仿宋" w:hAnsi="仿宋" w:eastAsia="仿宋" w:cs="仿宋"/>
          <w:color w:val="auto"/>
          <w:highlight w:val="none"/>
          <w:u w:val="single"/>
        </w:rPr>
        <w:t>1000元的违约金</w:t>
      </w:r>
      <w:r>
        <w:rPr>
          <w:rFonts w:hint="eastAsia" w:ascii="仿宋" w:hAnsi="仿宋" w:eastAsia="仿宋" w:cs="仿宋"/>
          <w:color w:val="auto"/>
          <w:szCs w:val="24"/>
          <w:highlight w:val="none"/>
          <w:lang w:val="en-US"/>
        </w:rPr>
        <w:t>。如情节严重，</w:t>
      </w:r>
      <w:r>
        <w:rPr>
          <w:rFonts w:hint="eastAsia" w:ascii="仿宋" w:hAnsi="仿宋" w:eastAsia="仿宋" w:cs="仿宋"/>
          <w:color w:val="auto"/>
          <w:szCs w:val="24"/>
          <w:highlight w:val="none"/>
        </w:rPr>
        <w:t>委托人有权终止合同，要求咨询人返还给委托人</w:t>
      </w:r>
      <w:r>
        <w:rPr>
          <w:rFonts w:hint="eastAsia" w:ascii="仿宋" w:hAnsi="仿宋" w:eastAsia="仿宋" w:cs="仿宋"/>
          <w:color w:val="auto"/>
          <w:highlight w:val="none"/>
          <w:u w:val="single"/>
        </w:rPr>
        <w:t>已支付的合同款项</w:t>
      </w:r>
      <w:r>
        <w:rPr>
          <w:rFonts w:hint="eastAsia" w:ascii="仿宋" w:hAnsi="仿宋" w:eastAsia="仿宋" w:cs="仿宋"/>
          <w:color w:val="auto"/>
          <w:szCs w:val="24"/>
          <w:highlight w:val="none"/>
        </w:rPr>
        <w:t>，并处以本合同金额</w:t>
      </w:r>
      <w:r>
        <w:rPr>
          <w:rFonts w:hint="eastAsia" w:ascii="仿宋" w:hAnsi="仿宋" w:eastAsia="仿宋" w:cs="仿宋"/>
          <w:color w:val="auto"/>
          <w:szCs w:val="24"/>
          <w:highlight w:val="none"/>
          <w:lang w:val="en-US"/>
        </w:rPr>
        <w:t>1</w:t>
      </w:r>
      <w:r>
        <w:rPr>
          <w:rFonts w:hint="eastAsia" w:ascii="仿宋" w:hAnsi="仿宋" w:eastAsia="仿宋" w:cs="仿宋"/>
          <w:color w:val="auto"/>
          <w:szCs w:val="24"/>
          <w:highlight w:val="none"/>
        </w:rPr>
        <w:t>0%的违约金。</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合同履行期限内，非咨询人原因，</w:t>
      </w:r>
      <w:bookmarkStart w:id="492" w:name="_Hlk69984686"/>
      <w:r>
        <w:rPr>
          <w:rFonts w:hint="eastAsia" w:ascii="仿宋" w:hAnsi="仿宋" w:eastAsia="仿宋" w:cs="仿宋"/>
          <w:color w:val="auto"/>
          <w:highlight w:val="none"/>
          <w:u w:val="single"/>
        </w:rPr>
        <w:t>委托人提前解除合同，委托人根据咨询人工作完成情况，结算咨询合理报酬。</w:t>
      </w:r>
    </w:p>
    <w:bookmarkEnd w:id="492"/>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由于咨询人未履行本协议所规定的职责而发生的一切费用由咨询人承担。咨询人逾期提交咨询成果文件的，委托人有权向受托人发放《整改通知单》；如咨询人仍未能按《整改通知单》要求完成</w:t>
      </w:r>
      <w:r>
        <w:rPr>
          <w:rFonts w:hint="eastAsia" w:ascii="仿宋" w:hAnsi="仿宋" w:eastAsia="仿宋" w:cs="仿宋"/>
          <w:color w:val="auto"/>
          <w:highlight w:val="none"/>
          <w:u w:val="single"/>
          <w:lang w:val="en-US"/>
        </w:rPr>
        <w:t>相关服务工作，</w:t>
      </w:r>
      <w:r>
        <w:rPr>
          <w:rFonts w:hint="eastAsia" w:ascii="仿宋" w:hAnsi="仿宋" w:eastAsia="仿宋" w:cs="仿宋"/>
          <w:color w:val="auto"/>
          <w:highlight w:val="none"/>
          <w:u w:val="single"/>
        </w:rPr>
        <w:t>每逾期一天应承担1000元的违约金；逾期超过20天情况严重的，委托人有权单方解除合同，要求咨询人退还委托人已支付的合同款项，要求咨询人承担合同金额30%的违约金，并赔偿因此给委托人造成的全部损失。</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合同履行期限内，非委托人原因，咨询人提前解除合同，咨询人应赔偿委托人全部损失，退还委托人已支付的合同款项，并承担合同价30%的违约金。</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不可抗力原因，致使一方不能履行合同，双方不承担违约责任，但应将情况尽快通知另一方，并应尽量减少由此发生的损失。</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咨询人泄露了与本合同工程有关的任何不应泄露的资料和情况。委托人有权单方解除合同，要求咨询人承担合同金额30%的违约金，退还委托人已支付的合同款项，并赔偿给委托人由此造成的全部损失。</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rPr>
        <w:t>咨询人</w:t>
      </w:r>
      <w:r>
        <w:rPr>
          <w:rFonts w:hint="eastAsia" w:ascii="仿宋" w:hAnsi="仿宋" w:eastAsia="仿宋" w:cs="仿宋"/>
          <w:color w:val="auto"/>
          <w:highlight w:val="none"/>
          <w:u w:val="single"/>
          <w:lang w:eastAsia="zh-Hans"/>
        </w:rPr>
        <w:t>应根据委托人要求的期限、标准交付工作成果，工作成果应以书面或其他委托人认可的方式进行提交。</w:t>
      </w:r>
      <w:r>
        <w:rPr>
          <w:rFonts w:hint="eastAsia" w:ascii="仿宋" w:hAnsi="仿宋" w:eastAsia="仿宋" w:cs="仿宋"/>
          <w:color w:val="auto"/>
          <w:highlight w:val="none"/>
          <w:u w:val="single"/>
        </w:rPr>
        <w:t>由于咨询人原因，咨询人提供的成果文件中出现</w:t>
      </w:r>
      <w:r>
        <w:rPr>
          <w:rFonts w:hint="eastAsia" w:ascii="仿宋" w:hAnsi="仿宋" w:eastAsia="仿宋" w:cs="仿宋"/>
          <w:color w:val="auto"/>
          <w:highlight w:val="none"/>
          <w:u w:val="single"/>
          <w:lang w:val="en-US"/>
        </w:rPr>
        <w:t>错误</w:t>
      </w:r>
      <w:r>
        <w:rPr>
          <w:rFonts w:hint="eastAsia" w:ascii="仿宋" w:hAnsi="仿宋" w:eastAsia="仿宋" w:cs="仿宋"/>
          <w:color w:val="auto"/>
          <w:highlight w:val="none"/>
          <w:u w:val="single"/>
        </w:rPr>
        <w:t>（单位、工程量等错误）、错项（包括但不限于缺项、多项等）、重复（包括但不限于界面范围内重复、与界面范围外重复）等问题影响造价，咨询人应对以上咨询成果文件予以修改、纠正，因之给委托人造成损失的，还应赔偿相应损失。</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各项目结算终审价与结算初审价相比误差率达到±5%-±7%（不含）的，扣除合同总金额的1％；</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各项目结算终审价与结算初审价相比误差率达到±7%-±10%（不含）的，扣除合同总金额的2％；</w:t>
      </w:r>
    </w:p>
    <w:p>
      <w:pPr>
        <w:pStyle w:val="6"/>
        <w:spacing w:line="440" w:lineRule="exact"/>
        <w:ind w:firstLine="480" w:firstLineChars="200"/>
        <w:rPr>
          <w:rFonts w:ascii="仿宋" w:hAnsi="仿宋" w:eastAsia="仿宋" w:cs="仿宋"/>
          <w:snapToGrid/>
          <w:color w:val="auto"/>
          <w:sz w:val="24"/>
          <w:szCs w:val="24"/>
          <w:highlight w:val="none"/>
        </w:rPr>
      </w:pPr>
      <w:r>
        <w:rPr>
          <w:rFonts w:hint="eastAsia" w:ascii="仿宋" w:hAnsi="仿宋" w:eastAsia="仿宋" w:cs="仿宋"/>
          <w:color w:val="auto"/>
          <w:sz w:val="24"/>
          <w:szCs w:val="24"/>
          <w:highlight w:val="none"/>
        </w:rPr>
        <w:t>各项目结算终审价与结算初审价相比误差率达到±10%及以上的，扣除</w:t>
      </w:r>
      <w:r>
        <w:rPr>
          <w:rFonts w:hint="eastAsia" w:ascii="仿宋" w:hAnsi="仿宋" w:eastAsia="仿宋" w:cs="仿宋"/>
          <w:color w:val="auto"/>
          <w:sz w:val="24"/>
          <w:highlight w:val="none"/>
        </w:rPr>
        <w:t>合同</w:t>
      </w:r>
      <w:r>
        <w:rPr>
          <w:rFonts w:hint="eastAsia" w:ascii="仿宋" w:hAnsi="仿宋" w:eastAsia="仿宋" w:cs="仿宋"/>
          <w:color w:val="auto"/>
          <w:sz w:val="24"/>
          <w:szCs w:val="24"/>
          <w:highlight w:val="none"/>
        </w:rPr>
        <w:t>总</w:t>
      </w:r>
      <w:r>
        <w:rPr>
          <w:rFonts w:hint="eastAsia" w:ascii="仿宋" w:hAnsi="仿宋" w:eastAsia="仿宋" w:cs="仿宋"/>
          <w:color w:val="auto"/>
          <w:sz w:val="24"/>
          <w:highlight w:val="none"/>
        </w:rPr>
        <w:t>金额</w:t>
      </w:r>
      <w:r>
        <w:rPr>
          <w:rFonts w:hint="eastAsia" w:ascii="仿宋" w:hAnsi="仿宋" w:eastAsia="仿宋" w:cs="仿宋"/>
          <w:color w:val="auto"/>
          <w:sz w:val="24"/>
          <w:szCs w:val="24"/>
          <w:highlight w:val="none"/>
        </w:rPr>
        <w:t>的10％。</w:t>
      </w:r>
      <w:r>
        <w:rPr>
          <w:rFonts w:hint="eastAsia" w:ascii="仿宋" w:hAnsi="仿宋" w:eastAsia="仿宋" w:cs="仿宋"/>
          <w:snapToGrid/>
          <w:color w:val="auto"/>
          <w:sz w:val="24"/>
          <w:szCs w:val="24"/>
          <w:highlight w:val="none"/>
        </w:rPr>
        <w:t xml:space="preserve"> </w:t>
      </w:r>
    </w:p>
    <w:p>
      <w:pPr>
        <w:pStyle w:val="6"/>
        <w:spacing w:line="440" w:lineRule="exact"/>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咨询人向委托人提供结算初审服务，结算初审的核增核减追加费包含在合同总价中，不再额外支付。</w:t>
      </w:r>
    </w:p>
    <w:p>
      <w:pPr>
        <w:pStyle w:val="24"/>
        <w:numPr>
          <w:ilvl w:val="0"/>
          <w:numId w:val="12"/>
        </w:numPr>
        <w:snapToGrid w:val="0"/>
        <w:spacing w:line="440" w:lineRule="exact"/>
        <w:rPr>
          <w:color w:val="auto"/>
          <w:highlight w:val="none"/>
        </w:rPr>
      </w:pPr>
      <w:r>
        <w:rPr>
          <w:rFonts w:hint="eastAsia" w:ascii="仿宋" w:hAnsi="仿宋" w:eastAsia="仿宋" w:cs="仿宋"/>
          <w:color w:val="auto"/>
          <w:highlight w:val="none"/>
          <w:u w:val="single"/>
          <w:lang w:eastAsia="zh-Hans"/>
        </w:rPr>
        <w:t>咨询人应</w:t>
      </w:r>
      <w:r>
        <w:rPr>
          <w:rFonts w:hint="eastAsia" w:ascii="仿宋" w:hAnsi="仿宋" w:eastAsia="仿宋" w:cs="仿宋"/>
          <w:color w:val="auto"/>
          <w:highlight w:val="none"/>
          <w:u w:val="single"/>
        </w:rPr>
        <w:t>保证参与项目的每一个人员均具有“招标文件采购需求”相适应的</w:t>
      </w:r>
      <w:r>
        <w:rPr>
          <w:rFonts w:hint="eastAsia" w:ascii="仿宋" w:hAnsi="仿宋" w:eastAsia="仿宋" w:cs="仿宋"/>
          <w:color w:val="auto"/>
          <w:highlight w:val="none"/>
          <w:u w:val="single"/>
          <w:lang w:eastAsia="zh-Hans"/>
        </w:rPr>
        <w:t>证书</w:t>
      </w:r>
      <w:r>
        <w:rPr>
          <w:rFonts w:hint="eastAsia" w:ascii="仿宋" w:hAnsi="仿宋" w:eastAsia="仿宋" w:cs="仿宋"/>
          <w:color w:val="auto"/>
          <w:highlight w:val="none"/>
          <w:u w:val="single"/>
        </w:rPr>
        <w:t>及能力。</w:t>
      </w:r>
      <w:r>
        <w:rPr>
          <w:rFonts w:hint="eastAsia" w:ascii="仿宋" w:hAnsi="仿宋" w:eastAsia="仿宋" w:cs="仿宋"/>
          <w:color w:val="auto"/>
          <w:highlight w:val="none"/>
          <w:u w:val="single"/>
          <w:lang w:eastAsia="zh-Hans"/>
        </w:rPr>
        <w:t>委托人</w:t>
      </w:r>
      <w:r>
        <w:rPr>
          <w:rFonts w:hint="eastAsia" w:ascii="仿宋" w:hAnsi="仿宋" w:eastAsia="仿宋" w:cs="仿宋"/>
          <w:color w:val="auto"/>
          <w:highlight w:val="none"/>
          <w:u w:val="single"/>
        </w:rPr>
        <w:t>若发现</w:t>
      </w:r>
      <w:r>
        <w:rPr>
          <w:rFonts w:hint="eastAsia" w:ascii="仿宋" w:hAnsi="仿宋" w:eastAsia="仿宋" w:cs="仿宋"/>
          <w:color w:val="auto"/>
          <w:highlight w:val="none"/>
          <w:u w:val="single"/>
          <w:lang w:eastAsia="zh-Hans"/>
        </w:rPr>
        <w:t>咨询人</w:t>
      </w:r>
      <w:r>
        <w:rPr>
          <w:rFonts w:hint="eastAsia" w:ascii="仿宋" w:hAnsi="仿宋" w:eastAsia="仿宋" w:cs="仿宋"/>
          <w:color w:val="auto"/>
          <w:highlight w:val="none"/>
          <w:u w:val="single"/>
        </w:rPr>
        <w:t>方</w:t>
      </w:r>
      <w:r>
        <w:rPr>
          <w:rFonts w:hint="eastAsia" w:ascii="仿宋" w:hAnsi="仿宋" w:eastAsia="仿宋" w:cs="仿宋"/>
          <w:color w:val="auto"/>
          <w:highlight w:val="none"/>
          <w:u w:val="single"/>
          <w:lang w:eastAsia="zh-Hans"/>
        </w:rPr>
        <w:t>工作</w:t>
      </w:r>
      <w:r>
        <w:rPr>
          <w:rFonts w:hint="eastAsia" w:ascii="仿宋" w:hAnsi="仿宋" w:eastAsia="仿宋" w:cs="仿宋"/>
          <w:color w:val="auto"/>
          <w:highlight w:val="none"/>
          <w:u w:val="single"/>
        </w:rPr>
        <w:t>人员不符合本工程全过程跟踪审计的资格和能力，委托方有权随时通知</w:t>
      </w:r>
      <w:r>
        <w:rPr>
          <w:rFonts w:hint="eastAsia" w:ascii="仿宋" w:hAnsi="仿宋" w:eastAsia="仿宋" w:cs="仿宋"/>
          <w:color w:val="auto"/>
          <w:highlight w:val="none"/>
          <w:u w:val="single"/>
          <w:lang w:eastAsia="zh-Hans"/>
        </w:rPr>
        <w:t>咨询人</w:t>
      </w:r>
      <w:r>
        <w:rPr>
          <w:rFonts w:hint="eastAsia" w:ascii="仿宋" w:hAnsi="仿宋" w:eastAsia="仿宋" w:cs="仿宋"/>
          <w:color w:val="auto"/>
          <w:highlight w:val="none"/>
          <w:u w:val="single"/>
        </w:rPr>
        <w:t>予以撤换，</w:t>
      </w:r>
      <w:r>
        <w:rPr>
          <w:rFonts w:hint="eastAsia" w:ascii="仿宋" w:hAnsi="仿宋" w:eastAsia="仿宋" w:cs="仿宋"/>
          <w:color w:val="auto"/>
          <w:highlight w:val="none"/>
          <w:u w:val="single"/>
          <w:lang w:eastAsia="zh-Hans"/>
        </w:rPr>
        <w:t>咨询人</w:t>
      </w:r>
      <w:r>
        <w:rPr>
          <w:rFonts w:hint="eastAsia" w:ascii="仿宋" w:hAnsi="仿宋" w:eastAsia="仿宋" w:cs="仿宋"/>
          <w:color w:val="auto"/>
          <w:highlight w:val="none"/>
          <w:u w:val="single"/>
        </w:rPr>
        <w:t>不得拒绝，且自行承担因此造成的损失。如拒绝更换，委托人有权处以咨询人承担合同价10%的违约金，违约金在服务费中扣除。</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lang w:eastAsia="zh-Hans"/>
        </w:rPr>
        <w:t>由于咨询人</w:t>
      </w:r>
      <w:r>
        <w:rPr>
          <w:rFonts w:hint="eastAsia" w:ascii="仿宋" w:hAnsi="仿宋" w:eastAsia="仿宋" w:cs="仿宋"/>
          <w:color w:val="auto"/>
          <w:highlight w:val="none"/>
          <w:u w:val="single"/>
        </w:rPr>
        <w:t>工作失误的原因造成的</w:t>
      </w:r>
      <w:r>
        <w:rPr>
          <w:rFonts w:hint="eastAsia" w:ascii="仿宋" w:hAnsi="仿宋" w:eastAsia="仿宋" w:cs="仿宋"/>
          <w:color w:val="auto"/>
          <w:highlight w:val="none"/>
          <w:u w:val="single"/>
          <w:lang w:eastAsia="zh-Hans"/>
        </w:rPr>
        <w:t>委托人</w:t>
      </w:r>
      <w:r>
        <w:rPr>
          <w:rFonts w:hint="eastAsia" w:ascii="仿宋" w:hAnsi="仿宋" w:eastAsia="仿宋" w:cs="仿宋"/>
          <w:color w:val="auto"/>
          <w:highlight w:val="none"/>
          <w:u w:val="single"/>
        </w:rPr>
        <w:t>的损失，导致</w:t>
      </w:r>
      <w:r>
        <w:rPr>
          <w:rFonts w:hint="eastAsia" w:ascii="仿宋" w:hAnsi="仿宋" w:eastAsia="仿宋" w:cs="仿宋"/>
          <w:color w:val="auto"/>
          <w:highlight w:val="none"/>
          <w:u w:val="single"/>
          <w:lang w:eastAsia="zh-Hans"/>
        </w:rPr>
        <w:t>委托人</w:t>
      </w:r>
      <w:r>
        <w:rPr>
          <w:rFonts w:hint="eastAsia" w:ascii="仿宋" w:hAnsi="仿宋" w:eastAsia="仿宋" w:cs="仿宋"/>
          <w:color w:val="auto"/>
          <w:highlight w:val="none"/>
          <w:u w:val="single"/>
        </w:rPr>
        <w:t>不得不另行委托全过程跟踪审计服务单位，产生的委托手续</w:t>
      </w:r>
      <w:r>
        <w:rPr>
          <w:rFonts w:hint="eastAsia" w:ascii="仿宋" w:hAnsi="仿宋" w:eastAsia="仿宋" w:cs="仿宋"/>
          <w:color w:val="auto"/>
          <w:highlight w:val="none"/>
          <w:u w:val="single"/>
          <w:lang w:eastAsia="zh-Hans"/>
        </w:rPr>
        <w:t>费用在咨询人</w:t>
      </w:r>
      <w:r>
        <w:rPr>
          <w:rFonts w:hint="eastAsia" w:ascii="仿宋" w:hAnsi="仿宋" w:eastAsia="仿宋" w:cs="仿宋"/>
          <w:color w:val="auto"/>
          <w:highlight w:val="none"/>
          <w:u w:val="single"/>
        </w:rPr>
        <w:t>的</w:t>
      </w:r>
      <w:r>
        <w:rPr>
          <w:rFonts w:hint="eastAsia" w:ascii="仿宋" w:hAnsi="仿宋" w:eastAsia="仿宋" w:cs="仿宋"/>
          <w:color w:val="auto"/>
          <w:highlight w:val="none"/>
          <w:u w:val="single"/>
          <w:lang w:eastAsia="zh-Hans"/>
        </w:rPr>
        <w:t>合同价款</w:t>
      </w:r>
      <w:r>
        <w:rPr>
          <w:rFonts w:hint="eastAsia" w:ascii="仿宋" w:hAnsi="仿宋" w:eastAsia="仿宋" w:cs="仿宋"/>
          <w:color w:val="auto"/>
          <w:highlight w:val="none"/>
          <w:u w:val="single"/>
        </w:rPr>
        <w:t>中扣除予以补偿。且咨询人需无条件配合委托人另行委托的服务单位，否则委托人有权处以咨询人承担合同价</w:t>
      </w:r>
      <w:r>
        <w:rPr>
          <w:rFonts w:hint="eastAsia" w:ascii="仿宋" w:hAnsi="仿宋" w:eastAsia="仿宋" w:cs="仿宋"/>
          <w:color w:val="auto"/>
          <w:highlight w:val="none"/>
          <w:u w:val="single"/>
          <w:lang w:val="en-US"/>
        </w:rPr>
        <w:t>5</w:t>
      </w:r>
      <w:r>
        <w:rPr>
          <w:rFonts w:hint="eastAsia" w:ascii="仿宋" w:hAnsi="仿宋" w:eastAsia="仿宋" w:cs="仿宋"/>
          <w:color w:val="auto"/>
          <w:highlight w:val="none"/>
          <w:u w:val="single"/>
        </w:rPr>
        <w:t>%的违约金，违约金在服务费中扣除。</w:t>
      </w:r>
    </w:p>
    <w:p>
      <w:pPr>
        <w:pStyle w:val="24"/>
        <w:numPr>
          <w:ilvl w:val="0"/>
          <w:numId w:val="12"/>
        </w:numPr>
        <w:snapToGrid w:val="0"/>
        <w:spacing w:line="440" w:lineRule="exact"/>
        <w:rPr>
          <w:rFonts w:ascii="仿宋" w:hAnsi="仿宋" w:eastAsia="仿宋" w:cs="仿宋"/>
          <w:color w:val="auto"/>
          <w:highlight w:val="none"/>
          <w:u w:val="single"/>
        </w:rPr>
      </w:pPr>
      <w:r>
        <w:rPr>
          <w:rFonts w:hint="eastAsia" w:ascii="仿宋" w:hAnsi="仿宋" w:eastAsia="仿宋" w:cs="仿宋"/>
          <w:color w:val="auto"/>
          <w:highlight w:val="none"/>
          <w:u w:val="single"/>
          <w:lang w:eastAsia="zh-Hans"/>
        </w:rPr>
        <w:t>咨询方</w:t>
      </w:r>
      <w:r>
        <w:rPr>
          <w:rFonts w:hint="eastAsia" w:ascii="仿宋" w:hAnsi="仿宋" w:eastAsia="仿宋" w:cs="仿宋"/>
          <w:color w:val="auto"/>
          <w:highlight w:val="none"/>
          <w:u w:val="single"/>
        </w:rPr>
        <w:t>有弄虚作假、玩忽职守的情况，每发现一次，处违约金5000元，造成损失的，按照</w:t>
      </w:r>
      <w:r>
        <w:rPr>
          <w:rFonts w:hint="eastAsia" w:ascii="仿宋" w:hAnsi="仿宋" w:eastAsia="仿宋" w:cs="仿宋"/>
          <w:color w:val="auto"/>
          <w:highlight w:val="none"/>
          <w:u w:val="single"/>
          <w:lang w:eastAsia="zh-Hans"/>
        </w:rPr>
        <w:t>实际损失</w:t>
      </w:r>
      <w:r>
        <w:rPr>
          <w:rFonts w:hint="eastAsia" w:ascii="仿宋" w:hAnsi="仿宋" w:eastAsia="仿宋" w:cs="仿宋"/>
          <w:color w:val="auto"/>
          <w:highlight w:val="none"/>
          <w:u w:val="single"/>
        </w:rPr>
        <w:t>赔偿。</w:t>
      </w:r>
    </w:p>
    <w:p>
      <w:pPr>
        <w:pStyle w:val="4"/>
        <w:tabs>
          <w:tab w:val="left" w:pos="1223"/>
          <w:tab w:val="clear" w:pos="900"/>
        </w:tabs>
        <w:snapToGrid w:val="0"/>
        <w:spacing w:line="440" w:lineRule="exact"/>
        <w:ind w:firstLine="482" w:firstLineChars="200"/>
        <w:jc w:val="center"/>
        <w:rPr>
          <w:rFonts w:ascii="仿宋" w:hAnsi="仿宋" w:eastAsia="仿宋" w:cs="仿宋"/>
          <w:color w:val="auto"/>
          <w:sz w:val="24"/>
          <w:szCs w:val="24"/>
          <w:highlight w:val="none"/>
        </w:rPr>
      </w:pPr>
      <w:bookmarkStart w:id="493" w:name="_Toc528529051"/>
      <w:bookmarkStart w:id="494" w:name="_Toc35366010"/>
      <w:bookmarkStart w:id="495" w:name="_Toc528528901"/>
      <w:r>
        <w:rPr>
          <w:rFonts w:hint="eastAsia" w:ascii="仿宋" w:hAnsi="仿宋" w:eastAsia="仿宋" w:cs="仿宋"/>
          <w:color w:val="auto"/>
          <w:sz w:val="24"/>
          <w:szCs w:val="24"/>
          <w:highlight w:val="none"/>
        </w:rPr>
        <w:t>5.支付</w:t>
      </w:r>
      <w:bookmarkEnd w:id="493"/>
      <w:bookmarkEnd w:id="494"/>
      <w:bookmarkEnd w:id="495"/>
    </w:p>
    <w:p>
      <w:pPr>
        <w:pStyle w:val="24"/>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5.1支付货币</w:t>
      </w:r>
    </w:p>
    <w:p>
      <w:pPr>
        <w:pStyle w:val="24"/>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币种为：</w:t>
      </w:r>
      <w:r>
        <w:rPr>
          <w:rFonts w:hint="eastAsia" w:ascii="仿宋" w:hAnsi="仿宋" w:eastAsia="仿宋" w:cs="仿宋"/>
          <w:color w:val="auto"/>
          <w:highlight w:val="none"/>
          <w:u w:val="single"/>
        </w:rPr>
        <w:t xml:space="preserve"> 人民币</w:t>
      </w:r>
      <w:r>
        <w:rPr>
          <w:rFonts w:hint="eastAsia" w:ascii="仿宋" w:hAnsi="仿宋" w:eastAsia="仿宋" w:cs="仿宋"/>
          <w:color w:val="auto"/>
          <w:highlight w:val="none"/>
        </w:rPr>
        <w:t>，汇率为：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，其他约定：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24"/>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5.2支付申请</w:t>
      </w:r>
      <w:bookmarkStart w:id="496" w:name="_bookmark20"/>
      <w:bookmarkEnd w:id="496"/>
      <w:r>
        <w:rPr>
          <w:rFonts w:hint="eastAsia" w:ascii="仿宋" w:hAnsi="仿宋" w:eastAsia="仿宋" w:cs="仿宋"/>
          <w:color w:val="auto"/>
          <w:highlight w:val="none"/>
        </w:rPr>
        <w:t>咨询人应在本合同约定的每次应付款日期</w:t>
      </w:r>
      <w:r>
        <w:rPr>
          <w:rFonts w:hint="eastAsia" w:ascii="仿宋" w:hAnsi="仿宋" w:eastAsia="仿宋" w:cs="仿宋"/>
          <w:color w:val="auto"/>
          <w:highlight w:val="none"/>
          <w:u w:val="single"/>
        </w:rPr>
        <w:t xml:space="preserve"> 7</w:t>
      </w:r>
      <w:r>
        <w:rPr>
          <w:rFonts w:hint="eastAsia" w:ascii="仿宋" w:hAnsi="仿宋" w:eastAsia="仿宋" w:cs="仿宋"/>
          <w:color w:val="auto"/>
          <w:highlight w:val="none"/>
        </w:rPr>
        <w:t>日前，向委托人提交支付</w:t>
      </w:r>
      <w:r>
        <w:rPr>
          <w:rFonts w:hint="eastAsia" w:ascii="仿宋" w:hAnsi="仿宋" w:eastAsia="仿宋" w:cs="仿宋"/>
          <w:color w:val="auto"/>
          <w:spacing w:val="-18"/>
          <w:highlight w:val="none"/>
        </w:rPr>
        <w:t>申</w:t>
      </w:r>
      <w:r>
        <w:rPr>
          <w:rFonts w:hint="eastAsia" w:ascii="仿宋" w:hAnsi="仿宋" w:eastAsia="仿宋" w:cs="仿宋"/>
          <w:color w:val="auto"/>
          <w:highlight w:val="none"/>
        </w:rPr>
        <w:t>请书。</w:t>
      </w:r>
    </w:p>
    <w:p>
      <w:pPr>
        <w:pStyle w:val="24"/>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5.3支付酬金</w:t>
      </w:r>
    </w:p>
    <w:p>
      <w:pPr>
        <w:pStyle w:val="24"/>
        <w:snapToGrid w:val="0"/>
        <w:ind w:firstLine="480" w:firstLineChars="200"/>
        <w:rPr>
          <w:rFonts w:ascii="仿宋" w:hAnsi="仿宋" w:eastAsia="仿宋" w:cs="仿宋"/>
          <w:color w:val="auto"/>
          <w:highlight w:val="none"/>
        </w:rPr>
      </w:pPr>
      <w:r>
        <w:rPr>
          <w:rFonts w:hint="eastAsia" w:ascii="仿宋" w:hAnsi="仿宋" w:eastAsia="仿宋" w:cs="仿宋"/>
          <w:color w:val="auto"/>
          <w:highlight w:val="none"/>
        </w:rPr>
        <w:t>正常工作酬金的支付：</w:t>
      </w:r>
    </w:p>
    <w:p>
      <w:pPr>
        <w:numPr>
          <w:ilvl w:val="0"/>
          <w:numId w:val="13"/>
        </w:numPr>
        <w:spacing w:line="360" w:lineRule="auto"/>
        <w:ind w:right="17" w:rightChars="8"/>
        <w:rPr>
          <w:rFonts w:ascii="仿宋" w:hAnsi="仿宋" w:eastAsia="仿宋" w:cs="仿宋"/>
          <w:color w:val="auto"/>
          <w:sz w:val="24"/>
          <w:highlight w:val="none"/>
        </w:rPr>
      </w:pPr>
      <w:r>
        <w:rPr>
          <w:rFonts w:hint="eastAsia" w:ascii="仿宋" w:hAnsi="仿宋" w:eastAsia="仿宋" w:cs="仿宋"/>
          <w:color w:val="auto"/>
          <w:sz w:val="24"/>
          <w:highlight w:val="none"/>
        </w:rPr>
        <w:t>签订合同之日起30日历天内支付合同总额20%的预付款；</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完成施工总承包合同签订后，支付至合同总额的30%；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所有建筑单体完成至正负00后，支付至合同总额的40%；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所有建筑单体主体结顶并通过中间验收后，支付至合同总额的50%；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所有建筑单体精装修施工工程量完成50%后（以施工单位实际投资额为准），支付至合同总额的60%；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所有建筑单体精装修施工完成后，支付至合同总额的70%；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整体工程竣工验收合格后，支付至合同总额的80%；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完成竣工结算初审并送出，支付至合同总额的90%；</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整体工程竣工结算审计完成，提交咨询报告并完成归档后，支付至合同总额的99%；</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项目竣工财务决算报告上报财政部门后，余款结清。</w:t>
      </w:r>
    </w:p>
    <w:p>
      <w:pPr>
        <w:spacing w:line="360" w:lineRule="auto"/>
        <w:ind w:firstLine="480" w:firstLineChars="200"/>
        <w:rPr>
          <w:rFonts w:ascii="仿宋" w:hAnsi="仿宋" w:eastAsia="仿宋" w:cs="仿宋"/>
          <w:color w:val="auto"/>
          <w:sz w:val="24"/>
          <w:highlight w:val="none"/>
        </w:rPr>
      </w:pPr>
      <w:bookmarkStart w:id="497" w:name="_Toc528529053"/>
      <w:bookmarkStart w:id="498" w:name="_Toc35366011"/>
      <w:bookmarkStart w:id="499" w:name="_Toc528528903"/>
      <w:r>
        <w:rPr>
          <w:rFonts w:hint="eastAsia" w:ascii="仿宋" w:hAnsi="仿宋" w:eastAsia="仿宋" w:cs="仿宋"/>
          <w:color w:val="auto"/>
          <w:sz w:val="24"/>
          <w:highlight w:val="none"/>
        </w:rPr>
        <w:t>咨询人提供履约保证金的形式：合同协议书签署前7天提交履约保证金（如为保函，仅限于国有单位出具的保函），履约保证金为合同价的2.5%。履约保证金有效期自履约保证金交纳之日起至合同服务期结束后28天内有效。在此有效期截止日后14天内此履约保证金（如有剩余）退还给咨询人。</w:t>
      </w:r>
    </w:p>
    <w:p>
      <w:pPr>
        <w:spacing w:line="360" w:lineRule="auto"/>
        <w:ind w:right="17" w:rightChars="8"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委托人付款前，咨询人须按委托人要求提供相应金额的增值税发票，否则委托人有权拒绝付款且不承担任何责任（包括但不限于延期付款的责任），开票错误的责任由咨询人承担。</w:t>
      </w:r>
    </w:p>
    <w:p>
      <w:pPr>
        <w:pStyle w:val="6"/>
        <w:spacing w:line="360" w:lineRule="auto"/>
        <w:ind w:right="17" w:rightChars="8"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若因行政审批或财政审计导致委托人逾期付款的，不视为委托人违约，相应付款期限自动顺延。</w:t>
      </w:r>
    </w:p>
    <w:p>
      <w:pPr>
        <w:pStyle w:val="4"/>
        <w:tabs>
          <w:tab w:val="left" w:pos="1223"/>
          <w:tab w:val="clear" w:pos="900"/>
        </w:tabs>
        <w:snapToGrid w:val="0"/>
        <w:spacing w:line="440" w:lineRule="exact"/>
        <w:ind w:firstLine="482"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6.合同变更、解除与终止</w:t>
      </w:r>
      <w:bookmarkEnd w:id="497"/>
      <w:bookmarkEnd w:id="498"/>
      <w:bookmarkEnd w:id="499"/>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6.1合同变更</w:t>
      </w:r>
    </w:p>
    <w:p>
      <w:pPr>
        <w:snapToGrid w:val="0"/>
        <w:spacing w:line="440" w:lineRule="exact"/>
        <w:ind w:firstLine="480" w:firstLineChars="200"/>
        <w:rPr>
          <w:rFonts w:ascii="仿宋" w:hAnsi="仿宋" w:eastAsia="仿宋" w:cs="仿宋"/>
          <w:b/>
          <w:color w:val="auto"/>
          <w:sz w:val="24"/>
          <w:highlight w:val="none"/>
          <w:u w:val="single"/>
        </w:rPr>
      </w:pPr>
      <w:r>
        <w:rPr>
          <w:rFonts w:hint="eastAsia" w:ascii="仿宋" w:hAnsi="仿宋" w:eastAsia="仿宋" w:cs="仿宋"/>
          <w:color w:val="auto"/>
          <w:sz w:val="24"/>
          <w:highlight w:val="none"/>
        </w:rPr>
        <w:t>6.1.2 除不可抗力外，因非咨询人原因导致本合同内容增加时，附加工作酬金按下列方法确定：</w:t>
      </w:r>
      <w:r>
        <w:rPr>
          <w:rFonts w:hint="eastAsia" w:ascii="仿宋" w:hAnsi="仿宋" w:eastAsia="仿宋" w:cs="仿宋"/>
          <w:bCs/>
          <w:color w:val="auto"/>
          <w:sz w:val="24"/>
          <w:highlight w:val="none"/>
          <w:u w:val="single"/>
        </w:rPr>
        <w:t>双方协商解决。</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6.1.4 因工程规模、服务范围及内容的变化等导致咨询人的工作量增减时，服务酬金的调整方法：</w:t>
      </w:r>
      <w:r>
        <w:rPr>
          <w:rFonts w:hint="eastAsia" w:ascii="仿宋" w:hAnsi="仿宋" w:eastAsia="仿宋" w:cs="仿宋"/>
          <w:color w:val="auto"/>
          <w:sz w:val="24"/>
          <w:highlight w:val="none"/>
          <w:u w:val="single"/>
        </w:rPr>
        <w:t xml:space="preserve"> 发生时双方协商</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w:t>
      </w:r>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6.2 合同解除</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6.2.2双方约定解除合同的条件还包括：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6.2.4</w:t>
      </w:r>
      <w:r>
        <w:rPr>
          <w:rFonts w:hint="eastAsia" w:ascii="仿宋" w:hAnsi="仿宋" w:eastAsia="仿宋" w:cs="仿宋"/>
          <w:color w:val="auto"/>
          <w:spacing w:val="-60"/>
          <w:sz w:val="24"/>
          <w:highlight w:val="none"/>
        </w:rPr>
        <w:t xml:space="preserve"> </w:t>
      </w:r>
      <w:r>
        <w:rPr>
          <w:rFonts w:hint="eastAsia" w:ascii="仿宋" w:hAnsi="仿宋" w:eastAsia="仿宋" w:cs="仿宋"/>
          <w:color w:val="auto"/>
          <w:sz w:val="24"/>
          <w:highlight w:val="none"/>
        </w:rPr>
        <w:t>因不可抗力导致的合同解除，双方约定损失的分担如下：</w:t>
      </w:r>
      <w:r>
        <w:rPr>
          <w:rFonts w:hint="eastAsia" w:ascii="仿宋" w:hAnsi="仿宋" w:eastAsia="仿宋" w:cs="仿宋"/>
          <w:color w:val="auto"/>
          <w:sz w:val="24"/>
          <w:highlight w:val="none"/>
          <w:u w:val="single"/>
        </w:rPr>
        <w:t xml:space="preserve"> /</w:t>
      </w:r>
    </w:p>
    <w:p>
      <w:pPr>
        <w:pStyle w:val="4"/>
        <w:tabs>
          <w:tab w:val="left" w:pos="1223"/>
          <w:tab w:val="clear" w:pos="900"/>
        </w:tabs>
        <w:snapToGrid w:val="0"/>
        <w:spacing w:line="440" w:lineRule="exact"/>
        <w:jc w:val="center"/>
        <w:rPr>
          <w:rFonts w:ascii="仿宋" w:hAnsi="仿宋" w:eastAsia="仿宋" w:cs="仿宋"/>
          <w:color w:val="auto"/>
          <w:sz w:val="24"/>
          <w:szCs w:val="24"/>
          <w:highlight w:val="none"/>
        </w:rPr>
      </w:pPr>
      <w:bookmarkStart w:id="500" w:name="_Toc528528904"/>
      <w:bookmarkStart w:id="501" w:name="_Toc528529054"/>
      <w:bookmarkStart w:id="502" w:name="_Toc35366012"/>
      <w:r>
        <w:rPr>
          <w:rFonts w:hint="eastAsia" w:ascii="仿宋" w:hAnsi="仿宋" w:eastAsia="仿宋" w:cs="仿宋"/>
          <w:color w:val="auto"/>
          <w:sz w:val="24"/>
          <w:szCs w:val="24"/>
          <w:highlight w:val="none"/>
        </w:rPr>
        <w:t>7.争议解决</w:t>
      </w:r>
      <w:bookmarkEnd w:id="500"/>
      <w:bookmarkEnd w:id="501"/>
      <w:bookmarkEnd w:id="502"/>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7.2调解</w:t>
      </w:r>
    </w:p>
    <w:p>
      <w:pPr>
        <w:pStyle w:val="24"/>
        <w:tabs>
          <w:tab w:val="left" w:pos="3259"/>
          <w:tab w:val="left" w:pos="8599"/>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如果双方不能在</w:t>
      </w:r>
      <w:r>
        <w:rPr>
          <w:rFonts w:hint="eastAsia" w:ascii="仿宋" w:hAnsi="仿宋" w:eastAsia="仿宋" w:cs="仿宋"/>
          <w:color w:val="auto"/>
          <w:highlight w:val="none"/>
          <w:u w:val="single"/>
        </w:rPr>
        <w:t xml:space="preserve"> 30</w:t>
      </w:r>
      <w:r>
        <w:rPr>
          <w:rFonts w:hint="eastAsia" w:ascii="仿宋" w:hAnsi="仿宋" w:eastAsia="仿宋" w:cs="仿宋"/>
          <w:color w:val="auto"/>
          <w:highlight w:val="none"/>
        </w:rPr>
        <w:t>日内解决本合同争议，可以将其提交</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进行调解。</w:t>
      </w:r>
    </w:p>
    <w:p>
      <w:pPr>
        <w:pStyle w:val="788"/>
        <w:tabs>
          <w:tab w:val="left" w:pos="1280"/>
        </w:tabs>
        <w:snapToGrid w:val="0"/>
        <w:spacing w:line="440" w:lineRule="exact"/>
        <w:ind w:firstLine="480"/>
        <w:rPr>
          <w:rFonts w:ascii="仿宋" w:hAnsi="仿宋" w:eastAsia="仿宋" w:cs="仿宋"/>
          <w:color w:val="auto"/>
          <w:highlight w:val="none"/>
        </w:rPr>
      </w:pPr>
      <w:r>
        <w:rPr>
          <w:rFonts w:hint="eastAsia" w:ascii="仿宋" w:hAnsi="仿宋" w:eastAsia="仿宋" w:cs="仿宋"/>
          <w:color w:val="auto"/>
          <w:highlight w:val="none"/>
        </w:rPr>
        <w:t>7.3仲裁或诉讼</w:t>
      </w:r>
    </w:p>
    <w:p>
      <w:pPr>
        <w:pStyle w:val="24"/>
        <w:tabs>
          <w:tab w:val="left" w:pos="5179"/>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合同争议的最终解决方式为下列第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w:t>
      </w:r>
    </w:p>
    <w:p>
      <w:pPr>
        <w:pStyle w:val="788"/>
        <w:tabs>
          <w:tab w:val="left" w:pos="1341"/>
          <w:tab w:val="left" w:pos="5813"/>
        </w:tabs>
        <w:snapToGrid w:val="0"/>
        <w:spacing w:line="440" w:lineRule="exact"/>
        <w:ind w:left="420" w:leftChars="200" w:firstLine="0" w:firstLineChars="0"/>
        <w:rPr>
          <w:rFonts w:ascii="仿宋" w:hAnsi="仿宋" w:eastAsia="仿宋" w:cs="仿宋"/>
          <w:color w:val="auto"/>
          <w:highlight w:val="none"/>
        </w:rPr>
      </w:pPr>
      <w:r>
        <w:rPr>
          <w:rFonts w:hint="eastAsia" w:ascii="仿宋" w:hAnsi="仿宋" w:eastAsia="仿宋" w:cs="仿宋"/>
          <w:color w:val="auto"/>
          <w:highlight w:val="none"/>
        </w:rPr>
        <w:t>（1）提请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仲裁委员会进行仲裁。</w:t>
      </w:r>
    </w:p>
    <w:p>
      <w:pPr>
        <w:pStyle w:val="788"/>
        <w:tabs>
          <w:tab w:val="left" w:pos="1341"/>
          <w:tab w:val="left" w:pos="6259"/>
        </w:tabs>
        <w:snapToGrid w:val="0"/>
        <w:spacing w:line="440" w:lineRule="exact"/>
        <w:ind w:left="420" w:leftChars="200" w:firstLine="0" w:firstLineChars="0"/>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u w:val="single"/>
        </w:rPr>
        <w:t>委托人所在地</w:t>
      </w:r>
      <w:r>
        <w:rPr>
          <w:rFonts w:hint="eastAsia" w:ascii="仿宋" w:hAnsi="仿宋" w:eastAsia="仿宋" w:cs="仿宋"/>
          <w:color w:val="auto"/>
          <w:highlight w:val="none"/>
        </w:rPr>
        <w:t>人民法院提起诉讼。</w:t>
      </w:r>
    </w:p>
    <w:p>
      <w:pPr>
        <w:pStyle w:val="4"/>
        <w:tabs>
          <w:tab w:val="left" w:pos="1223"/>
          <w:tab w:val="clear" w:pos="900"/>
        </w:tabs>
        <w:snapToGrid w:val="0"/>
        <w:spacing w:line="440" w:lineRule="exact"/>
        <w:jc w:val="center"/>
        <w:rPr>
          <w:rFonts w:ascii="仿宋" w:hAnsi="仿宋" w:eastAsia="仿宋" w:cs="仿宋"/>
          <w:color w:val="auto"/>
          <w:sz w:val="24"/>
          <w:szCs w:val="24"/>
          <w:highlight w:val="none"/>
        </w:rPr>
      </w:pPr>
      <w:bookmarkStart w:id="503" w:name="_Toc35366013"/>
      <w:bookmarkStart w:id="504" w:name="_Toc528529055"/>
      <w:bookmarkStart w:id="505" w:name="_Toc528528905"/>
      <w:r>
        <w:rPr>
          <w:rFonts w:hint="eastAsia" w:ascii="仿宋" w:hAnsi="仿宋" w:eastAsia="仿宋" w:cs="仿宋"/>
          <w:color w:val="auto"/>
          <w:sz w:val="24"/>
          <w:szCs w:val="24"/>
          <w:highlight w:val="none"/>
        </w:rPr>
        <w:t>8.其他</w:t>
      </w:r>
      <w:bookmarkEnd w:id="503"/>
      <w:bookmarkEnd w:id="504"/>
      <w:bookmarkEnd w:id="505"/>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8.1考察及相关费用</w:t>
      </w:r>
    </w:p>
    <w:p>
      <w:pPr>
        <w:pStyle w:val="24"/>
        <w:tabs>
          <w:tab w:val="left" w:pos="6259"/>
        </w:tabs>
        <w:snapToGrid w:val="0"/>
        <w:spacing w:line="440" w:lineRule="exact"/>
        <w:rPr>
          <w:rFonts w:ascii="仿宋" w:hAnsi="仿宋" w:eastAsia="仿宋" w:cs="仿宋"/>
          <w:color w:val="auto"/>
          <w:highlight w:val="none"/>
        </w:rPr>
      </w:pPr>
      <w:r>
        <w:rPr>
          <w:rFonts w:hint="eastAsia" w:ascii="仿宋" w:hAnsi="仿宋" w:eastAsia="仿宋" w:cs="仿宋"/>
          <w:color w:val="auto"/>
          <w:highlight w:val="none"/>
        </w:rPr>
        <w:t>咨询人经委托人同意进行考察发生的费用由</w:t>
      </w:r>
      <w:r>
        <w:rPr>
          <w:rFonts w:hint="eastAsia" w:ascii="仿宋" w:hAnsi="仿宋" w:eastAsia="仿宋" w:cs="仿宋"/>
          <w:color w:val="auto"/>
          <w:highlight w:val="none"/>
          <w:u w:val="single"/>
        </w:rPr>
        <w:t xml:space="preserve"> 咨询人</w:t>
      </w:r>
      <w:r>
        <w:rPr>
          <w:rFonts w:hint="eastAsia" w:ascii="仿宋" w:hAnsi="仿宋" w:eastAsia="仿宋" w:cs="仿宋"/>
          <w:color w:val="auto"/>
          <w:highlight w:val="none"/>
        </w:rPr>
        <w:t>支付。</w:t>
      </w:r>
    </w:p>
    <w:p>
      <w:pPr>
        <w:pStyle w:val="24"/>
        <w:tabs>
          <w:tab w:val="left" w:pos="8179"/>
        </w:tabs>
        <w:snapToGrid w:val="0"/>
        <w:spacing w:line="440" w:lineRule="exact"/>
        <w:rPr>
          <w:rFonts w:ascii="仿宋" w:hAnsi="仿宋" w:eastAsia="仿宋" w:cs="仿宋"/>
          <w:color w:val="auto"/>
          <w:highlight w:val="none"/>
        </w:rPr>
      </w:pPr>
      <w:bookmarkStart w:id="506" w:name="_bookmark21"/>
      <w:bookmarkEnd w:id="506"/>
      <w:bookmarkStart w:id="507" w:name="_bookmark22"/>
      <w:bookmarkEnd w:id="507"/>
      <w:r>
        <w:rPr>
          <w:rFonts w:hint="eastAsia" w:ascii="仿宋" w:hAnsi="仿宋" w:eastAsia="仿宋" w:cs="仿宋"/>
          <w:color w:val="auto"/>
          <w:highlight w:val="none"/>
        </w:rPr>
        <w:t>差旅费及相关费用的支付：</w:t>
      </w:r>
      <w:bookmarkStart w:id="508" w:name="_bookmark23"/>
      <w:bookmarkEnd w:id="508"/>
      <w:r>
        <w:rPr>
          <w:rFonts w:hint="eastAsia" w:ascii="仿宋" w:hAnsi="仿宋" w:eastAsia="仿宋" w:cs="仿宋"/>
          <w:color w:val="auto"/>
          <w:highlight w:val="none"/>
          <w:u w:val="single"/>
        </w:rPr>
        <w:t xml:space="preserve"> 咨询人自行承担</w:t>
      </w:r>
      <w:r>
        <w:rPr>
          <w:rFonts w:hint="eastAsia" w:ascii="仿宋" w:hAnsi="仿宋" w:eastAsia="仿宋" w:cs="仿宋"/>
          <w:color w:val="auto"/>
          <w:highlight w:val="none"/>
        </w:rPr>
        <w:t>。</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8.2奖励</w:t>
      </w:r>
    </w:p>
    <w:p>
      <w:pPr>
        <w:pStyle w:val="24"/>
        <w:tabs>
          <w:tab w:val="left" w:pos="8419"/>
        </w:tabs>
        <w:snapToGrid w:val="0"/>
        <w:spacing w:line="44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合理化建议的奖励金额按下列方法确定：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8.3保密</w:t>
      </w:r>
    </w:p>
    <w:p>
      <w:pPr>
        <w:pStyle w:val="24"/>
        <w:tabs>
          <w:tab w:val="left" w:pos="8419"/>
        </w:tabs>
        <w:snapToGrid w:val="0"/>
        <w:spacing w:line="440" w:lineRule="exact"/>
        <w:ind w:right="445" w:firstLine="480" w:firstLineChars="200"/>
        <w:rPr>
          <w:rFonts w:ascii="仿宋" w:hAnsi="仿宋" w:eastAsia="仿宋" w:cs="仿宋"/>
          <w:color w:val="auto"/>
          <w:spacing w:val="-18"/>
          <w:highlight w:val="none"/>
        </w:rPr>
      </w:pPr>
      <w:r>
        <w:rPr>
          <w:rFonts w:hint="eastAsia" w:ascii="仿宋" w:hAnsi="仿宋" w:eastAsia="仿宋" w:cs="仿宋"/>
          <w:color w:val="auto"/>
          <w:highlight w:val="none"/>
        </w:rPr>
        <w:t>委托人申明的保密事项和期限：</w:t>
      </w:r>
      <w:r>
        <w:rPr>
          <w:rFonts w:hint="eastAsia" w:ascii="仿宋" w:hAnsi="仿宋" w:eastAsia="仿宋" w:cs="仿宋"/>
          <w:color w:val="auto"/>
          <w:highlight w:val="none"/>
          <w:u w:val="single"/>
        </w:rPr>
        <w:t xml:space="preserve"> 所有跟项目有关的资料未经委托人同意均不得向无关的第三方泄露，一经查实，委托人有权终止本合同，并要求咨询人承担相应违约金和赔偿</w:t>
      </w:r>
      <w:r>
        <w:rPr>
          <w:rFonts w:hint="eastAsia" w:ascii="仿宋" w:hAnsi="仿宋" w:eastAsia="仿宋" w:cs="仿宋"/>
          <w:color w:val="auto"/>
          <w:spacing w:val="-18"/>
          <w:highlight w:val="none"/>
        </w:rPr>
        <w:t>。</w:t>
      </w:r>
    </w:p>
    <w:p>
      <w:pPr>
        <w:pStyle w:val="24"/>
        <w:tabs>
          <w:tab w:val="left" w:pos="8419"/>
        </w:tabs>
        <w:snapToGrid w:val="0"/>
        <w:spacing w:line="440" w:lineRule="exact"/>
        <w:ind w:left="420" w:leftChars="200" w:right="445"/>
        <w:rPr>
          <w:rFonts w:ascii="仿宋" w:hAnsi="仿宋" w:eastAsia="仿宋" w:cs="仿宋"/>
          <w:color w:val="auto"/>
          <w:spacing w:val="-18"/>
          <w:highlight w:val="none"/>
        </w:rPr>
      </w:pPr>
      <w:r>
        <w:rPr>
          <w:rFonts w:hint="eastAsia" w:ascii="仿宋" w:hAnsi="仿宋" w:eastAsia="仿宋" w:cs="仿宋"/>
          <w:color w:val="auto"/>
          <w:highlight w:val="none"/>
        </w:rPr>
        <w:t>咨询人申明的保密事项和期限：</w:t>
      </w:r>
      <w:r>
        <w:rPr>
          <w:rFonts w:hint="eastAsia" w:ascii="仿宋" w:hAnsi="仿宋" w:eastAsia="仿宋" w:cs="仿宋"/>
          <w:color w:val="auto"/>
          <w:highlight w:val="none"/>
          <w:u w:val="single"/>
        </w:rPr>
        <w:t>咨询成果软件版不得向第三方泄露</w:t>
      </w:r>
      <w:r>
        <w:rPr>
          <w:rFonts w:hint="eastAsia" w:ascii="仿宋" w:hAnsi="仿宋" w:eastAsia="仿宋" w:cs="仿宋"/>
          <w:color w:val="auto"/>
          <w:spacing w:val="-18"/>
          <w:highlight w:val="none"/>
        </w:rPr>
        <w:t>。</w:t>
      </w:r>
    </w:p>
    <w:p>
      <w:pPr>
        <w:pStyle w:val="24"/>
        <w:tabs>
          <w:tab w:val="left" w:pos="8419"/>
        </w:tabs>
        <w:snapToGrid w:val="0"/>
        <w:spacing w:line="440" w:lineRule="exact"/>
        <w:ind w:left="420" w:leftChars="200" w:right="445"/>
        <w:rPr>
          <w:rFonts w:ascii="仿宋" w:hAnsi="仿宋" w:eastAsia="仿宋" w:cs="仿宋"/>
          <w:color w:val="auto"/>
          <w:highlight w:val="none"/>
        </w:rPr>
      </w:pPr>
      <w:r>
        <w:rPr>
          <w:rFonts w:hint="eastAsia" w:ascii="仿宋" w:hAnsi="仿宋" w:eastAsia="仿宋" w:cs="仿宋"/>
          <w:color w:val="auto"/>
          <w:highlight w:val="none"/>
        </w:rPr>
        <w:t>8.4联络</w:t>
      </w:r>
    </w:p>
    <w:p>
      <w:pPr>
        <w:pStyle w:val="24"/>
        <w:tabs>
          <w:tab w:val="left" w:pos="841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8.4.1任何一方与合同有关的通知、指示、要求、决定等，均应在</w:t>
      </w:r>
      <w:r>
        <w:rPr>
          <w:rFonts w:hint="eastAsia" w:ascii="仿宋" w:hAnsi="仿宋" w:eastAsia="仿宋" w:cs="仿宋"/>
          <w:color w:val="auto"/>
          <w:highlight w:val="none"/>
          <w:u w:val="single"/>
        </w:rPr>
        <w:t xml:space="preserve"> 14 </w:t>
      </w:r>
      <w:r>
        <w:rPr>
          <w:rFonts w:hint="eastAsia" w:ascii="仿宋" w:hAnsi="仿宋" w:eastAsia="仿宋" w:cs="仿宋"/>
          <w:color w:val="auto"/>
          <w:highlight w:val="none"/>
        </w:rPr>
        <w:t>日内送达对方指定的接收人和送达地点。</w:t>
      </w:r>
    </w:p>
    <w:p>
      <w:pPr>
        <w:pStyle w:val="24"/>
        <w:tabs>
          <w:tab w:val="left" w:pos="841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8.4.2委托人指定的送达接收人：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，送达地点：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电子邮箱：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24"/>
        <w:tabs>
          <w:tab w:val="left" w:pos="841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咨询人指定的送达接收人：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，送达地点：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，电子邮箱：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8.5知识产权</w:t>
      </w:r>
    </w:p>
    <w:p>
      <w:pPr>
        <w:pStyle w:val="24"/>
        <w:tabs>
          <w:tab w:val="left" w:pos="841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auto"/>
          <w:highlight w:val="none"/>
          <w:u w:val="single"/>
        </w:rPr>
        <w:t xml:space="preserve"> 委托人</w:t>
      </w:r>
      <w:r>
        <w:rPr>
          <w:rFonts w:hint="eastAsia" w:ascii="仿宋" w:hAnsi="仿宋" w:eastAsia="仿宋" w:cs="仿宋"/>
          <w:color w:val="auto"/>
          <w:spacing w:val="-18"/>
          <w:highlight w:val="none"/>
        </w:rPr>
        <w:t>。</w:t>
      </w:r>
    </w:p>
    <w:p>
      <w:pPr>
        <w:pStyle w:val="24"/>
        <w:tabs>
          <w:tab w:val="left" w:pos="8419"/>
        </w:tabs>
        <w:snapToGrid w:val="0"/>
        <w:spacing w:line="440" w:lineRule="exact"/>
        <w:ind w:right="445"/>
        <w:rPr>
          <w:rFonts w:ascii="仿宋" w:hAnsi="仿宋" w:eastAsia="仿宋" w:cs="仿宋"/>
          <w:color w:val="auto"/>
          <w:spacing w:val="-18"/>
          <w:highlight w:val="none"/>
        </w:rPr>
      </w:pPr>
      <w:r>
        <w:rPr>
          <w:rFonts w:hint="eastAsia" w:ascii="仿宋" w:hAnsi="仿宋" w:eastAsia="仿宋" w:cs="仿宋"/>
          <w:color w:val="auto"/>
          <w:highlight w:val="none"/>
        </w:rPr>
        <w:t>咨询人为履行本合同约定而编制的成果文件，其著作权属于</w:t>
      </w:r>
      <w:r>
        <w:rPr>
          <w:rFonts w:hint="eastAsia" w:ascii="仿宋" w:hAnsi="仿宋" w:eastAsia="仿宋" w:cs="仿宋"/>
          <w:color w:val="auto"/>
          <w:highlight w:val="none"/>
          <w:u w:val="single"/>
        </w:rPr>
        <w:t xml:space="preserve"> 委托人</w:t>
      </w:r>
      <w:r>
        <w:rPr>
          <w:rFonts w:hint="eastAsia" w:ascii="仿宋" w:hAnsi="仿宋" w:eastAsia="仿宋" w:cs="仿宋"/>
          <w:color w:val="auto"/>
          <w:spacing w:val="-18"/>
          <w:highlight w:val="none"/>
        </w:rPr>
        <w:t>。</w:t>
      </w:r>
    </w:p>
    <w:p>
      <w:pPr>
        <w:pStyle w:val="24"/>
        <w:tabs>
          <w:tab w:val="left" w:pos="8419"/>
        </w:tabs>
        <w:snapToGrid w:val="0"/>
        <w:spacing w:line="440" w:lineRule="exact"/>
        <w:ind w:right="445" w:firstLine="480" w:firstLineChars="200"/>
        <w:rPr>
          <w:rFonts w:ascii="仿宋" w:hAnsi="仿宋" w:eastAsia="仿宋" w:cs="仿宋"/>
          <w:color w:val="auto"/>
          <w:highlight w:val="none"/>
        </w:rPr>
      </w:pPr>
      <w:r>
        <w:rPr>
          <w:rFonts w:hint="eastAsia" w:ascii="仿宋" w:hAnsi="仿宋" w:eastAsia="仿宋" w:cs="仿宋"/>
          <w:color w:val="auto"/>
          <w:highlight w:val="none"/>
        </w:rPr>
        <w:t>双方将履行本合同形成的有关成果文件用于企业宣传、申报奖项以及接受上级主管部门的检查须遵守以下约定：</w:t>
      </w:r>
      <w:r>
        <w:rPr>
          <w:rFonts w:hint="eastAsia" w:ascii="仿宋" w:hAnsi="仿宋" w:eastAsia="仿宋" w:cs="仿宋"/>
          <w:color w:val="auto"/>
          <w:highlight w:val="none"/>
          <w:u w:val="single"/>
        </w:rPr>
        <w:t xml:space="preserve"> 须经委托人同意。</w:t>
      </w:r>
    </w:p>
    <w:p>
      <w:pPr>
        <w:pStyle w:val="4"/>
        <w:tabs>
          <w:tab w:val="left" w:pos="1094"/>
          <w:tab w:val="clear" w:pos="900"/>
        </w:tabs>
        <w:snapToGrid w:val="0"/>
        <w:spacing w:line="440" w:lineRule="exact"/>
        <w:ind w:left="0" w:firstLine="0"/>
        <w:jc w:val="center"/>
        <w:rPr>
          <w:rFonts w:ascii="仿宋" w:hAnsi="仿宋" w:eastAsia="仿宋" w:cs="仿宋"/>
          <w:color w:val="auto"/>
          <w:sz w:val="24"/>
          <w:szCs w:val="24"/>
          <w:highlight w:val="none"/>
        </w:rPr>
      </w:pPr>
      <w:bookmarkStart w:id="509" w:name="_Toc35366014"/>
      <w:bookmarkStart w:id="510" w:name="_Toc528529056"/>
      <w:bookmarkStart w:id="511" w:name="_Toc528528906"/>
      <w:r>
        <w:rPr>
          <w:rFonts w:hint="eastAsia" w:ascii="仿宋" w:hAnsi="仿宋" w:eastAsia="仿宋" w:cs="仿宋"/>
          <w:color w:val="auto"/>
          <w:sz w:val="24"/>
          <w:szCs w:val="24"/>
          <w:highlight w:val="none"/>
        </w:rPr>
        <w:t>9.补充条款</w:t>
      </w:r>
      <w:bookmarkEnd w:id="509"/>
      <w:bookmarkEnd w:id="510"/>
      <w:bookmarkEnd w:id="511"/>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9.1委托人、咨询人应执行招标文件（招标编号：</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rPr>
        <w:t>）“全过程跟踪审计服务的工作要求”的规定。</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9.2 委托人有权在本协议签署后制定具体考勤办法，咨询人应执行委托人制定的具体考勤办法（包括但不限于：奖惩制度）。</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9.3咨询人在项目全过程跟踪审计过程中遇到重大事项及时报告委托人。</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1、项目新增投资机会或概算调整，在有关部门发文10个工作日内告知。</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2、土方开挖前5日内或发现开挖地质与勘察报告不符2日内告知。</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3、支护或地基处理等隐蔽工程，施工前2日告知。</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4、重大设计变更在需变更事项产生后2日内告知。</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5、咨询人认为告知的其他事项</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9.4咨询人应严格执行行业咨询标准、咨询流程、职业道德和职业纪律，不断提高服务质量，严禁“吃、喝、卡、拿、要”等违规行为发生，发包人有权提出更换人员的要求。</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9.5咨询人员应利用照相、GPS等先进技术装备，对项目原始地理情况进行测量取证，对隐蔽工程及其他重要环节等进行现场取证，为竣工结算提供可靠依据。</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9.6咨询人应建立《跟踪咨询日志》，及时记载咨询时间、工作纪实（包括咨询内容、项目现状、发现问题、咨询意见、整改情况、咨询成果），每日记录的内容要注重反映量化成果，要成为反映造价咨询全貌的工作日志。工作日志由咨询人员负责记载，委托人不定期抽查。</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9.7跟踪咨询实现月报制度，工作量要有记录、小结，咨询人每月5日前以书面形式向委托人汇报上月情况，说明完成的工程量、进展情况、存在的问题、要求解决的问题。</w:t>
      </w:r>
    </w:p>
    <w:p>
      <w:pPr>
        <w:pStyle w:val="24"/>
        <w:snapToGrid w:val="0"/>
        <w:spacing w:line="440" w:lineRule="exact"/>
        <w:ind w:firstLine="480" w:firstLineChars="200"/>
        <w:rPr>
          <w:rFonts w:ascii="仿宋" w:hAnsi="仿宋" w:eastAsia="仿宋" w:cs="仿宋"/>
          <w:bCs/>
          <w:color w:val="auto"/>
          <w:highlight w:val="none"/>
        </w:rPr>
      </w:pPr>
      <w:r>
        <w:rPr>
          <w:rFonts w:hint="eastAsia" w:ascii="仿宋" w:hAnsi="仿宋" w:eastAsia="仿宋" w:cs="仿宋"/>
          <w:bCs/>
          <w:color w:val="auto"/>
          <w:highlight w:val="none"/>
        </w:rPr>
        <w:t>9.8咨询过程中，对于一些重要的事项或者存在问题的事项，咨询人员要编制底稿，并对咨询底稿的真实性、完整性负责。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9.9 招标文件作为本协议组成部分，与本协议具有同等法律效力，如招标文件与本协议不一致之处，以本协议约定为准</w:t>
      </w:r>
      <w:r>
        <w:rPr>
          <w:rFonts w:hint="eastAsia" w:ascii="仿宋" w:hAnsi="仿宋" w:eastAsia="仿宋" w:cs="仿宋"/>
          <w:color w:val="auto"/>
          <w:sz w:val="24"/>
          <w:highlight w:val="none"/>
        </w:rPr>
        <w:t>。</w:t>
      </w:r>
    </w:p>
    <w:p>
      <w:pPr>
        <w:pStyle w:val="24"/>
        <w:snapToGrid w:val="0"/>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bCs/>
          <w:snapToGrid/>
          <w:color w:val="auto"/>
          <w:szCs w:val="24"/>
          <w:highlight w:val="none"/>
          <w:lang w:val="en-US"/>
        </w:rPr>
        <w:t>9.10咨询人需根据</w:t>
      </w:r>
      <w:r>
        <w:rPr>
          <w:rFonts w:hint="eastAsia" w:ascii="仿宋" w:hAnsi="仿宋" w:eastAsia="仿宋" w:cs="仿宋"/>
          <w:color w:val="auto"/>
          <w:szCs w:val="24"/>
          <w:highlight w:val="none"/>
          <w:lang w:val="en-US"/>
        </w:rPr>
        <w:t>委托人</w:t>
      </w:r>
      <w:r>
        <w:rPr>
          <w:rFonts w:hint="eastAsia" w:ascii="仿宋" w:hAnsi="仿宋" w:eastAsia="仿宋" w:cs="仿宋"/>
          <w:bCs/>
          <w:snapToGrid/>
          <w:color w:val="auto"/>
          <w:szCs w:val="24"/>
          <w:highlight w:val="none"/>
          <w:lang w:val="en-US"/>
        </w:rPr>
        <w:t>要求的时间，与招标代理单位就工程量清单及招标控制价完成核</w:t>
      </w:r>
      <w:r>
        <w:rPr>
          <w:rFonts w:hint="eastAsia" w:ascii="仿宋" w:hAnsi="仿宋" w:eastAsia="仿宋" w:cs="仿宋"/>
          <w:color w:val="auto"/>
          <w:szCs w:val="24"/>
          <w:highlight w:val="none"/>
          <w:lang w:val="en-US"/>
        </w:rPr>
        <w:t>对，并出具审核报告。</w:t>
      </w:r>
    </w:p>
    <w:p>
      <w:pPr>
        <w:pStyle w:val="24"/>
        <w:snapToGrid w:val="0"/>
        <w:spacing w:line="440" w:lineRule="exact"/>
        <w:ind w:firstLine="480" w:firstLineChars="200"/>
        <w:rPr>
          <w:rFonts w:ascii="仿宋" w:hAnsi="仿宋" w:eastAsia="仿宋" w:cs="仿宋"/>
          <w:bCs/>
          <w:snapToGrid/>
          <w:color w:val="auto"/>
          <w:szCs w:val="24"/>
          <w:highlight w:val="none"/>
        </w:rPr>
      </w:pPr>
      <w:r>
        <w:rPr>
          <w:rFonts w:hint="eastAsia" w:ascii="仿宋" w:hAnsi="仿宋" w:eastAsia="仿宋" w:cs="仿宋"/>
          <w:bCs/>
          <w:snapToGrid/>
          <w:color w:val="auto"/>
          <w:szCs w:val="24"/>
          <w:highlight w:val="none"/>
          <w:lang w:val="en-US"/>
        </w:rPr>
        <w:t>9.11本合同所有扣款、处罚、违约金，委托人有权从咨询人履约保证金、服务费中</w:t>
      </w:r>
      <w:r>
        <w:rPr>
          <w:rFonts w:hint="eastAsia" w:ascii="仿宋" w:hAnsi="仿宋" w:eastAsia="仿宋" w:cs="仿宋"/>
          <w:bCs/>
          <w:snapToGrid/>
          <w:color w:val="auto"/>
          <w:szCs w:val="24"/>
          <w:highlight w:val="none"/>
        </w:rPr>
        <w:t>扣除，如</w:t>
      </w:r>
      <w:r>
        <w:rPr>
          <w:rFonts w:hint="eastAsia" w:ascii="仿宋" w:hAnsi="仿宋" w:eastAsia="仿宋" w:cs="仿宋"/>
          <w:bCs/>
          <w:snapToGrid/>
          <w:color w:val="auto"/>
          <w:szCs w:val="24"/>
          <w:highlight w:val="none"/>
          <w:lang w:val="en-US"/>
        </w:rPr>
        <w:t>上述费用</w:t>
      </w:r>
      <w:r>
        <w:rPr>
          <w:rFonts w:hint="eastAsia" w:ascii="仿宋" w:hAnsi="仿宋" w:eastAsia="仿宋" w:cs="仿宋"/>
          <w:bCs/>
          <w:snapToGrid/>
          <w:color w:val="auto"/>
          <w:szCs w:val="24"/>
          <w:highlight w:val="none"/>
        </w:rPr>
        <w:t>不足以支付相关</w:t>
      </w:r>
      <w:r>
        <w:rPr>
          <w:rFonts w:hint="eastAsia" w:ascii="仿宋" w:hAnsi="仿宋" w:eastAsia="仿宋" w:cs="仿宋"/>
          <w:bCs/>
          <w:snapToGrid/>
          <w:color w:val="auto"/>
          <w:szCs w:val="24"/>
          <w:highlight w:val="none"/>
          <w:lang w:val="en-US"/>
        </w:rPr>
        <w:t>扣款、处罚、违约金</w:t>
      </w:r>
      <w:r>
        <w:rPr>
          <w:rFonts w:hint="eastAsia" w:ascii="仿宋" w:hAnsi="仿宋" w:eastAsia="仿宋" w:cs="仿宋"/>
          <w:bCs/>
          <w:snapToGrid/>
          <w:color w:val="auto"/>
          <w:szCs w:val="24"/>
          <w:highlight w:val="none"/>
        </w:rPr>
        <w:t>，咨询人需无条件补交。如咨询人拒绝补交，委托人有权终止合同，并不免除受托人应补交的违约款项的责任。</w:t>
      </w:r>
    </w:p>
    <w:p>
      <w:pPr>
        <w:pStyle w:val="24"/>
        <w:snapToGrid w:val="0"/>
        <w:spacing w:line="440" w:lineRule="exact"/>
        <w:ind w:firstLine="480" w:firstLineChars="200"/>
        <w:rPr>
          <w:rFonts w:ascii="仿宋" w:hAnsi="仿宋" w:eastAsia="仿宋" w:cs="仿宋"/>
          <w:bCs/>
          <w:snapToGrid/>
          <w:color w:val="auto"/>
          <w:szCs w:val="24"/>
          <w:highlight w:val="none"/>
          <w:lang w:val="en-US"/>
        </w:rPr>
      </w:pPr>
      <w:r>
        <w:rPr>
          <w:rFonts w:hint="eastAsia" w:ascii="仿宋" w:hAnsi="仿宋" w:eastAsia="仿宋" w:cs="仿宋"/>
          <w:bCs/>
          <w:snapToGrid/>
          <w:color w:val="auto"/>
          <w:szCs w:val="24"/>
          <w:highlight w:val="none"/>
          <w:lang w:val="en-US"/>
        </w:rPr>
        <w:t>9.12</w:t>
      </w:r>
      <w:r>
        <w:rPr>
          <w:rFonts w:hint="eastAsia" w:ascii="仿宋" w:hAnsi="仿宋" w:eastAsia="仿宋" w:cs="仿宋"/>
          <w:b/>
          <w:snapToGrid/>
          <w:color w:val="auto"/>
          <w:szCs w:val="24"/>
          <w:highlight w:val="none"/>
        </w:rPr>
        <w:t>本项目全过程工程咨询单位为浙江五洲工程项目管理有限公司 ，协助甲方管理项目建设。乙方需按合同约定，并积极配合浙江五洲工程项目管理有限公司要求完成合同相关内容。</w:t>
      </w:r>
    </w:p>
    <w:p>
      <w:pPr>
        <w:pStyle w:val="24"/>
        <w:snapToGrid w:val="0"/>
        <w:spacing w:line="440" w:lineRule="exact"/>
        <w:ind w:firstLine="482" w:firstLineChars="200"/>
        <w:rPr>
          <w:rFonts w:ascii="仿宋" w:hAnsi="仿宋" w:eastAsia="仿宋" w:cs="仿宋"/>
          <w:b/>
          <w:snapToGrid/>
          <w:color w:val="auto"/>
          <w:szCs w:val="24"/>
          <w:highlight w:val="none"/>
          <w:lang w:val="en-US"/>
        </w:rPr>
      </w:pPr>
      <w:r>
        <w:rPr>
          <w:rFonts w:hint="eastAsia" w:ascii="仿宋" w:hAnsi="仿宋" w:eastAsia="仿宋" w:cs="仿宋"/>
          <w:b/>
          <w:snapToGrid/>
          <w:color w:val="auto"/>
          <w:szCs w:val="24"/>
          <w:highlight w:val="none"/>
          <w:lang w:val="en-US"/>
        </w:rPr>
        <w:t>9.13每个季度，委托人对咨询人进行服务考核打分，如不及格（及格分为60分），委托人有权单方面终止合同或将剩余跟踪审计服务业务另行委托其他单位，咨询人如有违约则另需按本合同相关条款执行。（详见合同附件</w:t>
      </w:r>
      <w:r>
        <w:rPr>
          <w:rFonts w:hint="eastAsia" w:ascii="仿宋" w:hAnsi="仿宋" w:eastAsia="仿宋" w:cs="仿宋"/>
          <w:b/>
          <w:snapToGrid/>
          <w:color w:val="auto"/>
          <w:sz w:val="28"/>
          <w:szCs w:val="28"/>
          <w:highlight w:val="none"/>
          <w:lang w:val="en-US"/>
        </w:rPr>
        <w:t>二</w:t>
      </w:r>
      <w:r>
        <w:rPr>
          <w:rFonts w:hint="eastAsia" w:ascii="仿宋" w:hAnsi="仿宋" w:eastAsia="仿宋" w:cs="仿宋"/>
          <w:b/>
          <w:snapToGrid/>
          <w:color w:val="auto"/>
          <w:szCs w:val="24"/>
          <w:highlight w:val="none"/>
          <w:lang w:val="en-US"/>
        </w:rPr>
        <w:t>：全过程跟踪审计服务考核评价表）</w:t>
      </w:r>
    </w:p>
    <w:p>
      <w:pPr>
        <w:pStyle w:val="25"/>
        <w:rPr>
          <w:color w:val="auto"/>
          <w:highlight w:val="none"/>
          <w:lang w:val="en-US"/>
        </w:rPr>
      </w:pPr>
    </w:p>
    <w:p>
      <w:pPr>
        <w:tabs>
          <w:tab w:val="left" w:pos="2996"/>
        </w:tabs>
        <w:spacing w:line="440" w:lineRule="exact"/>
        <w:rPr>
          <w:rFonts w:ascii="仿宋" w:hAnsi="仿宋" w:eastAsia="仿宋" w:cs="仿宋"/>
          <w:b/>
          <w:bCs/>
          <w:color w:val="auto"/>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tabs>
          <w:tab w:val="left" w:pos="2996"/>
        </w:tabs>
        <w:spacing w:line="440" w:lineRule="exac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合同附件一</w:t>
      </w:r>
    </w:p>
    <w:p>
      <w:pPr>
        <w:tabs>
          <w:tab w:val="left" w:pos="2996"/>
        </w:tabs>
        <w:spacing w:line="440" w:lineRule="exact"/>
        <w:rPr>
          <w:rFonts w:ascii="仿宋" w:hAnsi="仿宋" w:eastAsia="仿宋" w:cs="仿宋"/>
          <w:b/>
          <w:bCs/>
          <w:color w:val="auto"/>
          <w:sz w:val="32"/>
          <w:szCs w:val="32"/>
          <w:highlight w:val="none"/>
        </w:rPr>
      </w:pPr>
    </w:p>
    <w:p>
      <w:pPr>
        <w:ind w:right="-38" w:rightChars="-1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项目组人员配备表</w:t>
      </w:r>
    </w:p>
    <w:tbl>
      <w:tblPr>
        <w:tblStyle w:val="62"/>
        <w:tblW w:w="4998" w:type="pct"/>
        <w:tblInd w:w="0" w:type="dxa"/>
        <w:tblLayout w:type="autofit"/>
        <w:tblCellMar>
          <w:top w:w="0" w:type="dxa"/>
          <w:left w:w="108" w:type="dxa"/>
          <w:bottom w:w="0" w:type="dxa"/>
          <w:right w:w="108" w:type="dxa"/>
        </w:tblCellMar>
      </w:tblPr>
      <w:tblGrid>
        <w:gridCol w:w="2386"/>
        <w:gridCol w:w="1723"/>
        <w:gridCol w:w="1723"/>
        <w:gridCol w:w="1725"/>
        <w:gridCol w:w="1725"/>
      </w:tblGrid>
      <w:tr>
        <w:tblPrEx>
          <w:tblCellMar>
            <w:top w:w="0" w:type="dxa"/>
            <w:left w:w="108" w:type="dxa"/>
            <w:bottom w:w="0" w:type="dxa"/>
            <w:right w:w="108" w:type="dxa"/>
          </w:tblCellMar>
        </w:tblPrEx>
        <w:trPr>
          <w:trHeight w:val="8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本项目中职务</w:t>
            </w:r>
          </w:p>
        </w:tc>
        <w:tc>
          <w:tcPr>
            <w:tcW w:w="928"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姓名</w:t>
            </w:r>
          </w:p>
        </w:tc>
        <w:tc>
          <w:tcPr>
            <w:tcW w:w="928"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职称</w:t>
            </w:r>
          </w:p>
        </w:tc>
        <w:tc>
          <w:tcPr>
            <w:tcW w:w="929"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注册职业证书</w:t>
            </w:r>
          </w:p>
        </w:tc>
        <w:tc>
          <w:tcPr>
            <w:tcW w:w="929"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工作年限</w:t>
            </w:r>
          </w:p>
        </w:tc>
      </w:tr>
      <w:tr>
        <w:tblPrEx>
          <w:tblCellMar>
            <w:top w:w="0" w:type="dxa"/>
            <w:left w:w="108" w:type="dxa"/>
            <w:bottom w:w="0" w:type="dxa"/>
            <w:right w:w="108" w:type="dxa"/>
          </w:tblCellMar>
        </w:tblPrEx>
        <w:trPr>
          <w:trHeight w:val="711"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房建</w:t>
            </w:r>
            <w:r>
              <w:rPr>
                <w:rFonts w:ascii="仿宋" w:hAnsi="仿宋" w:eastAsia="仿宋" w:cs="仿宋"/>
                <w:color w:val="auto"/>
                <w:kern w:val="0"/>
                <w:sz w:val="24"/>
                <w:highlight w:val="none"/>
                <w:lang w:bidi="ar"/>
              </w:rPr>
              <w:t>专业负责人</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r>
      <w:tr>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市政</w:t>
            </w:r>
            <w:r>
              <w:rPr>
                <w:rFonts w:ascii="仿宋" w:hAnsi="仿宋" w:eastAsia="仿宋" w:cs="仿宋"/>
                <w:color w:val="auto"/>
                <w:kern w:val="0"/>
                <w:sz w:val="24"/>
                <w:highlight w:val="none"/>
                <w:lang w:bidi="ar"/>
              </w:rPr>
              <w:t>专业负责人</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r>
      <w:tr>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景观</w:t>
            </w:r>
            <w:r>
              <w:rPr>
                <w:rFonts w:ascii="仿宋" w:hAnsi="仿宋" w:eastAsia="仿宋" w:cs="仿宋"/>
                <w:color w:val="auto"/>
                <w:kern w:val="0"/>
                <w:sz w:val="24"/>
                <w:highlight w:val="none"/>
                <w:lang w:bidi="ar"/>
              </w:rPr>
              <w:t>专业负责人</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安装</w:t>
            </w:r>
            <w:r>
              <w:rPr>
                <w:rFonts w:ascii="仿宋" w:hAnsi="仿宋" w:eastAsia="仿宋" w:cs="仿宋"/>
                <w:color w:val="auto"/>
                <w:kern w:val="0"/>
                <w:sz w:val="24"/>
                <w:highlight w:val="none"/>
                <w:lang w:bidi="ar"/>
              </w:rPr>
              <w:t>专业负责人</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r>
      <w:tr>
        <w:tblPrEx>
          <w:tblCellMar>
            <w:top w:w="0" w:type="dxa"/>
            <w:left w:w="108" w:type="dxa"/>
            <w:bottom w:w="0" w:type="dxa"/>
            <w:right w:w="108" w:type="dxa"/>
          </w:tblCellMar>
        </w:tblPrEx>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其他项目组人员</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r>
      <w:tr>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驻场专业人员</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40" w:hRule="atLeast"/>
        </w:trPr>
        <w:tc>
          <w:tcPr>
            <w:tcW w:w="1285"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8" w:type="pc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
                <w:bCs/>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c>
          <w:tcPr>
            <w:tcW w:w="929" w:type="pct"/>
            <w:tcBorders>
              <w:top w:val="single" w:color="000000" w:sz="8" w:space="0"/>
              <w:left w:val="single" w:color="000000" w:sz="8" w:space="0"/>
              <w:bottom w:val="single" w:color="000000" w:sz="8" w:space="0"/>
              <w:right w:val="single" w:color="000000" w:sz="8" w:space="0"/>
            </w:tcBorders>
            <w:noWrap/>
            <w:vAlign w:val="center"/>
          </w:tcPr>
          <w:p>
            <w:pPr>
              <w:rPr>
                <w:rFonts w:ascii="仿宋" w:hAnsi="仿宋" w:eastAsia="仿宋" w:cs="仿宋"/>
                <w:color w:val="auto"/>
                <w:sz w:val="24"/>
                <w:highlight w:val="none"/>
              </w:rPr>
            </w:pPr>
          </w:p>
        </w:tc>
      </w:tr>
    </w:tbl>
    <w:p>
      <w:pPr>
        <w:pStyle w:val="6"/>
        <w:rPr>
          <w:color w:val="auto"/>
          <w:highlight w:val="none"/>
        </w:rPr>
        <w:sectPr>
          <w:pgSz w:w="11906" w:h="16838"/>
          <w:pgMar w:top="1276" w:right="1418" w:bottom="1247" w:left="1418" w:header="851" w:footer="992" w:gutter="0"/>
          <w:cols w:space="720" w:num="1"/>
          <w:titlePg/>
          <w:docGrid w:linePitch="312" w:charSpace="0"/>
        </w:sectPr>
      </w:pPr>
    </w:p>
    <w:p>
      <w:pPr>
        <w:tabs>
          <w:tab w:val="left" w:pos="2996"/>
        </w:tabs>
        <w:spacing w:line="440" w:lineRule="exac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合同附件二</w:t>
      </w:r>
    </w:p>
    <w:p>
      <w:pPr>
        <w:jc w:val="center"/>
        <w:rPr>
          <w:color w:val="auto"/>
          <w:highlight w:val="none"/>
        </w:rPr>
      </w:pPr>
    </w:p>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全过程跟踪审计服务考核评价表</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456"/>
        <w:gridCol w:w="2685"/>
        <w:gridCol w:w="81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填表人</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173"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杭州市卫生健康事业发展中心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评价</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8173"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填表人</w:t>
            </w:r>
          </w:p>
        </w:tc>
        <w:tc>
          <w:tcPr>
            <w:tcW w:w="414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14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对全过程跟踪审计服务单位的评价</w:t>
            </w:r>
          </w:p>
        </w:tc>
        <w:tc>
          <w:tcPr>
            <w:tcW w:w="414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w:t>
            </w:r>
          </w:p>
        </w:tc>
        <w:tc>
          <w:tcPr>
            <w:tcW w:w="8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人员配备</w:t>
            </w:r>
          </w:p>
        </w:tc>
        <w:tc>
          <w:tcPr>
            <w:tcW w:w="268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全过程跟踪审计服务</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人员配备情况</w:t>
            </w:r>
          </w:p>
        </w:tc>
        <w:tc>
          <w:tcPr>
            <w:tcW w:w="811"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能力水平</w:t>
            </w: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项目负责人能力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房建专业负责人能力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市政专业负责人能力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景观专业负责人能力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安装专业负责人能力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其他项目组成员能力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驻场人员能力</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服务质量</w:t>
            </w:r>
          </w:p>
        </w:tc>
        <w:tc>
          <w:tcPr>
            <w:tcW w:w="268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全过程跟踪审计服务</w:t>
            </w:r>
          </w:p>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成果质量</w:t>
            </w:r>
          </w:p>
        </w:tc>
        <w:tc>
          <w:tcPr>
            <w:tcW w:w="811"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40</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服务态度</w:t>
            </w:r>
          </w:p>
        </w:tc>
        <w:tc>
          <w:tcPr>
            <w:tcW w:w="2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服务及配合态度</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3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7"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1456" w:type="dxa"/>
            <w:tcBorders>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其他评价</w:t>
            </w:r>
          </w:p>
        </w:tc>
        <w:tc>
          <w:tcPr>
            <w:tcW w:w="268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工作效率</w:t>
            </w:r>
          </w:p>
        </w:tc>
        <w:tc>
          <w:tcPr>
            <w:tcW w:w="811" w:type="dxa"/>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auto"/>
                <w:sz w:val="24"/>
                <w:highlight w:val="none"/>
              </w:rPr>
            </w:pPr>
            <w:r>
              <w:rPr>
                <w:color w:val="auto"/>
                <w:kern w:val="0"/>
                <w:szCs w:val="21"/>
                <w:highlight w:val="none"/>
                <w:lang w:bidi="ar"/>
              </w:rPr>
              <w:t>5</w:t>
            </w:r>
          </w:p>
        </w:tc>
        <w:tc>
          <w:tcPr>
            <w:tcW w:w="3221"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227"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c>
          <w:tcPr>
            <w:tcW w:w="414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403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对全过程跟踪审计服务单位的意见和要求</w:t>
            </w:r>
          </w:p>
        </w:tc>
        <w:tc>
          <w:tcPr>
            <w:tcW w:w="8173"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8173"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此表不作受托人业绩证明</w:t>
            </w:r>
          </w:p>
        </w:tc>
      </w:tr>
    </w:tbl>
    <w:p>
      <w:pPr>
        <w:jc w:val="center"/>
        <w:rPr>
          <w:rFonts w:ascii="仿宋" w:hAnsi="仿宋" w:eastAsia="仿宋" w:cs="仿宋"/>
          <w:color w:val="auto"/>
          <w:sz w:val="24"/>
          <w:highlight w:val="none"/>
        </w:rPr>
      </w:pP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填表人（招标/采购经办部门）签字盖章：           </w:t>
      </w:r>
    </w:p>
    <w:p>
      <w:pPr>
        <w:wordWrap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ordWrap w:val="0"/>
        <w:jc w:val="center"/>
        <w:rPr>
          <w:rFonts w:ascii="仿宋" w:hAnsi="仿宋" w:eastAsia="仿宋" w:cs="仿宋"/>
          <w:color w:val="auto"/>
          <w:sz w:val="24"/>
          <w:highlight w:val="none"/>
        </w:rPr>
      </w:pPr>
    </w:p>
    <w:p>
      <w:pPr>
        <w:wordWrap w:val="0"/>
        <w:jc w:val="center"/>
        <w:rPr>
          <w:rFonts w:ascii="仿宋" w:hAnsi="仿宋" w:eastAsia="仿宋" w:cs="仿宋_GB2312"/>
          <w:b/>
          <w:color w:val="auto"/>
          <w:sz w:val="36"/>
          <w:szCs w:val="20"/>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 xml:space="preserve"> 日期：       </w:t>
      </w:r>
    </w:p>
    <w:p>
      <w:pPr>
        <w:pStyle w:val="25"/>
        <w:rPr>
          <w:color w:val="auto"/>
          <w:highlight w:val="none"/>
          <w:lang w:val="en-US"/>
        </w:rPr>
      </w:pPr>
    </w:p>
    <w:p>
      <w:pPr>
        <w:tabs>
          <w:tab w:val="left" w:pos="2996"/>
        </w:tabs>
        <w:spacing w:line="440" w:lineRule="exact"/>
        <w:rPr>
          <w:rFonts w:ascii="仿宋" w:hAnsi="仿宋" w:eastAsia="仿宋" w:cs="仿宋"/>
          <w:b/>
          <w:bCs/>
          <w:color w:val="auto"/>
          <w:sz w:val="32"/>
          <w:szCs w:val="32"/>
          <w:highlight w:val="none"/>
        </w:rPr>
      </w:pPr>
      <w:bookmarkStart w:id="512" w:name="_bookmark50"/>
      <w:bookmarkEnd w:id="512"/>
      <w:r>
        <w:rPr>
          <w:rFonts w:hint="eastAsia" w:ascii="仿宋" w:hAnsi="仿宋" w:eastAsia="仿宋" w:cs="仿宋"/>
          <w:b/>
          <w:bCs/>
          <w:color w:val="auto"/>
          <w:sz w:val="32"/>
          <w:szCs w:val="32"/>
          <w:highlight w:val="none"/>
        </w:rPr>
        <w:t>合同附件三</w:t>
      </w:r>
    </w:p>
    <w:p>
      <w:pPr>
        <w:tabs>
          <w:tab w:val="left" w:pos="2996"/>
        </w:tabs>
        <w:spacing w:line="44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廉政协议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09" w:type="dxa"/>
            <w:vAlign w:val="center"/>
          </w:tcPr>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8909" w:type="dxa"/>
            <w:vAlign w:val="center"/>
          </w:tcPr>
          <w:p>
            <w:pPr>
              <w:tabs>
                <w:tab w:val="left" w:pos="6570"/>
              </w:tabs>
              <w:spacing w:line="360" w:lineRule="auto"/>
              <w:rPr>
                <w:rFonts w:ascii="仿宋" w:hAnsi="仿宋" w:eastAsia="仿宋" w:cs="仿宋"/>
                <w:b/>
                <w:bCs/>
                <w:color w:val="auto"/>
                <w:sz w:val="24"/>
                <w:highlight w:val="none"/>
                <w:shd w:val="clear" w:color="auto" w:fill="FFFFFF"/>
              </w:rPr>
            </w:pPr>
            <w:r>
              <w:rPr>
                <w:rFonts w:hint="eastAsia" w:ascii="仿宋" w:hAnsi="仿宋" w:eastAsia="仿宋" w:cs="仿宋"/>
                <w:color w:val="auto"/>
                <w:sz w:val="24"/>
                <w:highlight w:val="none"/>
                <w:shd w:val="clear" w:color="auto" w:fill="FFFFFF"/>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8909" w:type="dxa"/>
            <w:vAlign w:val="center"/>
          </w:tcPr>
          <w:p>
            <w:pPr>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9" w:type="dxa"/>
            <w:vAlign w:val="center"/>
          </w:tcPr>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09" w:type="dxa"/>
            <w:vAlign w:val="center"/>
          </w:tcPr>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09" w:type="dxa"/>
            <w:vAlign w:val="center"/>
          </w:tcPr>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甲方项目负责人：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9" w:type="dxa"/>
            <w:vAlign w:val="center"/>
          </w:tcPr>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乙方项目负责人：                  电话：</w:t>
            </w:r>
          </w:p>
        </w:tc>
      </w:tr>
    </w:tbl>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为加强廉政建设，规范双方的各项活动，防止发生各种谋取不正当利益的违法违纪行为，保护国家、集体和当事人的合法权益，根据国家有关法律法规和廉政建设责任制度规定，特签订廉政协议。</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第一条  甲、乙双方约定：</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（一）甲、乙双方应共同严格遵守国家和省市以及委托人主管部门关于市场准入、项目招标投标、市场经济活动等有关法律、法规和相关政策，以及项目廉政建设的各项规定。</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（二）甲、乙双方应认真执行双方签订的合同文件，自觉按合同约定履行责任。</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（三）甲、乙双方的业务活动必须坚持公开、公平、公正、诚信、透明的原则（除法律法规另有规定者外）。不得为获取不正当的利益，损害国家、集体和对方利益；不得违反管理相关规章制度。</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（四）甲、乙双方有对本方人员开展廉政告知、廉政教育和职业道德教育的义务。</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（五）甲、乙双方应加强对本方人员廉政监督，建立健全廉政制度，认真严肃查处本方人员违法违纪行为。</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（六）甲、乙双方如发现对方人员在业务活动中有违规、违纪、违法行为的，应及时提醒对方并督促其纠正，或直接向对方法人代表、纪检监察部门及检察机关如实反映情况。</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第二条  乙方的廉政责任</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（一）乙方不得以任何理由向甲方工作人员赠送礼金、有价证券、贵重物品、信用卡及其他支付凭证。</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（二）乙方不得以任何理由或名义向甲方及其工作人员支付回扣、好处费、感谢费等。</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（三）乙方不得以任何理由或名义为甲方及其工作人员报销任何应由甲方个人支付的费用。</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（四）乙方不得以任何理由为甲方及其工作人员购置或长期提供通信工具、交通工具等。</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（五）乙方不得以任何理由为甲方及其工作人员的个人装修住房、婚丧嫁娶、配偶子女的工作安排以及出国（境）、旅游等提供方便。</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（六）乙方不得以任何理由为甲方及其工作人员组织有可能影响公正执行公务的宴请和各类休闲娱乐等活动。</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（七）乙方及其工作人员必须严格按照有关规程办事，不得与其他单位互相串通，损害甲方利益。</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第三条  违约责任</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（二）乙方贿赂甲方人员的，被纪检监察部门或检察机关立案查处的，甲方有权中止项目合同，由此造成甲方的损失以及一切费用均由乙方承担。</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p>
    <w:p>
      <w:pPr>
        <w:tabs>
          <w:tab w:val="left" w:pos="6570"/>
        </w:tabs>
        <w:spacing w:line="360" w:lineRule="auto"/>
        <w:ind w:firstLine="480" w:firstLineChars="200"/>
        <w:rPr>
          <w:rFonts w:ascii="仿宋" w:hAnsi="仿宋" w:eastAsia="仿宋" w:cs="仿宋"/>
          <w:color w:val="auto"/>
          <w:sz w:val="24"/>
          <w:highlight w:val="none"/>
          <w:shd w:val="clear" w:color="auto" w:fill="FFFFFF"/>
        </w:rPr>
      </w:pPr>
    </w:p>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甲方单位：                                    乙方单位（公章）：</w:t>
      </w:r>
    </w:p>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甲方代表：                                    乙方代表（签字）：</w:t>
      </w:r>
    </w:p>
    <w:p>
      <w:pPr>
        <w:tabs>
          <w:tab w:val="left" w:pos="6570"/>
        </w:tabs>
        <w:spacing w:line="360" w:lineRule="auto"/>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电话：                                        电话：</w:t>
      </w:r>
    </w:p>
    <w:p>
      <w:pPr>
        <w:tabs>
          <w:tab w:val="left" w:pos="6570"/>
        </w:tabs>
        <w:spacing w:line="360" w:lineRule="auto"/>
        <w:ind w:firstLine="480" w:firstLineChars="200"/>
        <w:rPr>
          <w:rFonts w:ascii="仿宋" w:hAnsi="仿宋" w:eastAsia="仿宋" w:cs="仿宋"/>
          <w:color w:val="auto"/>
          <w:sz w:val="24"/>
          <w:highlight w:val="none"/>
          <w:shd w:val="clear" w:color="auto" w:fill="FFFFFF"/>
        </w:rPr>
      </w:pPr>
    </w:p>
    <w:p>
      <w:pPr>
        <w:keepNext/>
        <w:keepLines/>
        <w:snapToGrid w:val="0"/>
        <w:spacing w:line="360" w:lineRule="auto"/>
        <w:jc w:val="center"/>
        <w:outlineLvl w:val="0"/>
        <w:rPr>
          <w:rFonts w:ascii="仿宋" w:hAnsi="仿宋" w:eastAsia="仿宋" w:cs="仿宋"/>
          <w:b/>
          <w:bCs/>
          <w:color w:val="auto"/>
          <w:kern w:val="44"/>
          <w:sz w:val="24"/>
          <w:szCs w:val="44"/>
          <w:highlight w:val="none"/>
          <w:shd w:val="clear" w:color="auto" w:fill="FFFFFF"/>
        </w:rPr>
      </w:pPr>
      <w:r>
        <w:rPr>
          <w:rFonts w:hint="eastAsia" w:ascii="仿宋" w:hAnsi="仿宋" w:eastAsia="仿宋" w:cs="仿宋"/>
          <w:b/>
          <w:bCs/>
          <w:color w:val="auto"/>
          <w:kern w:val="44"/>
          <w:sz w:val="24"/>
          <w:szCs w:val="44"/>
          <w:highlight w:val="none"/>
          <w:shd w:val="clear" w:color="auto" w:fill="FFFFFF"/>
        </w:rPr>
        <w:t xml:space="preserve">                                           </w:t>
      </w:r>
      <w:bookmarkStart w:id="513" w:name="_Toc17067"/>
      <w:bookmarkStart w:id="514" w:name="_Toc8887"/>
      <w:bookmarkStart w:id="515" w:name="_Toc28090"/>
      <w:bookmarkStart w:id="516" w:name="_Toc29254"/>
      <w:bookmarkStart w:id="517" w:name="_Toc6211"/>
      <w:r>
        <w:rPr>
          <w:rFonts w:hint="eastAsia" w:ascii="仿宋" w:hAnsi="仿宋" w:eastAsia="仿宋" w:cs="仿宋"/>
          <w:b/>
          <w:bCs/>
          <w:color w:val="auto"/>
          <w:kern w:val="44"/>
          <w:sz w:val="24"/>
          <w:szCs w:val="44"/>
          <w:highlight w:val="none"/>
          <w:shd w:val="clear" w:color="auto" w:fill="FFFFFF"/>
        </w:rPr>
        <w:t>年     月     日</w:t>
      </w:r>
      <w:bookmarkEnd w:id="513"/>
      <w:bookmarkEnd w:id="514"/>
      <w:bookmarkEnd w:id="515"/>
      <w:bookmarkEnd w:id="516"/>
      <w:bookmarkEnd w:id="517"/>
    </w:p>
    <w:p>
      <w:pPr>
        <w:rPr>
          <w:rFonts w:ascii="仿宋" w:hAnsi="仿宋" w:eastAsia="仿宋" w:cs="仿宋"/>
          <w:color w:val="auto"/>
          <w:sz w:val="24"/>
          <w:highlight w:val="none"/>
        </w:rPr>
      </w:pPr>
    </w:p>
    <w:p>
      <w:pPr>
        <w:pStyle w:val="6"/>
        <w:spacing w:line="400" w:lineRule="exact"/>
        <w:rPr>
          <w:rFonts w:ascii="仿宋" w:hAnsi="仿宋" w:eastAsia="仿宋" w:cs="仿宋"/>
          <w:b/>
          <w:bCs/>
          <w:color w:val="auto"/>
          <w:sz w:val="24"/>
          <w:szCs w:val="24"/>
          <w:highlight w:val="none"/>
        </w:rPr>
      </w:pPr>
    </w:p>
    <w:p>
      <w:pPr>
        <w:pStyle w:val="6"/>
        <w:spacing w:line="400" w:lineRule="exact"/>
        <w:rPr>
          <w:rFonts w:ascii="仿宋" w:hAnsi="仿宋" w:eastAsia="仿宋" w:cs="仿宋"/>
          <w:b/>
          <w:bCs/>
          <w:color w:val="auto"/>
          <w:sz w:val="24"/>
          <w:szCs w:val="24"/>
          <w:highlight w:val="none"/>
        </w:rPr>
      </w:pPr>
    </w:p>
    <w:p>
      <w:pPr>
        <w:pStyle w:val="6"/>
        <w:spacing w:line="400" w:lineRule="exact"/>
        <w:rPr>
          <w:rFonts w:ascii="仿宋" w:hAnsi="仿宋" w:eastAsia="仿宋" w:cs="仿宋"/>
          <w:b/>
          <w:bCs/>
          <w:color w:val="auto"/>
          <w:sz w:val="24"/>
          <w:szCs w:val="24"/>
          <w:highlight w:val="none"/>
        </w:rPr>
      </w:pPr>
    </w:p>
    <w:p>
      <w:pPr>
        <w:pStyle w:val="6"/>
        <w:spacing w:line="400" w:lineRule="exact"/>
        <w:rPr>
          <w:rFonts w:ascii="仿宋" w:hAnsi="仿宋" w:eastAsia="仿宋" w:cs="仿宋"/>
          <w:b/>
          <w:bCs/>
          <w:color w:val="auto"/>
          <w:sz w:val="24"/>
          <w:szCs w:val="24"/>
          <w:highlight w:val="none"/>
        </w:rPr>
      </w:pP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firstLine="321" w:firstLineChars="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widowControl/>
        <w:spacing w:line="360" w:lineRule="auto"/>
        <w:ind w:left="150" w:firstLine="321" w:firstLineChars="100"/>
        <w:rPr>
          <w:rFonts w:hint="eastAsia" w:ascii="仿宋" w:hAnsi="仿宋" w:eastAsia="仿宋" w:cs="仿宋"/>
          <w:b/>
          <w:color w:val="auto"/>
          <w:kern w:val="0"/>
          <w:sz w:val="32"/>
          <w:szCs w:val="32"/>
          <w:highlight w:val="none"/>
        </w:rPr>
      </w:pPr>
    </w:p>
    <w:p>
      <w:pPr>
        <w:widowControl/>
        <w:spacing w:line="360" w:lineRule="auto"/>
        <w:ind w:left="150" w:firstLine="321" w:firstLineChars="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outlineLvl w:val="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（3）符合性审查资料…………………………………………………………（页码）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（4）投标人业绩………………………………………………………………（页码）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（5）项目负责人业绩…………………………………………………………（页码）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（6）项目负责人能力…………………………………………………………（页码）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（7）项目组人员配置及分工（需提供拟派本项目人员汇总表，驻场各专业人员须单独注明，项目组人员专业结构搭配合理）……………………………… （页码）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（8）全过程跟踪审计服务大纲………………………………………………（页码）</w:t>
      </w:r>
    </w:p>
    <w:p>
      <w:pPr>
        <w:snapToGrid w:val="0"/>
        <w:spacing w:line="360" w:lineRule="auto"/>
        <w:ind w:left="479" w:leftChars="228"/>
        <w:jc w:val="left"/>
        <w:rPr>
          <w:color w:val="auto"/>
          <w:highlight w:val="none"/>
        </w:rPr>
      </w:pPr>
      <w:r>
        <w:rPr>
          <w:rFonts w:hint="eastAsia" w:ascii="仿宋" w:hAnsi="仿宋" w:eastAsia="仿宋" w:cs="仿宋"/>
          <w:color w:val="auto"/>
          <w:sz w:val="24"/>
          <w:highlight w:val="none"/>
        </w:rPr>
        <w:t>（9）全过程跟踪审计服务措施………………………………………………（页码）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（10）全过程跟踪审计服务的疑难点考虑……………………………………（页码）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（11）对全过程跟踪审计服务的合理化建议…………………………………（页码）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（12）商务技术偏离表 ………………………………………………………（页码）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 xml:space="preserve"> ……………………………………（页码）</w:t>
      </w:r>
    </w:p>
    <w:p>
      <w:pPr>
        <w:snapToGrid w:val="0"/>
        <w:spacing w:line="360" w:lineRule="auto"/>
        <w:ind w:left="479" w:leftChars="228"/>
        <w:jc w:val="left"/>
        <w:rPr>
          <w:rFonts w:ascii="仿宋" w:hAnsi="仿宋" w:eastAsia="仿宋" w:cs="仿宋"/>
          <w:color w:val="auto"/>
          <w:sz w:val="24"/>
          <w:highlight w:val="none"/>
        </w:rPr>
      </w:pPr>
      <w:r>
        <w:rPr>
          <w:rFonts w:hint="eastAsia" w:ascii="仿宋" w:hAnsi="仿宋" w:eastAsia="仿宋" w:cs="仿宋"/>
          <w:color w:val="auto"/>
          <w:sz w:val="24"/>
          <w:highlight w:val="none"/>
        </w:rPr>
        <w:t>（14）投标方针对评分规则需要说明的其他文件和说明（格式自拟） …（页码）</w:t>
      </w: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2.2.4投标人业绩；</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2.2.5项目负责人业绩；</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2.2.6项目负责人能力；</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2.2.7项目组人员配置及分工（需提供拟派本项目人员汇总表，驻场各专业人员须单独注明，项目组人员专业结构搭配合理）；</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2.2.8全过程跟踪审计服务大纲；</w:t>
      </w:r>
    </w:p>
    <w:p>
      <w:pPr>
        <w:snapToGrid w:val="0"/>
        <w:spacing w:line="360" w:lineRule="auto"/>
        <w:ind w:firstLine="960" w:firstLineChars="400"/>
        <w:rPr>
          <w:color w:val="auto"/>
          <w:highlight w:val="none"/>
        </w:rPr>
      </w:pPr>
      <w:r>
        <w:rPr>
          <w:rFonts w:hint="eastAsia" w:ascii="仿宋" w:hAnsi="仿宋" w:eastAsia="仿宋" w:cs="仿宋"/>
          <w:color w:val="auto"/>
          <w:sz w:val="24"/>
          <w:highlight w:val="none"/>
        </w:rPr>
        <w:t>2.2.9全过程跟踪审计服务措施；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2.2.10全过程跟踪审计服务的疑难点考虑；</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2.2.11对全过程跟踪审计服务的合理化建议；</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2.2.12商务技术偏离表；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2.2.13</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 xml:space="preserve">2.2.14投标方针对评分规则需要说明的其他文件和说明（格式自拟）。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511" w:firstLineChars="1093"/>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b/>
          <w:color w:val="auto"/>
          <w:kern w:val="0"/>
          <w:sz w:val="32"/>
          <w:szCs w:val="32"/>
          <w:highlight w:val="none"/>
        </w:rPr>
        <w:t xml:space="preserve"> </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9207" w:type="dxa"/>
          </w:tcPr>
          <w:p>
            <w:pPr>
              <w:pStyle w:val="14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pPr>
        <w:jc w:val="center"/>
        <w:rPr>
          <w:rFonts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2"/>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bCs/>
          <w:color w:val="auto"/>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jc w:val="center"/>
        <w:rPr>
          <w:rFonts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numPr>
          <w:ilvl w:val="0"/>
          <w:numId w:val="14"/>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87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557"/>
        <w:gridCol w:w="2909"/>
        <w:gridCol w:w="16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jc w:val="center"/>
        </w:trPr>
        <w:tc>
          <w:tcPr>
            <w:tcW w:w="709" w:type="dxa"/>
            <w:vAlign w:val="center"/>
          </w:tcPr>
          <w:p>
            <w:pPr>
              <w:jc w:val="center"/>
              <w:rPr>
                <w:rFonts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序号</w:t>
            </w:r>
          </w:p>
        </w:tc>
        <w:tc>
          <w:tcPr>
            <w:tcW w:w="3557" w:type="dxa"/>
            <w:vAlign w:val="center"/>
          </w:tcPr>
          <w:p>
            <w:pPr>
              <w:jc w:val="center"/>
              <w:rPr>
                <w:rFonts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名称</w:t>
            </w:r>
          </w:p>
        </w:tc>
        <w:tc>
          <w:tcPr>
            <w:tcW w:w="2909" w:type="dxa"/>
            <w:vAlign w:val="center"/>
          </w:tcPr>
          <w:p>
            <w:pPr>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报价</w:t>
            </w:r>
          </w:p>
        </w:tc>
        <w:tc>
          <w:tcPr>
            <w:tcW w:w="1622" w:type="dxa"/>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8" w:hRule="atLeast"/>
          <w:tblHeader/>
          <w:jc w:val="center"/>
        </w:trPr>
        <w:tc>
          <w:tcPr>
            <w:tcW w:w="709"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557" w:type="dxa"/>
            <w:vAlign w:val="center"/>
          </w:tcPr>
          <w:p>
            <w:pPr>
              <w:adjustRightInd/>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杭州市第一人民医院新院区建设工程全过程跟踪审计服务项目</w:t>
            </w:r>
          </w:p>
        </w:tc>
        <w:tc>
          <w:tcPr>
            <w:tcW w:w="29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c>
          <w:tcPr>
            <w:tcW w:w="162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8" w:hRule="atLeast"/>
          <w:tblHeader/>
          <w:jc w:val="center"/>
        </w:trPr>
        <w:tc>
          <w:tcPr>
            <w:tcW w:w="4266" w:type="dxa"/>
            <w:gridSpan w:val="2"/>
            <w:vAlign w:val="center"/>
          </w:tcPr>
          <w:p>
            <w:pPr>
              <w:spacing w:line="360" w:lineRule="auto"/>
              <w:jc w:val="center"/>
              <w:rPr>
                <w:rFonts w:hint="eastAsia" w:ascii="仿宋" w:hAnsi="仿宋" w:eastAsia="仿宋" w:cs="仿宋"/>
                <w:color w:val="auto"/>
                <w:sz w:val="24"/>
                <w:highlight w:val="none"/>
              </w:rPr>
            </w:pPr>
            <w:r>
              <w:rPr>
                <w:rFonts w:hint="eastAsia" w:ascii="仿宋_GB2312" w:hAnsi="仿宋" w:eastAsia="仿宋_GB2312" w:cs="仿宋_GB2312"/>
                <w:b/>
                <w:sz w:val="24"/>
              </w:rPr>
              <w:t>投标报价（小写）</w:t>
            </w:r>
          </w:p>
        </w:tc>
        <w:tc>
          <w:tcPr>
            <w:tcW w:w="2909" w:type="dxa"/>
            <w:vAlign w:val="center"/>
          </w:tcPr>
          <w:p>
            <w:pPr>
              <w:rPr>
                <w:rFonts w:hint="eastAsia" w:ascii="仿宋" w:hAnsi="仿宋" w:eastAsia="仿宋" w:cs="仿宋"/>
                <w:color w:val="auto"/>
                <w:sz w:val="24"/>
                <w:highlight w:val="none"/>
                <w:u w:val="single"/>
              </w:rPr>
            </w:pPr>
          </w:p>
        </w:tc>
        <w:tc>
          <w:tcPr>
            <w:tcW w:w="1622"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8" w:hRule="atLeast"/>
          <w:tblHeader/>
          <w:jc w:val="center"/>
        </w:trPr>
        <w:tc>
          <w:tcPr>
            <w:tcW w:w="4266" w:type="dxa"/>
            <w:gridSpan w:val="2"/>
            <w:vAlign w:val="center"/>
          </w:tcPr>
          <w:p>
            <w:pPr>
              <w:spacing w:line="360" w:lineRule="auto"/>
              <w:jc w:val="center"/>
              <w:rPr>
                <w:rFonts w:hint="eastAsia" w:ascii="仿宋" w:hAnsi="仿宋" w:eastAsia="仿宋" w:cs="仿宋"/>
                <w:color w:val="auto"/>
                <w:sz w:val="24"/>
                <w:highlight w:val="none"/>
              </w:rPr>
            </w:pPr>
            <w:r>
              <w:rPr>
                <w:rFonts w:hint="eastAsia" w:ascii="仿宋_GB2312" w:hAnsi="仿宋" w:eastAsia="仿宋_GB2312" w:cs="仿宋_GB2312"/>
                <w:b/>
                <w:sz w:val="24"/>
              </w:rPr>
              <w:t>投标报价（大写）</w:t>
            </w:r>
          </w:p>
        </w:tc>
        <w:tc>
          <w:tcPr>
            <w:tcW w:w="2909" w:type="dxa"/>
            <w:vAlign w:val="center"/>
          </w:tcPr>
          <w:p>
            <w:pPr>
              <w:rPr>
                <w:rFonts w:hint="eastAsia" w:ascii="仿宋" w:hAnsi="仿宋" w:eastAsia="仿宋" w:cs="仿宋"/>
                <w:color w:val="auto"/>
                <w:sz w:val="24"/>
                <w:highlight w:val="none"/>
                <w:u w:val="single"/>
              </w:rPr>
            </w:pPr>
          </w:p>
        </w:tc>
        <w:tc>
          <w:tcPr>
            <w:tcW w:w="1622" w:type="dxa"/>
            <w:vAlign w:val="center"/>
          </w:tcPr>
          <w:p>
            <w:pPr>
              <w:jc w:val="center"/>
              <w:rPr>
                <w:rFonts w:ascii="仿宋" w:hAnsi="仿宋" w:eastAsia="仿宋" w:cs="仿宋"/>
                <w:color w:val="auto"/>
                <w:sz w:val="24"/>
                <w:highlight w:val="none"/>
              </w:rPr>
            </w:pPr>
          </w:p>
        </w:tc>
      </w:tr>
    </w:tbl>
    <w:p>
      <w:pPr>
        <w:spacing w:line="360" w:lineRule="auto"/>
        <w:ind w:firstLine="5160" w:firstLineChars="2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5160" w:firstLineChars="215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spacing w:line="360" w:lineRule="auto"/>
        <w:ind w:firstLine="5160" w:firstLineChars="2150"/>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法定代表人或授权代表(签字或盖章)</w:t>
      </w:r>
    </w:p>
    <w:p>
      <w:pPr>
        <w:pStyle w:val="6"/>
        <w:spacing w:line="420" w:lineRule="exact"/>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jc w:val="left"/>
        <w:rPr>
          <w:rFonts w:ascii="仿宋" w:hAnsi="仿宋" w:eastAsia="仿宋" w:cs="仿宋"/>
          <w:color w:val="auto"/>
          <w:szCs w:val="21"/>
          <w:highlight w:val="none"/>
        </w:rPr>
      </w:pPr>
    </w:p>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auto"/>
          <w:sz w:val="32"/>
          <w:szCs w:val="32"/>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kern w:val="0"/>
          <w:sz w:val="24"/>
          <w:szCs w:val="22"/>
          <w:highlight w:val="none"/>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jc w:val="both"/>
        <w:outlineLvl w:val="9"/>
        <w:rPr>
          <w:rFonts w:ascii="仿宋" w:hAnsi="仿宋" w:eastAsia="仿宋" w:cs="仿宋"/>
          <w:color w:val="auto"/>
          <w:kern w:val="2"/>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2"/>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pStyle w:val="2"/>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2"/>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518" w:name="_Toc465665161"/>
      <w:r>
        <w:rPr>
          <w:rFonts w:hint="eastAsia" w:ascii="仿宋" w:hAnsi="仿宋" w:eastAsia="仿宋" w:cs="仿宋"/>
          <w:color w:val="auto"/>
          <w:highlight w:val="none"/>
        </w:rPr>
        <w:t>附件</w:t>
      </w:r>
      <w:bookmarkEnd w:id="518"/>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19" w:name="OLE_LINK14"/>
      <w:bookmarkStart w:id="520" w:name="OLE_LINK13"/>
      <w:r>
        <w:rPr>
          <w:rFonts w:hint="eastAsia" w:ascii="仿宋" w:hAnsi="仿宋" w:eastAsia="仿宋" w:cs="仿宋"/>
          <w:b/>
          <w:color w:val="auto"/>
          <w:spacing w:val="6"/>
          <w:sz w:val="32"/>
          <w:szCs w:val="32"/>
          <w:highlight w:val="none"/>
        </w:rPr>
        <w:t>残疾人福利性单位声明函</w:t>
      </w:r>
    </w:p>
    <w:bookmarkEnd w:id="519"/>
    <w:bookmarkEnd w:id="520"/>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21" w:name="_Toc36110187"/>
    <w:bookmarkStart w:id="522" w:name="_Toc91899912"/>
    <w:bookmarkStart w:id="523" w:name="_Toc131845147"/>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54F85"/>
    <w:multiLevelType w:val="singleLevel"/>
    <w:tmpl w:val="94454F85"/>
    <w:lvl w:ilvl="0" w:tentative="0">
      <w:start w:val="1"/>
      <w:numFmt w:val="decimal"/>
      <w:lvlText w:val="(%1)"/>
      <w:lvlJc w:val="left"/>
      <w:pPr>
        <w:ind w:left="425" w:hanging="425"/>
      </w:pPr>
      <w:rPr>
        <w:rFonts w:hint="default"/>
      </w:rPr>
    </w:lvl>
  </w:abstractNum>
  <w:abstractNum w:abstractNumId="1">
    <w:nsid w:val="9751A9AA"/>
    <w:multiLevelType w:val="singleLevel"/>
    <w:tmpl w:val="9751A9AA"/>
    <w:lvl w:ilvl="0" w:tentative="0">
      <w:start w:val="1"/>
      <w:numFmt w:val="decimalEnclosedCircleChinese"/>
      <w:suff w:val="nothing"/>
      <w:lvlText w:val="%1　"/>
      <w:lvlJc w:val="left"/>
      <w:pPr>
        <w:ind w:left="0" w:firstLine="400"/>
      </w:pPr>
      <w:rPr>
        <w:rFonts w:hint="eastAsia"/>
      </w:rPr>
    </w:lvl>
  </w:abstractNum>
  <w:abstractNum w:abstractNumId="2">
    <w:nsid w:val="A09A07B5"/>
    <w:multiLevelType w:val="singleLevel"/>
    <w:tmpl w:val="A09A07B5"/>
    <w:lvl w:ilvl="0" w:tentative="0">
      <w:start w:val="1"/>
      <w:numFmt w:val="decimal"/>
      <w:lvlText w:val="%1)"/>
      <w:lvlJc w:val="left"/>
      <w:pPr>
        <w:tabs>
          <w:tab w:val="left" w:pos="312"/>
        </w:tabs>
      </w:pPr>
    </w:lvl>
  </w:abstractNum>
  <w:abstractNum w:abstractNumId="3">
    <w:nsid w:val="A8B2ED77"/>
    <w:multiLevelType w:val="singleLevel"/>
    <w:tmpl w:val="A8B2ED77"/>
    <w:lvl w:ilvl="0" w:tentative="0">
      <w:start w:val="1"/>
      <w:numFmt w:val="decimal"/>
      <w:suff w:val="nothing"/>
      <w:lvlText w:val="%1）"/>
      <w:lvlJc w:val="left"/>
    </w:lvl>
  </w:abstractNum>
  <w:abstractNum w:abstractNumId="4">
    <w:nsid w:val="C3F7A8E4"/>
    <w:multiLevelType w:val="singleLevel"/>
    <w:tmpl w:val="C3F7A8E4"/>
    <w:lvl w:ilvl="0" w:tentative="0">
      <w:start w:val="3"/>
      <w:numFmt w:val="chineseCounting"/>
      <w:suff w:val="space"/>
      <w:lvlText w:val="第%1部分"/>
      <w:lvlJc w:val="left"/>
      <w:rPr>
        <w:rFonts w:hint="eastAsia"/>
      </w:rPr>
    </w:lvl>
  </w:abstractNum>
  <w:abstractNum w:abstractNumId="5">
    <w:nsid w:val="E5DF19A6"/>
    <w:multiLevelType w:val="singleLevel"/>
    <w:tmpl w:val="E5DF19A6"/>
    <w:lvl w:ilvl="0" w:tentative="0">
      <w:start w:val="1"/>
      <w:numFmt w:val="decimal"/>
      <w:lvlText w:val="%1)"/>
      <w:lvlJc w:val="left"/>
      <w:pPr>
        <w:tabs>
          <w:tab w:val="left" w:pos="420"/>
        </w:tabs>
        <w:ind w:left="845" w:hanging="425"/>
      </w:pPr>
      <w:rPr>
        <w:rFonts w:hint="default"/>
      </w:rPr>
    </w:lvl>
  </w:abstractNum>
  <w:abstractNum w:abstractNumId="6">
    <w:nsid w:val="F69F4742"/>
    <w:multiLevelType w:val="singleLevel"/>
    <w:tmpl w:val="F69F4742"/>
    <w:lvl w:ilvl="0" w:tentative="0">
      <w:start w:val="1"/>
      <w:numFmt w:val="decimal"/>
      <w:lvlText w:val="%1)"/>
      <w:lvlJc w:val="left"/>
      <w:pPr>
        <w:tabs>
          <w:tab w:val="left" w:pos="420"/>
        </w:tabs>
        <w:ind w:left="845" w:hanging="425"/>
      </w:pPr>
      <w:rPr>
        <w:rFonts w:hint="default"/>
      </w:rPr>
    </w:lvl>
  </w:abstractNum>
  <w:abstractNum w:abstractNumId="7">
    <w:nsid w:val="0BD28E89"/>
    <w:multiLevelType w:val="multilevel"/>
    <w:tmpl w:val="0BD28E89"/>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8">
    <w:nsid w:val="25324536"/>
    <w:multiLevelType w:val="singleLevel"/>
    <w:tmpl w:val="25324536"/>
    <w:lvl w:ilvl="0" w:tentative="0">
      <w:start w:val="1"/>
      <w:numFmt w:val="decimal"/>
      <w:lvlText w:val="(%1)"/>
      <w:lvlJc w:val="left"/>
      <w:pPr>
        <w:tabs>
          <w:tab w:val="left" w:pos="420"/>
        </w:tabs>
        <w:ind w:left="845" w:hanging="425"/>
      </w:pPr>
      <w:rPr>
        <w:rFonts w:hint="default"/>
      </w:rPr>
    </w:lvl>
  </w:abstractNum>
  <w:abstractNum w:abstractNumId="9">
    <w:nsid w:val="38284220"/>
    <w:multiLevelType w:val="singleLevel"/>
    <w:tmpl w:val="38284220"/>
    <w:lvl w:ilvl="0" w:tentative="0">
      <w:start w:val="1"/>
      <w:numFmt w:val="decimalEnclosedCircleChinese"/>
      <w:suff w:val="nothing"/>
      <w:lvlText w:val="%1　"/>
      <w:lvlJc w:val="left"/>
      <w:pPr>
        <w:ind w:left="0" w:firstLine="400"/>
      </w:pPr>
      <w:rPr>
        <w:rFonts w:hint="eastAsia"/>
      </w:rPr>
    </w:lvl>
  </w:abstractNum>
  <w:abstractNum w:abstractNumId="10">
    <w:nsid w:val="4FE82E1F"/>
    <w:multiLevelType w:val="multilevel"/>
    <w:tmpl w:val="4FE82E1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68294D6"/>
    <w:multiLevelType w:val="singleLevel"/>
    <w:tmpl w:val="568294D6"/>
    <w:lvl w:ilvl="0" w:tentative="0">
      <w:start w:val="1"/>
      <w:numFmt w:val="decimal"/>
      <w:suff w:val="nothing"/>
      <w:lvlText w:val="%1）"/>
      <w:lvlJc w:val="left"/>
    </w:lvl>
  </w:abstractNum>
  <w:abstractNum w:abstractNumId="12">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CA77204"/>
    <w:multiLevelType w:val="singleLevel"/>
    <w:tmpl w:val="6CA77204"/>
    <w:lvl w:ilvl="0" w:tentative="0">
      <w:start w:val="1"/>
      <w:numFmt w:val="decimal"/>
      <w:suff w:val="nothing"/>
      <w:lvlText w:val="（%1）"/>
      <w:lvlJc w:val="left"/>
    </w:lvl>
  </w:abstractNum>
  <w:num w:numId="1">
    <w:abstractNumId w:val="12"/>
  </w:num>
  <w:num w:numId="2">
    <w:abstractNumId w:val="4"/>
  </w:num>
  <w:num w:numId="3">
    <w:abstractNumId w:val="3"/>
  </w:num>
  <w:num w:numId="4">
    <w:abstractNumId w:val="6"/>
  </w:num>
  <w:num w:numId="5">
    <w:abstractNumId w:val="5"/>
  </w:num>
  <w:num w:numId="6">
    <w:abstractNumId w:val="11"/>
  </w:num>
  <w:num w:numId="7">
    <w:abstractNumId w:val="2"/>
  </w:num>
  <w:num w:numId="8">
    <w:abstractNumId w:val="1"/>
  </w:num>
  <w:num w:numId="9">
    <w:abstractNumId w:val="9"/>
  </w:num>
  <w:num w:numId="10">
    <w:abstractNumId w:val="7"/>
  </w:num>
  <w:num w:numId="11">
    <w:abstractNumId w:val="10"/>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4DD7"/>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C7A"/>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00"/>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64F"/>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0CC"/>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3BB"/>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0A6"/>
    <w:rsid w:val="00680326"/>
    <w:rsid w:val="00680714"/>
    <w:rsid w:val="0068071D"/>
    <w:rsid w:val="00680C6B"/>
    <w:rsid w:val="006811F3"/>
    <w:rsid w:val="00681240"/>
    <w:rsid w:val="00683068"/>
    <w:rsid w:val="00683B1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025"/>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071"/>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8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3FE"/>
    <w:rsid w:val="008B67E6"/>
    <w:rsid w:val="008B69B8"/>
    <w:rsid w:val="008B7042"/>
    <w:rsid w:val="008B770C"/>
    <w:rsid w:val="008C0325"/>
    <w:rsid w:val="008C094A"/>
    <w:rsid w:val="008C1570"/>
    <w:rsid w:val="008C1792"/>
    <w:rsid w:val="008C17B2"/>
    <w:rsid w:val="008C1E3E"/>
    <w:rsid w:val="008C2059"/>
    <w:rsid w:val="008C21D0"/>
    <w:rsid w:val="008C26D3"/>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FB5"/>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AA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2B67"/>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CE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F91"/>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54F"/>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7"/>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DB3"/>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174DB"/>
    <w:rsid w:val="036634D2"/>
    <w:rsid w:val="03DD35E4"/>
    <w:rsid w:val="04076900"/>
    <w:rsid w:val="041A5A3B"/>
    <w:rsid w:val="042311BA"/>
    <w:rsid w:val="042B157A"/>
    <w:rsid w:val="048F763B"/>
    <w:rsid w:val="049F330E"/>
    <w:rsid w:val="049F51EA"/>
    <w:rsid w:val="04AA775C"/>
    <w:rsid w:val="04AF1889"/>
    <w:rsid w:val="04F605AC"/>
    <w:rsid w:val="04F66F48"/>
    <w:rsid w:val="05251E14"/>
    <w:rsid w:val="05A16594"/>
    <w:rsid w:val="05A7762D"/>
    <w:rsid w:val="05FF7FA1"/>
    <w:rsid w:val="060E5941"/>
    <w:rsid w:val="06110FAF"/>
    <w:rsid w:val="06493CA7"/>
    <w:rsid w:val="065A6178"/>
    <w:rsid w:val="066F1CF3"/>
    <w:rsid w:val="06930BB8"/>
    <w:rsid w:val="070D0A20"/>
    <w:rsid w:val="07245D42"/>
    <w:rsid w:val="07264C62"/>
    <w:rsid w:val="076879C9"/>
    <w:rsid w:val="0779354C"/>
    <w:rsid w:val="08061376"/>
    <w:rsid w:val="083D1205"/>
    <w:rsid w:val="08452D77"/>
    <w:rsid w:val="086401F8"/>
    <w:rsid w:val="08751CAA"/>
    <w:rsid w:val="087E4C40"/>
    <w:rsid w:val="089E30DC"/>
    <w:rsid w:val="08B10BFF"/>
    <w:rsid w:val="08D66AD6"/>
    <w:rsid w:val="08DA33A3"/>
    <w:rsid w:val="08E80F13"/>
    <w:rsid w:val="09021DF6"/>
    <w:rsid w:val="09335624"/>
    <w:rsid w:val="0944690F"/>
    <w:rsid w:val="09535675"/>
    <w:rsid w:val="095F057D"/>
    <w:rsid w:val="09642282"/>
    <w:rsid w:val="09733572"/>
    <w:rsid w:val="09772C16"/>
    <w:rsid w:val="098353B5"/>
    <w:rsid w:val="098767D5"/>
    <w:rsid w:val="09A92330"/>
    <w:rsid w:val="09B06B87"/>
    <w:rsid w:val="09C13146"/>
    <w:rsid w:val="09CC137C"/>
    <w:rsid w:val="09E04166"/>
    <w:rsid w:val="09F74B6A"/>
    <w:rsid w:val="0A1C0718"/>
    <w:rsid w:val="0A3E7710"/>
    <w:rsid w:val="0A5B7E63"/>
    <w:rsid w:val="0AA374A5"/>
    <w:rsid w:val="0AAB7649"/>
    <w:rsid w:val="0ABC5606"/>
    <w:rsid w:val="0B2914E7"/>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A26B6"/>
    <w:rsid w:val="0CC007F7"/>
    <w:rsid w:val="0CFE707A"/>
    <w:rsid w:val="0D063BDA"/>
    <w:rsid w:val="0D08375F"/>
    <w:rsid w:val="0D184CFB"/>
    <w:rsid w:val="0D4A7419"/>
    <w:rsid w:val="0D5F0C90"/>
    <w:rsid w:val="0D827401"/>
    <w:rsid w:val="0D84094E"/>
    <w:rsid w:val="0D8A00E9"/>
    <w:rsid w:val="0D8D589E"/>
    <w:rsid w:val="0DA01C73"/>
    <w:rsid w:val="0DD63300"/>
    <w:rsid w:val="0DF50604"/>
    <w:rsid w:val="0DF702FE"/>
    <w:rsid w:val="0E060E51"/>
    <w:rsid w:val="0E5604B2"/>
    <w:rsid w:val="0E6352A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52C44"/>
    <w:rsid w:val="102307C0"/>
    <w:rsid w:val="104217D9"/>
    <w:rsid w:val="10646583"/>
    <w:rsid w:val="107D4B15"/>
    <w:rsid w:val="108A3C80"/>
    <w:rsid w:val="10C26171"/>
    <w:rsid w:val="10F33360"/>
    <w:rsid w:val="10FC16EA"/>
    <w:rsid w:val="110F1D40"/>
    <w:rsid w:val="11266F33"/>
    <w:rsid w:val="118963A1"/>
    <w:rsid w:val="11C6522A"/>
    <w:rsid w:val="11E104CC"/>
    <w:rsid w:val="11E20309"/>
    <w:rsid w:val="12255233"/>
    <w:rsid w:val="12353CB2"/>
    <w:rsid w:val="12530213"/>
    <w:rsid w:val="127723A9"/>
    <w:rsid w:val="127E16F6"/>
    <w:rsid w:val="12862074"/>
    <w:rsid w:val="12883966"/>
    <w:rsid w:val="129E45B4"/>
    <w:rsid w:val="12D12C5D"/>
    <w:rsid w:val="12D81596"/>
    <w:rsid w:val="13072A44"/>
    <w:rsid w:val="135F4BE2"/>
    <w:rsid w:val="136C6F57"/>
    <w:rsid w:val="139B1A0A"/>
    <w:rsid w:val="139D25C7"/>
    <w:rsid w:val="13BF3CE4"/>
    <w:rsid w:val="141008D8"/>
    <w:rsid w:val="14125FE6"/>
    <w:rsid w:val="146D271E"/>
    <w:rsid w:val="14873E05"/>
    <w:rsid w:val="14982588"/>
    <w:rsid w:val="149A5AD9"/>
    <w:rsid w:val="14A02873"/>
    <w:rsid w:val="14A7619D"/>
    <w:rsid w:val="14AF15E4"/>
    <w:rsid w:val="150536C3"/>
    <w:rsid w:val="150C1963"/>
    <w:rsid w:val="151447A0"/>
    <w:rsid w:val="154A6454"/>
    <w:rsid w:val="15762120"/>
    <w:rsid w:val="15A31DD9"/>
    <w:rsid w:val="165677F9"/>
    <w:rsid w:val="16A8729C"/>
    <w:rsid w:val="16B33777"/>
    <w:rsid w:val="16BC70A7"/>
    <w:rsid w:val="16C6339E"/>
    <w:rsid w:val="172F2D79"/>
    <w:rsid w:val="17557BEF"/>
    <w:rsid w:val="17D349C1"/>
    <w:rsid w:val="181411F4"/>
    <w:rsid w:val="1830729E"/>
    <w:rsid w:val="1870062C"/>
    <w:rsid w:val="18817102"/>
    <w:rsid w:val="18830A15"/>
    <w:rsid w:val="18852B28"/>
    <w:rsid w:val="188B5321"/>
    <w:rsid w:val="19227000"/>
    <w:rsid w:val="195C5947"/>
    <w:rsid w:val="19932372"/>
    <w:rsid w:val="19A20DD5"/>
    <w:rsid w:val="19AE03F1"/>
    <w:rsid w:val="1A071A03"/>
    <w:rsid w:val="1A187CBA"/>
    <w:rsid w:val="1A1F16AE"/>
    <w:rsid w:val="1A3B5C77"/>
    <w:rsid w:val="1A83501C"/>
    <w:rsid w:val="1A984BAD"/>
    <w:rsid w:val="1A9D707B"/>
    <w:rsid w:val="1AB8220E"/>
    <w:rsid w:val="1AE4166C"/>
    <w:rsid w:val="1AF06CFB"/>
    <w:rsid w:val="1AF11B8D"/>
    <w:rsid w:val="1B11359C"/>
    <w:rsid w:val="1B1E4E3E"/>
    <w:rsid w:val="1B2A271F"/>
    <w:rsid w:val="1B530544"/>
    <w:rsid w:val="1B713184"/>
    <w:rsid w:val="1BA209CF"/>
    <w:rsid w:val="1BB4777D"/>
    <w:rsid w:val="1BD75AB8"/>
    <w:rsid w:val="1C0459C2"/>
    <w:rsid w:val="1C1B3B4A"/>
    <w:rsid w:val="1C5A616E"/>
    <w:rsid w:val="1C88086E"/>
    <w:rsid w:val="1CFC62E8"/>
    <w:rsid w:val="1D266CE1"/>
    <w:rsid w:val="1D3963AF"/>
    <w:rsid w:val="1D6A673C"/>
    <w:rsid w:val="1D9247AE"/>
    <w:rsid w:val="1D95533F"/>
    <w:rsid w:val="1D9827F2"/>
    <w:rsid w:val="1DB567EC"/>
    <w:rsid w:val="1DB64ACD"/>
    <w:rsid w:val="1DF51A98"/>
    <w:rsid w:val="1E2955F7"/>
    <w:rsid w:val="1E3D060F"/>
    <w:rsid w:val="1E3F7D2E"/>
    <w:rsid w:val="1E4134E4"/>
    <w:rsid w:val="1E5062B3"/>
    <w:rsid w:val="1E523514"/>
    <w:rsid w:val="1E714A66"/>
    <w:rsid w:val="1E802593"/>
    <w:rsid w:val="1EA703CC"/>
    <w:rsid w:val="1EB7330C"/>
    <w:rsid w:val="1F052CF7"/>
    <w:rsid w:val="1F0A0FF3"/>
    <w:rsid w:val="1F5771FF"/>
    <w:rsid w:val="1F7B5667"/>
    <w:rsid w:val="1FE868A9"/>
    <w:rsid w:val="20034907"/>
    <w:rsid w:val="20173E4B"/>
    <w:rsid w:val="204E48BC"/>
    <w:rsid w:val="208921B3"/>
    <w:rsid w:val="20973DEB"/>
    <w:rsid w:val="20B26522"/>
    <w:rsid w:val="20B44310"/>
    <w:rsid w:val="210F3395"/>
    <w:rsid w:val="211116EB"/>
    <w:rsid w:val="216133FC"/>
    <w:rsid w:val="217A3826"/>
    <w:rsid w:val="21D56769"/>
    <w:rsid w:val="21E52EF3"/>
    <w:rsid w:val="21FB5D7B"/>
    <w:rsid w:val="220B1C3D"/>
    <w:rsid w:val="221D1D20"/>
    <w:rsid w:val="22334A87"/>
    <w:rsid w:val="224D5D49"/>
    <w:rsid w:val="22BE6801"/>
    <w:rsid w:val="2333470B"/>
    <w:rsid w:val="233500BF"/>
    <w:rsid w:val="23377FF7"/>
    <w:rsid w:val="23521C50"/>
    <w:rsid w:val="236B425F"/>
    <w:rsid w:val="23725E97"/>
    <w:rsid w:val="23836192"/>
    <w:rsid w:val="23901F29"/>
    <w:rsid w:val="239C0061"/>
    <w:rsid w:val="23B908A4"/>
    <w:rsid w:val="23C44CD2"/>
    <w:rsid w:val="23E95BEF"/>
    <w:rsid w:val="23FD0064"/>
    <w:rsid w:val="24155E5F"/>
    <w:rsid w:val="24174538"/>
    <w:rsid w:val="245375B0"/>
    <w:rsid w:val="24642C0A"/>
    <w:rsid w:val="24B22173"/>
    <w:rsid w:val="24B95AD9"/>
    <w:rsid w:val="24BE24DA"/>
    <w:rsid w:val="24CF5825"/>
    <w:rsid w:val="24D663E6"/>
    <w:rsid w:val="24D77F2B"/>
    <w:rsid w:val="258B00E2"/>
    <w:rsid w:val="25A917A6"/>
    <w:rsid w:val="25BE27CC"/>
    <w:rsid w:val="25F74A5C"/>
    <w:rsid w:val="26160B5A"/>
    <w:rsid w:val="2628662C"/>
    <w:rsid w:val="262D45DE"/>
    <w:rsid w:val="263317DE"/>
    <w:rsid w:val="26A53EF9"/>
    <w:rsid w:val="26A94201"/>
    <w:rsid w:val="26AC274F"/>
    <w:rsid w:val="27044A29"/>
    <w:rsid w:val="27111B1F"/>
    <w:rsid w:val="271C6CE3"/>
    <w:rsid w:val="271D34C8"/>
    <w:rsid w:val="276142BF"/>
    <w:rsid w:val="27783712"/>
    <w:rsid w:val="27907362"/>
    <w:rsid w:val="27B57D7C"/>
    <w:rsid w:val="28256DF1"/>
    <w:rsid w:val="28333E1D"/>
    <w:rsid w:val="28454BD6"/>
    <w:rsid w:val="28455253"/>
    <w:rsid w:val="28551971"/>
    <w:rsid w:val="285B1C53"/>
    <w:rsid w:val="28911FA3"/>
    <w:rsid w:val="289F7086"/>
    <w:rsid w:val="28C32028"/>
    <w:rsid w:val="28CC490F"/>
    <w:rsid w:val="28DE40AA"/>
    <w:rsid w:val="29095F6E"/>
    <w:rsid w:val="29345E77"/>
    <w:rsid w:val="294C65AD"/>
    <w:rsid w:val="29806583"/>
    <w:rsid w:val="298B3C4C"/>
    <w:rsid w:val="29937C03"/>
    <w:rsid w:val="29F26D24"/>
    <w:rsid w:val="2A15033F"/>
    <w:rsid w:val="2A1662C1"/>
    <w:rsid w:val="2A1C7367"/>
    <w:rsid w:val="2A2815FA"/>
    <w:rsid w:val="2A465D46"/>
    <w:rsid w:val="2A5004CD"/>
    <w:rsid w:val="2A6D6092"/>
    <w:rsid w:val="2A7D76B4"/>
    <w:rsid w:val="2B3109E2"/>
    <w:rsid w:val="2B3A6DE7"/>
    <w:rsid w:val="2B437463"/>
    <w:rsid w:val="2B7807EE"/>
    <w:rsid w:val="2BAB4349"/>
    <w:rsid w:val="2BBF00EC"/>
    <w:rsid w:val="2BC37CFD"/>
    <w:rsid w:val="2BD5237F"/>
    <w:rsid w:val="2BE536CE"/>
    <w:rsid w:val="2BE758D9"/>
    <w:rsid w:val="2C09049E"/>
    <w:rsid w:val="2C0A653C"/>
    <w:rsid w:val="2C191F85"/>
    <w:rsid w:val="2C2068A2"/>
    <w:rsid w:val="2CB9786A"/>
    <w:rsid w:val="2CD45F6A"/>
    <w:rsid w:val="2CE82D6F"/>
    <w:rsid w:val="2D343236"/>
    <w:rsid w:val="2DD15014"/>
    <w:rsid w:val="2DF72DE4"/>
    <w:rsid w:val="2E0220AF"/>
    <w:rsid w:val="2E4B082A"/>
    <w:rsid w:val="2E5D4E86"/>
    <w:rsid w:val="2E5D790B"/>
    <w:rsid w:val="2E9A3C18"/>
    <w:rsid w:val="2EBB0FEE"/>
    <w:rsid w:val="2EBD0A75"/>
    <w:rsid w:val="2EC63002"/>
    <w:rsid w:val="2F0A6B38"/>
    <w:rsid w:val="2F7A2214"/>
    <w:rsid w:val="2F946CCB"/>
    <w:rsid w:val="2FD25781"/>
    <w:rsid w:val="2FFD7934"/>
    <w:rsid w:val="30007114"/>
    <w:rsid w:val="305C411D"/>
    <w:rsid w:val="30733ACD"/>
    <w:rsid w:val="308C3862"/>
    <w:rsid w:val="309379D8"/>
    <w:rsid w:val="30A270F7"/>
    <w:rsid w:val="30DF1478"/>
    <w:rsid w:val="30EC586F"/>
    <w:rsid w:val="319C6071"/>
    <w:rsid w:val="31AC537E"/>
    <w:rsid w:val="31DC5198"/>
    <w:rsid w:val="31E3679B"/>
    <w:rsid w:val="31E732FD"/>
    <w:rsid w:val="32517576"/>
    <w:rsid w:val="32B326B3"/>
    <w:rsid w:val="32BE5C2C"/>
    <w:rsid w:val="32D3696F"/>
    <w:rsid w:val="32EF6438"/>
    <w:rsid w:val="32FB6478"/>
    <w:rsid w:val="33263B3F"/>
    <w:rsid w:val="336963EB"/>
    <w:rsid w:val="33816EEB"/>
    <w:rsid w:val="33912741"/>
    <w:rsid w:val="33EB55CD"/>
    <w:rsid w:val="33EC4C02"/>
    <w:rsid w:val="340D2360"/>
    <w:rsid w:val="3410665D"/>
    <w:rsid w:val="34211214"/>
    <w:rsid w:val="342E63AB"/>
    <w:rsid w:val="3450758E"/>
    <w:rsid w:val="348C3C0A"/>
    <w:rsid w:val="34950E68"/>
    <w:rsid w:val="34986E94"/>
    <w:rsid w:val="34AF62C9"/>
    <w:rsid w:val="34CB4388"/>
    <w:rsid w:val="34D12511"/>
    <w:rsid w:val="34D7686D"/>
    <w:rsid w:val="34F72EA3"/>
    <w:rsid w:val="34FA6E12"/>
    <w:rsid w:val="353D2ACD"/>
    <w:rsid w:val="354568B6"/>
    <w:rsid w:val="358D5588"/>
    <w:rsid w:val="363A3B40"/>
    <w:rsid w:val="365302AE"/>
    <w:rsid w:val="36607A0A"/>
    <w:rsid w:val="366E227C"/>
    <w:rsid w:val="366F2E0D"/>
    <w:rsid w:val="36732C1E"/>
    <w:rsid w:val="367B6A5C"/>
    <w:rsid w:val="36A74ADA"/>
    <w:rsid w:val="36AD60D5"/>
    <w:rsid w:val="36B224F9"/>
    <w:rsid w:val="36B42142"/>
    <w:rsid w:val="36EC0CC9"/>
    <w:rsid w:val="37200A38"/>
    <w:rsid w:val="373F410B"/>
    <w:rsid w:val="375C1681"/>
    <w:rsid w:val="37EE7094"/>
    <w:rsid w:val="38027F56"/>
    <w:rsid w:val="38296C89"/>
    <w:rsid w:val="383002EB"/>
    <w:rsid w:val="38586797"/>
    <w:rsid w:val="38BC0149"/>
    <w:rsid w:val="38D87D1C"/>
    <w:rsid w:val="38E63CAE"/>
    <w:rsid w:val="393077AE"/>
    <w:rsid w:val="39333919"/>
    <w:rsid w:val="39636459"/>
    <w:rsid w:val="396B7F6C"/>
    <w:rsid w:val="39B417A9"/>
    <w:rsid w:val="39FC5695"/>
    <w:rsid w:val="3A006D8E"/>
    <w:rsid w:val="3A3651E5"/>
    <w:rsid w:val="3A3B1D4C"/>
    <w:rsid w:val="3A744481"/>
    <w:rsid w:val="3A8C7BEF"/>
    <w:rsid w:val="3A906246"/>
    <w:rsid w:val="3A980D7D"/>
    <w:rsid w:val="3AFD3086"/>
    <w:rsid w:val="3B111C96"/>
    <w:rsid w:val="3B140424"/>
    <w:rsid w:val="3B2349B7"/>
    <w:rsid w:val="3B616CFF"/>
    <w:rsid w:val="3B6259F6"/>
    <w:rsid w:val="3B976654"/>
    <w:rsid w:val="3BC01EFC"/>
    <w:rsid w:val="3BCA786A"/>
    <w:rsid w:val="3BD31E2F"/>
    <w:rsid w:val="3BF15831"/>
    <w:rsid w:val="3C105946"/>
    <w:rsid w:val="3C471448"/>
    <w:rsid w:val="3C5F759A"/>
    <w:rsid w:val="3C6C525A"/>
    <w:rsid w:val="3C860D00"/>
    <w:rsid w:val="3CBF0D5C"/>
    <w:rsid w:val="3CCE23CB"/>
    <w:rsid w:val="3CD17D17"/>
    <w:rsid w:val="3D2F4655"/>
    <w:rsid w:val="3D3C7F39"/>
    <w:rsid w:val="3D440F09"/>
    <w:rsid w:val="3D4504A0"/>
    <w:rsid w:val="3D8734BB"/>
    <w:rsid w:val="3D9A11D4"/>
    <w:rsid w:val="3D9D1F07"/>
    <w:rsid w:val="3D9D22B9"/>
    <w:rsid w:val="3DA16D89"/>
    <w:rsid w:val="3DA364BE"/>
    <w:rsid w:val="3DAC04C6"/>
    <w:rsid w:val="3DC97B11"/>
    <w:rsid w:val="3DDB1C99"/>
    <w:rsid w:val="3DE041CB"/>
    <w:rsid w:val="3DE23DBE"/>
    <w:rsid w:val="3E0D48F6"/>
    <w:rsid w:val="3E1868B4"/>
    <w:rsid w:val="3E214A0F"/>
    <w:rsid w:val="3E227F19"/>
    <w:rsid w:val="3E2B2A8C"/>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55788"/>
    <w:rsid w:val="418F0D2A"/>
    <w:rsid w:val="41D01505"/>
    <w:rsid w:val="42474939"/>
    <w:rsid w:val="424C3C57"/>
    <w:rsid w:val="42613FF3"/>
    <w:rsid w:val="42660D96"/>
    <w:rsid w:val="428667D2"/>
    <w:rsid w:val="42B45D29"/>
    <w:rsid w:val="42CD1CE0"/>
    <w:rsid w:val="42E1381E"/>
    <w:rsid w:val="42ED6459"/>
    <w:rsid w:val="42FE58DD"/>
    <w:rsid w:val="43174B3D"/>
    <w:rsid w:val="434B790E"/>
    <w:rsid w:val="434D3A87"/>
    <w:rsid w:val="4360274F"/>
    <w:rsid w:val="43977AB6"/>
    <w:rsid w:val="43A3342B"/>
    <w:rsid w:val="43C77C27"/>
    <w:rsid w:val="43DE09EE"/>
    <w:rsid w:val="43DE5960"/>
    <w:rsid w:val="44002FAD"/>
    <w:rsid w:val="449101DD"/>
    <w:rsid w:val="44DE1391"/>
    <w:rsid w:val="44DE7F4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C1B5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756E7"/>
    <w:rsid w:val="49F6167F"/>
    <w:rsid w:val="4A064FA0"/>
    <w:rsid w:val="4A16615C"/>
    <w:rsid w:val="4A4424D7"/>
    <w:rsid w:val="4AB82D0F"/>
    <w:rsid w:val="4AD42A66"/>
    <w:rsid w:val="4AEB7664"/>
    <w:rsid w:val="4AFD7C19"/>
    <w:rsid w:val="4B0567D1"/>
    <w:rsid w:val="4B236AAE"/>
    <w:rsid w:val="4B707271"/>
    <w:rsid w:val="4B9739F7"/>
    <w:rsid w:val="4BEE2503"/>
    <w:rsid w:val="4C245A30"/>
    <w:rsid w:val="4CB6685F"/>
    <w:rsid w:val="4CC367FE"/>
    <w:rsid w:val="4CC748AA"/>
    <w:rsid w:val="4D077F3C"/>
    <w:rsid w:val="4D123355"/>
    <w:rsid w:val="4D232B92"/>
    <w:rsid w:val="4D2A3B31"/>
    <w:rsid w:val="4D312C52"/>
    <w:rsid w:val="4D6A420D"/>
    <w:rsid w:val="4D905305"/>
    <w:rsid w:val="4D964A72"/>
    <w:rsid w:val="4D9C1254"/>
    <w:rsid w:val="4DC4703C"/>
    <w:rsid w:val="4E793892"/>
    <w:rsid w:val="4E800872"/>
    <w:rsid w:val="4EC569ED"/>
    <w:rsid w:val="4ED220A8"/>
    <w:rsid w:val="4ED50EA1"/>
    <w:rsid w:val="4EEC050C"/>
    <w:rsid w:val="4F104EC3"/>
    <w:rsid w:val="4F2B1D4E"/>
    <w:rsid w:val="4F47354A"/>
    <w:rsid w:val="4F71072F"/>
    <w:rsid w:val="4F835B6F"/>
    <w:rsid w:val="4F911C54"/>
    <w:rsid w:val="4FA67C67"/>
    <w:rsid w:val="4FE625E0"/>
    <w:rsid w:val="5021480F"/>
    <w:rsid w:val="5043693E"/>
    <w:rsid w:val="50962ECB"/>
    <w:rsid w:val="50A02AF8"/>
    <w:rsid w:val="50A42E38"/>
    <w:rsid w:val="50A4577F"/>
    <w:rsid w:val="50B25A73"/>
    <w:rsid w:val="50B73D1F"/>
    <w:rsid w:val="50BD5BC9"/>
    <w:rsid w:val="50C11EEE"/>
    <w:rsid w:val="50E97CFC"/>
    <w:rsid w:val="50FA4028"/>
    <w:rsid w:val="510C31D4"/>
    <w:rsid w:val="510D65B7"/>
    <w:rsid w:val="511157AB"/>
    <w:rsid w:val="512742DD"/>
    <w:rsid w:val="5142540C"/>
    <w:rsid w:val="518832C8"/>
    <w:rsid w:val="51A0432A"/>
    <w:rsid w:val="51A86090"/>
    <w:rsid w:val="51B7396D"/>
    <w:rsid w:val="51D05781"/>
    <w:rsid w:val="522E4CC3"/>
    <w:rsid w:val="5244713B"/>
    <w:rsid w:val="52615633"/>
    <w:rsid w:val="527D33AC"/>
    <w:rsid w:val="52977FD4"/>
    <w:rsid w:val="52A25790"/>
    <w:rsid w:val="52A96B6F"/>
    <w:rsid w:val="52AD557B"/>
    <w:rsid w:val="52B45975"/>
    <w:rsid w:val="52CE4DD5"/>
    <w:rsid w:val="52D94AA4"/>
    <w:rsid w:val="52EA3A62"/>
    <w:rsid w:val="52F50BB8"/>
    <w:rsid w:val="53097272"/>
    <w:rsid w:val="53117355"/>
    <w:rsid w:val="53544462"/>
    <w:rsid w:val="5397158E"/>
    <w:rsid w:val="53C26E4D"/>
    <w:rsid w:val="53F67B1E"/>
    <w:rsid w:val="54013861"/>
    <w:rsid w:val="54487265"/>
    <w:rsid w:val="544D6070"/>
    <w:rsid w:val="545B74F3"/>
    <w:rsid w:val="54605E1E"/>
    <w:rsid w:val="54B3506A"/>
    <w:rsid w:val="54CA0D16"/>
    <w:rsid w:val="54DD4057"/>
    <w:rsid w:val="54E7490F"/>
    <w:rsid w:val="54ED6A07"/>
    <w:rsid w:val="550764A4"/>
    <w:rsid w:val="550B2BF6"/>
    <w:rsid w:val="55214EB5"/>
    <w:rsid w:val="552F4781"/>
    <w:rsid w:val="55364EFD"/>
    <w:rsid w:val="555D4828"/>
    <w:rsid w:val="557A4C8B"/>
    <w:rsid w:val="558931E1"/>
    <w:rsid w:val="55923347"/>
    <w:rsid w:val="55925180"/>
    <w:rsid w:val="55983B1B"/>
    <w:rsid w:val="55A8376B"/>
    <w:rsid w:val="55DC29B6"/>
    <w:rsid w:val="55DD4241"/>
    <w:rsid w:val="566B6D1E"/>
    <w:rsid w:val="56E803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85EF9"/>
    <w:rsid w:val="581E0BB1"/>
    <w:rsid w:val="588B707D"/>
    <w:rsid w:val="58917D2F"/>
    <w:rsid w:val="5894085C"/>
    <w:rsid w:val="58AE4F0C"/>
    <w:rsid w:val="58B85899"/>
    <w:rsid w:val="58E363A9"/>
    <w:rsid w:val="59424DEC"/>
    <w:rsid w:val="595E1678"/>
    <w:rsid w:val="596D5BD4"/>
    <w:rsid w:val="597E3DD8"/>
    <w:rsid w:val="59AD18E4"/>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CA3550"/>
    <w:rsid w:val="5D0C4701"/>
    <w:rsid w:val="5D0F0395"/>
    <w:rsid w:val="5D221076"/>
    <w:rsid w:val="5D397964"/>
    <w:rsid w:val="5D5A391C"/>
    <w:rsid w:val="5D5F10C0"/>
    <w:rsid w:val="5D891B7B"/>
    <w:rsid w:val="5D9134B1"/>
    <w:rsid w:val="5DAD38EE"/>
    <w:rsid w:val="5DF2623A"/>
    <w:rsid w:val="5E006862"/>
    <w:rsid w:val="5E0207B9"/>
    <w:rsid w:val="5E1834A1"/>
    <w:rsid w:val="5E261785"/>
    <w:rsid w:val="5E4A7017"/>
    <w:rsid w:val="5E552BBA"/>
    <w:rsid w:val="5E611C10"/>
    <w:rsid w:val="5E663BD9"/>
    <w:rsid w:val="5E6C2F34"/>
    <w:rsid w:val="5EE407AE"/>
    <w:rsid w:val="5EFC7377"/>
    <w:rsid w:val="5F06174D"/>
    <w:rsid w:val="5F337731"/>
    <w:rsid w:val="5F3A3602"/>
    <w:rsid w:val="5F4468BF"/>
    <w:rsid w:val="5F526F5D"/>
    <w:rsid w:val="5F6277C6"/>
    <w:rsid w:val="5F6D0B1D"/>
    <w:rsid w:val="5F7022C0"/>
    <w:rsid w:val="5F8D0B82"/>
    <w:rsid w:val="5FCC5339"/>
    <w:rsid w:val="5FE34A5B"/>
    <w:rsid w:val="5FFE1E36"/>
    <w:rsid w:val="60232584"/>
    <w:rsid w:val="607330CE"/>
    <w:rsid w:val="60825176"/>
    <w:rsid w:val="609F2AC4"/>
    <w:rsid w:val="60C904EA"/>
    <w:rsid w:val="60FA2EE8"/>
    <w:rsid w:val="61054A27"/>
    <w:rsid w:val="610A52BC"/>
    <w:rsid w:val="611D2366"/>
    <w:rsid w:val="61421856"/>
    <w:rsid w:val="615227C4"/>
    <w:rsid w:val="61654E3F"/>
    <w:rsid w:val="6182292A"/>
    <w:rsid w:val="619F7F92"/>
    <w:rsid w:val="61C125A1"/>
    <w:rsid w:val="61F94C26"/>
    <w:rsid w:val="62000E56"/>
    <w:rsid w:val="621C1871"/>
    <w:rsid w:val="623B36D1"/>
    <w:rsid w:val="624F3E49"/>
    <w:rsid w:val="62632286"/>
    <w:rsid w:val="62885958"/>
    <w:rsid w:val="62992D43"/>
    <w:rsid w:val="62D21B79"/>
    <w:rsid w:val="62F40B65"/>
    <w:rsid w:val="62FC2CFE"/>
    <w:rsid w:val="63024505"/>
    <w:rsid w:val="635B1DB5"/>
    <w:rsid w:val="636218DD"/>
    <w:rsid w:val="63711FED"/>
    <w:rsid w:val="63880DDC"/>
    <w:rsid w:val="638D750D"/>
    <w:rsid w:val="63AC6CC0"/>
    <w:rsid w:val="64055776"/>
    <w:rsid w:val="64240056"/>
    <w:rsid w:val="643C2042"/>
    <w:rsid w:val="643E143A"/>
    <w:rsid w:val="648B6EEF"/>
    <w:rsid w:val="64C158BF"/>
    <w:rsid w:val="64CE2EAA"/>
    <w:rsid w:val="653C3090"/>
    <w:rsid w:val="65723276"/>
    <w:rsid w:val="65854376"/>
    <w:rsid w:val="658767BE"/>
    <w:rsid w:val="65892531"/>
    <w:rsid w:val="66195831"/>
    <w:rsid w:val="662E75B1"/>
    <w:rsid w:val="6630539F"/>
    <w:rsid w:val="66342C2E"/>
    <w:rsid w:val="663E784C"/>
    <w:rsid w:val="668B6A45"/>
    <w:rsid w:val="672F3F24"/>
    <w:rsid w:val="673E055F"/>
    <w:rsid w:val="67551CE3"/>
    <w:rsid w:val="675B5F0E"/>
    <w:rsid w:val="67A22552"/>
    <w:rsid w:val="67B22DCC"/>
    <w:rsid w:val="67BE71AA"/>
    <w:rsid w:val="67D90273"/>
    <w:rsid w:val="67DE5875"/>
    <w:rsid w:val="67E55852"/>
    <w:rsid w:val="67EB1AB4"/>
    <w:rsid w:val="67FA1285"/>
    <w:rsid w:val="682B7831"/>
    <w:rsid w:val="68551F4F"/>
    <w:rsid w:val="687C10C9"/>
    <w:rsid w:val="68840C16"/>
    <w:rsid w:val="68876EFB"/>
    <w:rsid w:val="68884654"/>
    <w:rsid w:val="689F444F"/>
    <w:rsid w:val="68B96DBB"/>
    <w:rsid w:val="68CA2805"/>
    <w:rsid w:val="68E30A3E"/>
    <w:rsid w:val="68E937A3"/>
    <w:rsid w:val="693E15D3"/>
    <w:rsid w:val="69627681"/>
    <w:rsid w:val="6977531D"/>
    <w:rsid w:val="69CC2BFF"/>
    <w:rsid w:val="69FD55B8"/>
    <w:rsid w:val="6A0B1C62"/>
    <w:rsid w:val="6A2406C8"/>
    <w:rsid w:val="6A990AB5"/>
    <w:rsid w:val="6ADE0BD1"/>
    <w:rsid w:val="6AE96859"/>
    <w:rsid w:val="6B147746"/>
    <w:rsid w:val="6B24787C"/>
    <w:rsid w:val="6B573233"/>
    <w:rsid w:val="6B5B6274"/>
    <w:rsid w:val="6B935D53"/>
    <w:rsid w:val="6BAA1484"/>
    <w:rsid w:val="6C196F71"/>
    <w:rsid w:val="6C226FCB"/>
    <w:rsid w:val="6C31226F"/>
    <w:rsid w:val="6C3B6AE1"/>
    <w:rsid w:val="6C4920F3"/>
    <w:rsid w:val="6C552F0B"/>
    <w:rsid w:val="6C8C67B7"/>
    <w:rsid w:val="6C9D744C"/>
    <w:rsid w:val="6CD145D0"/>
    <w:rsid w:val="6D167928"/>
    <w:rsid w:val="6D26299B"/>
    <w:rsid w:val="6D4772EC"/>
    <w:rsid w:val="6D827E13"/>
    <w:rsid w:val="6D9078AF"/>
    <w:rsid w:val="6DAA3FEF"/>
    <w:rsid w:val="6DC0172B"/>
    <w:rsid w:val="6DCB690C"/>
    <w:rsid w:val="6DD41A5B"/>
    <w:rsid w:val="6DEC28AA"/>
    <w:rsid w:val="6DF43C2E"/>
    <w:rsid w:val="6DF51CA3"/>
    <w:rsid w:val="6E6010B5"/>
    <w:rsid w:val="6E8335BD"/>
    <w:rsid w:val="6E8E12EF"/>
    <w:rsid w:val="6E972936"/>
    <w:rsid w:val="6ED446C5"/>
    <w:rsid w:val="6F01451D"/>
    <w:rsid w:val="6F0E7F1A"/>
    <w:rsid w:val="6F2A7D94"/>
    <w:rsid w:val="6F3F4551"/>
    <w:rsid w:val="6F8331F1"/>
    <w:rsid w:val="6FAE1A09"/>
    <w:rsid w:val="6FD75BF8"/>
    <w:rsid w:val="700E3A7D"/>
    <w:rsid w:val="7047716A"/>
    <w:rsid w:val="705B6978"/>
    <w:rsid w:val="707723D0"/>
    <w:rsid w:val="70F5661B"/>
    <w:rsid w:val="71360107"/>
    <w:rsid w:val="713B688E"/>
    <w:rsid w:val="715E3769"/>
    <w:rsid w:val="71617872"/>
    <w:rsid w:val="71D43752"/>
    <w:rsid w:val="71F1796A"/>
    <w:rsid w:val="720930EC"/>
    <w:rsid w:val="72154626"/>
    <w:rsid w:val="72262B5D"/>
    <w:rsid w:val="72283FF7"/>
    <w:rsid w:val="722E7212"/>
    <w:rsid w:val="723A0474"/>
    <w:rsid w:val="725923E4"/>
    <w:rsid w:val="72864BF7"/>
    <w:rsid w:val="729023FC"/>
    <w:rsid w:val="72CE0D44"/>
    <w:rsid w:val="72EA5BD6"/>
    <w:rsid w:val="73C0646E"/>
    <w:rsid w:val="742222F5"/>
    <w:rsid w:val="74476126"/>
    <w:rsid w:val="745126A4"/>
    <w:rsid w:val="74706664"/>
    <w:rsid w:val="747F3682"/>
    <w:rsid w:val="749C4185"/>
    <w:rsid w:val="74C8718C"/>
    <w:rsid w:val="75067759"/>
    <w:rsid w:val="752E6DCD"/>
    <w:rsid w:val="753E6B46"/>
    <w:rsid w:val="7551380D"/>
    <w:rsid w:val="75600BE5"/>
    <w:rsid w:val="7564475C"/>
    <w:rsid w:val="7583797F"/>
    <w:rsid w:val="75841868"/>
    <w:rsid w:val="75D20F1D"/>
    <w:rsid w:val="75DA2C18"/>
    <w:rsid w:val="75F54412"/>
    <w:rsid w:val="761D08E0"/>
    <w:rsid w:val="765D347C"/>
    <w:rsid w:val="76826699"/>
    <w:rsid w:val="76C87133"/>
    <w:rsid w:val="76CD08D5"/>
    <w:rsid w:val="76DB4B92"/>
    <w:rsid w:val="76DD2A5B"/>
    <w:rsid w:val="77052AA4"/>
    <w:rsid w:val="77136511"/>
    <w:rsid w:val="77340A39"/>
    <w:rsid w:val="77351FD0"/>
    <w:rsid w:val="77414FEE"/>
    <w:rsid w:val="77472422"/>
    <w:rsid w:val="777F31F2"/>
    <w:rsid w:val="77D1700D"/>
    <w:rsid w:val="77EC04CC"/>
    <w:rsid w:val="7823017C"/>
    <w:rsid w:val="78775729"/>
    <w:rsid w:val="78A42DB0"/>
    <w:rsid w:val="78A656AB"/>
    <w:rsid w:val="78B2245C"/>
    <w:rsid w:val="78E172CC"/>
    <w:rsid w:val="78EA1D1F"/>
    <w:rsid w:val="7904172F"/>
    <w:rsid w:val="790F7E27"/>
    <w:rsid w:val="792A231A"/>
    <w:rsid w:val="7930448F"/>
    <w:rsid w:val="79316829"/>
    <w:rsid w:val="794750A1"/>
    <w:rsid w:val="797E66A9"/>
    <w:rsid w:val="79A17A69"/>
    <w:rsid w:val="79A97383"/>
    <w:rsid w:val="79B32B50"/>
    <w:rsid w:val="79E27E8B"/>
    <w:rsid w:val="79F850CE"/>
    <w:rsid w:val="79FD443C"/>
    <w:rsid w:val="7A1D1975"/>
    <w:rsid w:val="7A3E5150"/>
    <w:rsid w:val="7A4670D6"/>
    <w:rsid w:val="7A534B63"/>
    <w:rsid w:val="7A615382"/>
    <w:rsid w:val="7A67303B"/>
    <w:rsid w:val="7AAB1D04"/>
    <w:rsid w:val="7ABA4368"/>
    <w:rsid w:val="7AD05746"/>
    <w:rsid w:val="7AD9074D"/>
    <w:rsid w:val="7B257FFD"/>
    <w:rsid w:val="7B343476"/>
    <w:rsid w:val="7B565DEF"/>
    <w:rsid w:val="7B5A2978"/>
    <w:rsid w:val="7B5A7E4C"/>
    <w:rsid w:val="7B667AF9"/>
    <w:rsid w:val="7B7468F8"/>
    <w:rsid w:val="7BD867BE"/>
    <w:rsid w:val="7BEE0103"/>
    <w:rsid w:val="7C0A0FE4"/>
    <w:rsid w:val="7C1A6627"/>
    <w:rsid w:val="7C254906"/>
    <w:rsid w:val="7C590818"/>
    <w:rsid w:val="7C595B6B"/>
    <w:rsid w:val="7C7C10F6"/>
    <w:rsid w:val="7C853BEA"/>
    <w:rsid w:val="7C881368"/>
    <w:rsid w:val="7CB551F1"/>
    <w:rsid w:val="7CE27788"/>
    <w:rsid w:val="7D0C32F1"/>
    <w:rsid w:val="7D0F408D"/>
    <w:rsid w:val="7D491C6C"/>
    <w:rsid w:val="7D5429C0"/>
    <w:rsid w:val="7D6E6D43"/>
    <w:rsid w:val="7DB57A34"/>
    <w:rsid w:val="7DE60973"/>
    <w:rsid w:val="7DEF0916"/>
    <w:rsid w:val="7E1E5218"/>
    <w:rsid w:val="7E8258B4"/>
    <w:rsid w:val="7E9A4E1F"/>
    <w:rsid w:val="7EA7723A"/>
    <w:rsid w:val="7EAC032C"/>
    <w:rsid w:val="7ECB6EF2"/>
    <w:rsid w:val="7EF56FBB"/>
    <w:rsid w:val="7F0768EB"/>
    <w:rsid w:val="7F143BEC"/>
    <w:rsid w:val="7F715AF2"/>
    <w:rsid w:val="7F886E69"/>
    <w:rsid w:val="7F9229B1"/>
    <w:rsid w:val="7F9F120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968"/>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33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7"/>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24"/>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字符1"/>
    <w:link w:val="59"/>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列出段落"/>
    <w:basedOn w:val="1"/>
    <w:qFormat/>
    <w:uiPriority w:val="0"/>
    <w:pPr>
      <w:ind w:firstLine="420" w:firstLineChars="200"/>
    </w:pPr>
    <w:rPr>
      <w:rFonts w:ascii="Calibri" w:hAnsi="Calibri"/>
      <w:szCs w:val="22"/>
    </w:rPr>
  </w:style>
  <w:style w:type="character" w:customStyle="1" w:styleId="962">
    <w:name w:val="textcontents1"/>
    <w:qFormat/>
    <w:uiPriority w:val="0"/>
    <w:rPr>
      <w:color w:val="000000"/>
      <w:sz w:val="30"/>
      <w:szCs w:val="30"/>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样式 标题 2节标题 1.1 + 段前: 1 行 段后: 0.5 行"/>
    <w:qFormat/>
    <w:uiPriority w:val="0"/>
    <w:pPr>
      <w:widowControl w:val="0"/>
      <w:tabs>
        <w:tab w:val="left" w:pos="1000"/>
      </w:tabs>
      <w:autoSpaceDE w:val="0"/>
      <w:autoSpaceDN w:val="0"/>
      <w:spacing w:before="50" w:beforeLines="100" w:afterLines="50"/>
      <w:ind w:right="203"/>
      <w:jc w:val="center"/>
      <w:outlineLvl w:val="1"/>
    </w:pPr>
    <w:rPr>
      <w:rFonts w:ascii="宋体" w:hAnsi="宋体" w:eastAsia="宋体" w:cs="宋体"/>
      <w:b/>
      <w:bCs/>
      <w:sz w:val="24"/>
      <w:szCs w:val="24"/>
      <w:lang w:val="zh-CN" w:eastAsia="zh-CN" w:bidi="zh-CN"/>
    </w:rPr>
  </w:style>
  <w:style w:type="character" w:customStyle="1" w:styleId="966">
    <w:name w:val="font141"/>
    <w:basedOn w:val="69"/>
    <w:qFormat/>
    <w:uiPriority w:val="0"/>
    <w:rPr>
      <w:rFonts w:hint="default" w:ascii="Arial" w:hAnsi="Arial" w:cs="Arial"/>
      <w:b/>
      <w:color w:val="000000"/>
      <w:sz w:val="20"/>
      <w:szCs w:val="20"/>
      <w:u w:val="none"/>
    </w:rPr>
  </w:style>
  <w:style w:type="paragraph" w:customStyle="1" w:styleId="967">
    <w:name w:val="zhang"/>
    <w:basedOn w:val="1"/>
    <w:qFormat/>
    <w:uiPriority w:val="0"/>
    <w:pPr>
      <w:widowControl/>
      <w:spacing w:before="100" w:beforeAutospacing="1" w:after="100" w:afterAutospacing="1"/>
      <w:jc w:val="left"/>
    </w:pPr>
    <w:rPr>
      <w:rFonts w:ascii="宋体" w:hAnsi="宋体" w:cs="宋体"/>
      <w:b/>
      <w:bCs/>
      <w:smallCaps/>
      <w:color w:val="000000"/>
      <w:sz w:val="20"/>
    </w:rPr>
  </w:style>
  <w:style w:type="character" w:customStyle="1" w:styleId="968">
    <w:name w:val="副标题 字符1"/>
    <w:link w:val="48"/>
    <w:qFormat/>
    <w:uiPriority w:val="11"/>
    <w:rPr>
      <w:rFonts w:ascii="Times New Roman" w:hAnsi="Times New Roman" w:eastAsia="Times New Roman"/>
      <w:kern w:val="2"/>
      <w:sz w:val="18"/>
      <w:szCs w:val="18"/>
      <w:lang w:val="en-US" w:eastAsia="zh-CN"/>
    </w:rPr>
  </w:style>
  <w:style w:type="paragraph" w:customStyle="1" w:styleId="969">
    <w:name w:val="正文_1_0_0_0"/>
    <w:basedOn w:val="970"/>
    <w:qFormat/>
    <w:uiPriority w:val="0"/>
    <w:rPr>
      <w:rFonts w:ascii="Calibri" w:hAnsi="Calibri" w:eastAsia="宋体"/>
      <w:szCs w:val="21"/>
    </w:rPr>
  </w:style>
  <w:style w:type="paragraph" w:customStyle="1" w:styleId="970">
    <w:name w:val="正文_1_0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48167</Words>
  <Characters>50384</Characters>
  <Lines>403</Lines>
  <Paragraphs>113</Paragraphs>
  <TotalTime>22</TotalTime>
  <ScaleCrop>false</ScaleCrop>
  <LinksUpToDate>false</LinksUpToDate>
  <CharactersWithSpaces>54634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2022-01-12T01:10:00Z</dcterms:created>
  <dc:creator>玥</dc:creator>
  <cp:lastModifiedBy>木林辉辉</cp:lastModifiedBy>
  <cp:lastPrinted>2021-12-27T03:06:00Z</cp:lastPrinted>
  <dcterms:modified xsi:type="dcterms:W3CDTF">2022-04-15T15:40:27Z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FDFDD955E7764394B8733286ADC5ABC6</vt:lpwstr>
  </property>
  <property fmtid="{D5CDD505-2E9C-101B-9397-08002B2CF9AE}" pid="5" name="commondata">
    <vt:lpwstr>eyJoZGlkIjoiZjI3M2EzYTFhZDcxODkzYTliMDFkZjE4NjRiYTA2YTgifQ==</vt:lpwstr>
  </property>
</Properties>
</file>