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color w:val="auto"/>
          <w:sz w:val="24"/>
          <w:highlight w:val="none"/>
        </w:rPr>
      </w:pPr>
    </w:p>
    <w:p>
      <w:pPr>
        <w:adjustRightInd/>
        <w:spacing w:line="360" w:lineRule="auto"/>
        <w:jc w:val="center"/>
        <w:rPr>
          <w:rFonts w:ascii="仿宋" w:hAnsi="仿宋" w:eastAsia="仿宋" w:cs="仿宋"/>
          <w:b/>
          <w:color w:val="auto"/>
          <w:sz w:val="48"/>
          <w:szCs w:val="48"/>
          <w:highlight w:val="none"/>
        </w:rPr>
      </w:pPr>
    </w:p>
    <w:p>
      <w:pPr>
        <w:adjustRightInd/>
        <w:spacing w:line="360" w:lineRule="auto"/>
        <w:jc w:val="center"/>
        <w:rPr>
          <w:rFonts w:ascii="仿宋" w:hAnsi="仿宋" w:eastAsia="仿宋" w:cs="仿宋"/>
          <w:color w:val="auto"/>
          <w:sz w:val="48"/>
          <w:szCs w:val="48"/>
          <w:highlight w:val="none"/>
        </w:rPr>
      </w:pPr>
      <w:r>
        <w:rPr>
          <w:rFonts w:hint="eastAsia" w:ascii="仿宋" w:hAnsi="仿宋" w:eastAsia="仿宋" w:cs="仿宋"/>
          <w:color w:val="auto"/>
          <w:sz w:val="48"/>
          <w:szCs w:val="48"/>
          <w:highlight w:val="none"/>
        </w:rPr>
        <w:t>杭州市第一人民医院新院区建设工程</w:t>
      </w:r>
    </w:p>
    <w:p>
      <w:pPr>
        <w:adjustRightInd/>
        <w:spacing w:line="360" w:lineRule="auto"/>
        <w:jc w:val="center"/>
        <w:rPr>
          <w:rFonts w:ascii="仿宋" w:hAnsi="仿宋" w:eastAsia="仿宋" w:cs="仿宋"/>
          <w:color w:val="auto"/>
          <w:sz w:val="48"/>
          <w:szCs w:val="48"/>
          <w:highlight w:val="none"/>
        </w:rPr>
      </w:pPr>
      <w:r>
        <w:rPr>
          <w:rFonts w:hint="eastAsia" w:ascii="仿宋" w:hAnsi="仿宋" w:eastAsia="仿宋" w:cs="仿宋"/>
          <w:color w:val="auto"/>
          <w:sz w:val="48"/>
          <w:szCs w:val="48"/>
          <w:highlight w:val="none"/>
        </w:rPr>
        <w:t>全过程跟踪审计服务项目</w:t>
      </w:r>
    </w:p>
    <w:p>
      <w:pPr>
        <w:adjustRightInd/>
        <w:spacing w:line="360" w:lineRule="auto"/>
        <w:jc w:val="center"/>
        <w:rPr>
          <w:rFonts w:ascii="仿宋" w:hAnsi="仿宋" w:eastAsia="仿宋" w:cs="仿宋"/>
          <w:b/>
          <w:color w:val="auto"/>
          <w:sz w:val="44"/>
          <w:szCs w:val="44"/>
          <w:highlight w:val="none"/>
        </w:rPr>
      </w:pPr>
      <w:r>
        <w:rPr>
          <w:rFonts w:hint="eastAsia" w:ascii="仿宋" w:hAnsi="仿宋" w:eastAsia="仿宋" w:cs="仿宋"/>
          <w:color w:val="auto"/>
          <w:sz w:val="48"/>
          <w:szCs w:val="48"/>
          <w:highlight w:val="none"/>
        </w:rPr>
        <w:t>招标文件</w:t>
      </w:r>
      <w:r>
        <w:rPr>
          <w:rFonts w:hint="eastAsia" w:ascii="仿宋" w:hAnsi="仿宋" w:eastAsia="仿宋" w:cs="仿宋"/>
          <w:b/>
          <w:color w:val="auto"/>
          <w:sz w:val="44"/>
          <w:szCs w:val="44"/>
          <w:highlight w:val="none"/>
        </w:rPr>
        <w:t>（电子招投标）</w:t>
      </w:r>
    </w:p>
    <w:p>
      <w:pPr>
        <w:snapToGrid w:val="0"/>
        <w:spacing w:line="360" w:lineRule="auto"/>
        <w:jc w:val="cente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编号:GXTC-A1-22360087 </w:t>
      </w:r>
    </w:p>
    <w:p>
      <w:pPr>
        <w:adjustRightInd/>
        <w:spacing w:line="360" w:lineRule="auto"/>
        <w:rPr>
          <w:rFonts w:ascii="仿宋" w:hAnsi="仿宋" w:eastAsia="仿宋" w:cs="仿宋"/>
          <w:color w:val="auto"/>
          <w:sz w:val="28"/>
          <w:szCs w:val="20"/>
          <w:highlight w:val="none"/>
        </w:rPr>
      </w:pPr>
      <w:bookmarkStart w:id="525" w:name="_GoBack"/>
      <w:bookmarkEnd w:id="525"/>
    </w:p>
    <w:p>
      <w:pPr>
        <w:spacing w:line="36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ascii="仿宋" w:hAnsi="仿宋" w:eastAsia="仿宋" w:cs="仿宋"/>
          <w:b/>
          <w:color w:val="auto"/>
          <w:sz w:val="44"/>
          <w:szCs w:val="44"/>
          <w:highlight w:val="none"/>
        </w:rPr>
      </w:pPr>
    </w:p>
    <w:p>
      <w:pPr>
        <w:spacing w:line="360" w:lineRule="auto"/>
        <w:jc w:val="center"/>
        <w:rPr>
          <w:rFonts w:ascii="仿宋" w:hAnsi="仿宋" w:eastAsia="仿宋" w:cs="仿宋"/>
          <w:color w:val="auto"/>
          <w:sz w:val="24"/>
          <w:highlight w:val="none"/>
        </w:rPr>
      </w:pPr>
    </w:p>
    <w:p>
      <w:pPr>
        <w:pStyle w:val="6"/>
        <w:rPr>
          <w:rFonts w:ascii="仿宋" w:hAnsi="仿宋" w:eastAsia="仿宋" w:cs="仿宋"/>
          <w:color w:val="auto"/>
          <w:sz w:val="24"/>
          <w:highlight w:val="none"/>
        </w:rPr>
      </w:pPr>
    </w:p>
    <w:p>
      <w:pPr>
        <w:pStyle w:val="6"/>
        <w:rPr>
          <w:rFonts w:ascii="仿宋" w:hAnsi="仿宋" w:eastAsia="仿宋" w:cs="仿宋"/>
          <w:color w:val="auto"/>
          <w:sz w:val="24"/>
          <w:highlight w:val="none"/>
        </w:rPr>
      </w:pPr>
    </w:p>
    <w:p>
      <w:pPr>
        <w:pStyle w:val="6"/>
        <w:rPr>
          <w:rFonts w:ascii="仿宋" w:hAnsi="仿宋" w:eastAsia="仿宋" w:cs="仿宋"/>
          <w:color w:val="auto"/>
          <w:sz w:val="24"/>
          <w:highlight w:val="none"/>
        </w:rPr>
      </w:pPr>
    </w:p>
    <w:p>
      <w:pPr>
        <w:pStyle w:val="6"/>
        <w:rPr>
          <w:rFonts w:ascii="仿宋" w:hAnsi="仿宋" w:eastAsia="仿宋" w:cs="仿宋"/>
          <w:color w:val="auto"/>
          <w:sz w:val="24"/>
          <w:highlight w:val="none"/>
        </w:rPr>
      </w:pPr>
    </w:p>
    <w:p>
      <w:pPr>
        <w:pStyle w:val="6"/>
        <w:rPr>
          <w:rFonts w:ascii="仿宋" w:hAnsi="仿宋" w:eastAsia="仿宋" w:cs="仿宋"/>
          <w:color w:val="auto"/>
          <w:sz w:val="24"/>
          <w:highlight w:val="none"/>
        </w:rPr>
      </w:pPr>
    </w:p>
    <w:p>
      <w:pPr>
        <w:pStyle w:val="6"/>
        <w:rPr>
          <w:rFonts w:ascii="仿宋" w:hAnsi="仿宋" w:eastAsia="仿宋" w:cs="仿宋"/>
          <w:color w:val="auto"/>
          <w:sz w:val="24"/>
          <w:highlight w:val="none"/>
        </w:rPr>
      </w:pPr>
    </w:p>
    <w:p>
      <w:pPr>
        <w:pStyle w:val="6"/>
        <w:rPr>
          <w:rFonts w:ascii="仿宋" w:hAnsi="仿宋" w:eastAsia="仿宋" w:cs="仿宋"/>
          <w:color w:val="auto"/>
          <w:sz w:val="24"/>
          <w:highlight w:val="none"/>
        </w:rPr>
      </w:pPr>
    </w:p>
    <w:p>
      <w:pPr>
        <w:pStyle w:val="6"/>
        <w:rPr>
          <w:rFonts w:ascii="仿宋" w:hAnsi="仿宋" w:eastAsia="仿宋" w:cs="仿宋"/>
          <w:color w:val="auto"/>
          <w:sz w:val="24"/>
          <w:highlight w:val="none"/>
        </w:rPr>
      </w:pPr>
    </w:p>
    <w:p>
      <w:pPr>
        <w:pStyle w:val="6"/>
        <w:rPr>
          <w:rFonts w:ascii="仿宋" w:hAnsi="仿宋" w:eastAsia="仿宋" w:cs="仿宋"/>
          <w:color w:val="auto"/>
          <w:sz w:val="24"/>
          <w:highlight w:val="none"/>
        </w:rPr>
      </w:pPr>
    </w:p>
    <w:p>
      <w:pPr>
        <w:pStyle w:val="6"/>
        <w:rPr>
          <w:rFonts w:ascii="仿宋" w:hAnsi="仿宋" w:eastAsia="仿宋" w:cs="仿宋"/>
          <w:color w:val="auto"/>
          <w:sz w:val="24"/>
          <w:highlight w:val="none"/>
        </w:rPr>
      </w:pPr>
    </w:p>
    <w:p>
      <w:pPr>
        <w:pStyle w:val="6"/>
        <w:rPr>
          <w:rFonts w:ascii="仿宋" w:hAnsi="仿宋" w:eastAsia="仿宋" w:cs="仿宋"/>
          <w:color w:val="auto"/>
          <w:sz w:val="24"/>
          <w:highlight w:val="none"/>
        </w:rPr>
      </w:pPr>
    </w:p>
    <w:p>
      <w:pPr>
        <w:pStyle w:val="6"/>
        <w:rPr>
          <w:rFonts w:ascii="仿宋" w:hAnsi="仿宋" w:eastAsia="仿宋" w:cs="仿宋"/>
          <w:color w:val="auto"/>
          <w:sz w:val="24"/>
          <w:highlight w:val="none"/>
        </w:rPr>
      </w:pPr>
    </w:p>
    <w:p>
      <w:pPr>
        <w:spacing w:line="360" w:lineRule="auto"/>
        <w:jc w:val="center"/>
        <w:rPr>
          <w:rFonts w:ascii="仿宋" w:hAnsi="仿宋" w:eastAsia="仿宋" w:cs="仿宋"/>
          <w:color w:val="auto"/>
          <w:sz w:val="24"/>
          <w:highlight w:val="none"/>
        </w:rPr>
      </w:pPr>
    </w:p>
    <w:p>
      <w:pPr>
        <w:spacing w:line="360" w:lineRule="auto"/>
        <w:jc w:val="center"/>
        <w:rPr>
          <w:rFonts w:ascii="仿宋" w:hAnsi="仿宋" w:eastAsia="仿宋" w:cs="仿宋"/>
          <w:color w:val="auto"/>
          <w:sz w:val="32"/>
          <w:szCs w:val="32"/>
          <w:highlight w:val="none"/>
        </w:rPr>
      </w:pPr>
    </w:p>
    <w:p>
      <w:pPr>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采购人：杭州市卫生健康事业发展中心</w:t>
      </w:r>
    </w:p>
    <w:p>
      <w:pPr>
        <w:snapToGrid w:val="0"/>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采购代理机构：国信国际工程咨询集团股份有限公司</w:t>
      </w:r>
    </w:p>
    <w:p>
      <w:pPr>
        <w:spacing w:line="360" w:lineRule="auto"/>
        <w:jc w:val="center"/>
        <w:rPr>
          <w:rFonts w:ascii="仿宋" w:hAnsi="仿宋" w:eastAsia="仿宋" w:cs="仿宋"/>
          <w:color w:val="auto"/>
          <w:sz w:val="24"/>
          <w:highlight w:val="none"/>
        </w:rPr>
      </w:pPr>
      <w:r>
        <w:rPr>
          <w:rFonts w:hint="eastAsia" w:ascii="仿宋" w:hAnsi="仿宋" w:eastAsia="仿宋" w:cs="仿宋"/>
          <w:bCs/>
          <w:color w:val="auto"/>
          <w:sz w:val="32"/>
          <w:szCs w:val="32"/>
          <w:highlight w:val="none"/>
        </w:rPr>
        <w:t>二〇二二年</w:t>
      </w:r>
      <w:r>
        <w:rPr>
          <w:rFonts w:hint="eastAsia" w:ascii="仿宋" w:hAnsi="仿宋" w:eastAsia="仿宋" w:cs="仿宋"/>
          <w:bCs/>
          <w:color w:val="auto"/>
          <w:sz w:val="32"/>
          <w:szCs w:val="32"/>
          <w:highlight w:val="none"/>
          <w:lang w:val="en-US" w:eastAsia="zh-CN"/>
        </w:rPr>
        <w:t>四</w:t>
      </w:r>
      <w:r>
        <w:rPr>
          <w:rFonts w:hint="eastAsia" w:ascii="仿宋" w:hAnsi="仿宋" w:eastAsia="仿宋" w:cs="仿宋"/>
          <w:bCs/>
          <w:color w:val="auto"/>
          <w:sz w:val="32"/>
          <w:szCs w:val="32"/>
          <w:highlight w:val="none"/>
        </w:rPr>
        <w:t xml:space="preserve">月 </w:t>
      </w: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ascii="仿宋" w:hAnsi="仿宋" w:eastAsia="仿宋" w:cs="仿宋"/>
          <w:color w:val="auto"/>
          <w:sz w:val="24"/>
          <w:highlight w:val="none"/>
        </w:rPr>
      </w:pPr>
    </w:p>
    <w:p>
      <w:pPr>
        <w:spacing w:line="360" w:lineRule="auto"/>
        <w:jc w:val="center"/>
        <w:rPr>
          <w:rFonts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adjustRightInd/>
        <w:spacing w:line="360" w:lineRule="auto"/>
        <w:jc w:val="center"/>
        <w:outlineLvl w:val="0"/>
        <w:rPr>
          <w:rFonts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杭州市第一人民医院新院区建设工程全过程跟踪审计服务项目的潜在投标人应在政采云平台（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color w:val="auto"/>
          <w:sz w:val="24"/>
          <w:highlight w:val="none"/>
          <w:u w:val="single"/>
        </w:rPr>
        <w:t>2022年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日09点30分</w:t>
      </w:r>
      <w:r>
        <w:rPr>
          <w:rFonts w:hint="eastAsia" w:ascii="仿宋" w:hAnsi="仿宋" w:eastAsia="仿宋" w:cs="仿宋"/>
          <w:bCs/>
          <w:color w:val="auto"/>
          <w:sz w:val="24"/>
          <w:highlight w:val="none"/>
          <w:u w:val="single"/>
        </w:rPr>
        <w:t>00秒</w:t>
      </w:r>
      <w:r>
        <w:rPr>
          <w:rFonts w:hint="eastAsia" w:ascii="仿宋" w:hAnsi="仿宋" w:eastAsia="仿宋" w:cs="仿宋"/>
          <w:bCs/>
          <w:color w:val="auto"/>
          <w:sz w:val="24"/>
          <w:highlight w:val="none"/>
          <w:u w:val="singl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color w:val="auto"/>
          <w:sz w:val="24"/>
          <w:szCs w:val="24"/>
          <w:highlight w:val="none"/>
        </w:rPr>
        <w:t>GXTC-A1-22360087</w:t>
      </w:r>
      <w:r>
        <w:rPr>
          <w:rFonts w:hint="eastAsia" w:ascii="仿宋" w:hAnsi="仿宋" w:eastAsia="仿宋" w:cs="仿宋"/>
          <w:color w:val="auto"/>
          <w:sz w:val="30"/>
          <w:szCs w:val="30"/>
          <w:highlight w:val="none"/>
        </w:rPr>
        <w:t xml:space="preserve"> </w:t>
      </w:r>
    </w:p>
    <w:p>
      <w:pPr>
        <w:spacing w:line="360" w:lineRule="auto"/>
        <w:ind w:firstLine="480"/>
        <w:rPr>
          <w:rFonts w:ascii="仿宋" w:hAnsi="仿宋" w:eastAsia="仿宋" w:cs="仿宋"/>
          <w:color w:val="auto"/>
          <w:sz w:val="24"/>
          <w:highlight w:val="none"/>
        </w:rPr>
      </w:pPr>
      <w:r>
        <w:rPr>
          <w:rFonts w:hint="eastAsia" w:ascii="仿宋" w:hAnsi="仿宋" w:eastAsia="仿宋" w:cs="仿宋"/>
          <w:b/>
          <w:color w:val="auto"/>
          <w:sz w:val="24"/>
          <w:highlight w:val="none"/>
        </w:rPr>
        <w:t>项目名称：</w:t>
      </w:r>
      <w:r>
        <w:rPr>
          <w:rFonts w:hint="eastAsia" w:ascii="仿宋" w:hAnsi="仿宋" w:eastAsia="仿宋" w:cs="仿宋"/>
          <w:color w:val="auto"/>
          <w:sz w:val="24"/>
          <w:highlight w:val="none"/>
        </w:rPr>
        <w:t>杭州市第一人民医院新院区建设工程全过程跟踪审计服务项目</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bCs/>
          <w:color w:val="auto"/>
          <w:sz w:val="24"/>
          <w:highlight w:val="none"/>
        </w:rPr>
        <w:t>5900000</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Cs/>
          <w:color w:val="auto"/>
          <w:sz w:val="24"/>
          <w:highlight w:val="none"/>
        </w:rPr>
        <w:t>5900000</w:t>
      </w:r>
      <w:r>
        <w:rPr>
          <w:rFonts w:hint="eastAsia" w:ascii="仿宋" w:hAnsi="仿宋" w:eastAsia="仿宋" w:cs="仿宋"/>
          <w:color w:val="auto"/>
          <w:sz w:val="24"/>
          <w:highlight w:val="none"/>
        </w:rPr>
        <w:t xml:space="preserve">    </w:t>
      </w:r>
    </w:p>
    <w:p>
      <w:pPr>
        <w:pStyle w:val="16"/>
        <w:spacing w:line="360" w:lineRule="auto"/>
        <w:ind w:firstLine="480"/>
        <w:rPr>
          <w:rFonts w:ascii="仿宋" w:hAnsi="仿宋" w:eastAsia="仿宋" w:cs="仿宋"/>
          <w:b/>
          <w:color w:val="auto"/>
          <w:sz w:val="24"/>
          <w:highlight w:val="none"/>
        </w:rPr>
      </w:pPr>
      <w:r>
        <w:rPr>
          <w:rFonts w:hint="eastAsia" w:ascii="仿宋" w:hAnsi="仿宋" w:eastAsia="仿宋" w:cs="仿宋"/>
          <w:b/>
          <w:color w:val="auto"/>
          <w:sz w:val="24"/>
          <w:highlight w:val="none"/>
        </w:rPr>
        <w:t>采购需求：</w:t>
      </w:r>
    </w:p>
    <w:p>
      <w:pPr>
        <w:pStyle w:val="16"/>
        <w:spacing w:line="360" w:lineRule="auto"/>
        <w:ind w:firstLine="48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标项名称：</w:t>
      </w:r>
      <w:r>
        <w:rPr>
          <w:rFonts w:hint="eastAsia" w:ascii="仿宋" w:hAnsi="仿宋" w:eastAsia="仿宋" w:cs="仿宋"/>
          <w:snapToGrid/>
          <w:color w:val="auto"/>
          <w:kern w:val="2"/>
          <w:sz w:val="24"/>
          <w:szCs w:val="24"/>
          <w:highlight w:val="none"/>
        </w:rPr>
        <w:t> 杭州市第一人民医院</w:t>
      </w:r>
      <w:r>
        <w:rPr>
          <w:rFonts w:hint="eastAsia" w:ascii="仿宋" w:hAnsi="仿宋" w:eastAsia="仿宋" w:cs="仿宋"/>
          <w:color w:val="auto"/>
          <w:sz w:val="24"/>
          <w:highlight w:val="none"/>
        </w:rPr>
        <w:t>新院区</w:t>
      </w:r>
      <w:r>
        <w:rPr>
          <w:rFonts w:hint="eastAsia" w:ascii="仿宋" w:hAnsi="仿宋" w:eastAsia="仿宋" w:cs="仿宋"/>
          <w:snapToGrid/>
          <w:color w:val="auto"/>
          <w:kern w:val="2"/>
          <w:sz w:val="24"/>
          <w:szCs w:val="24"/>
          <w:highlight w:val="none"/>
        </w:rPr>
        <w:t>建设工程全过程跟踪审计服务项目</w:t>
      </w:r>
      <w:r>
        <w:rPr>
          <w:rFonts w:hint="eastAsia" w:ascii="仿宋" w:hAnsi="仿宋" w:eastAsia="仿宋" w:cs="仿宋"/>
          <w:bCs/>
          <w:snapToGrid/>
          <w:color w:val="auto"/>
          <w:kern w:val="2"/>
          <w:sz w:val="24"/>
          <w:szCs w:val="24"/>
          <w:highlight w:val="none"/>
        </w:rPr>
        <w:t>。</w:t>
      </w:r>
    </w:p>
    <w:p>
      <w:pPr>
        <w:pStyle w:val="16"/>
        <w:spacing w:line="360" w:lineRule="auto"/>
        <w:ind w:firstLine="480"/>
        <w:rPr>
          <w:rFonts w:ascii="仿宋" w:hAnsi="仿宋" w:eastAsia="仿宋" w:cs="仿宋"/>
          <w:bCs/>
          <w:color w:val="auto"/>
          <w:sz w:val="24"/>
          <w:highlight w:val="none"/>
        </w:rPr>
      </w:pPr>
      <w:r>
        <w:rPr>
          <w:rFonts w:hint="eastAsia" w:ascii="仿宋" w:hAnsi="仿宋" w:eastAsia="仿宋" w:cs="仿宋"/>
          <w:bCs/>
          <w:color w:val="auto"/>
          <w:sz w:val="24"/>
          <w:highlight w:val="none"/>
        </w:rPr>
        <w:t>数量: 1  项</w:t>
      </w:r>
    </w:p>
    <w:p>
      <w:pPr>
        <w:pStyle w:val="16"/>
        <w:spacing w:line="360" w:lineRule="auto"/>
        <w:ind w:firstLine="480"/>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预算金额（元）: 5900000   </w:t>
      </w:r>
    </w:p>
    <w:p>
      <w:pPr>
        <w:pStyle w:val="16"/>
        <w:spacing w:line="360" w:lineRule="auto"/>
        <w:ind w:firstLine="480"/>
        <w:rPr>
          <w:rFonts w:ascii="仿宋" w:hAnsi="仿宋" w:eastAsia="仿宋" w:cs="仿宋"/>
          <w:bCs/>
          <w:color w:val="auto"/>
          <w:sz w:val="24"/>
          <w:highlight w:val="none"/>
        </w:rPr>
      </w:pPr>
      <w:r>
        <w:rPr>
          <w:rFonts w:hint="eastAsia" w:ascii="仿宋" w:hAnsi="仿宋" w:eastAsia="仿宋" w:cs="仿宋"/>
          <w:bCs/>
          <w:color w:val="auto"/>
          <w:sz w:val="24"/>
          <w:highlight w:val="none"/>
        </w:rPr>
        <w:t>简要规格描述或项目基本概况介绍、用途： 杭州市第一人民医院</w:t>
      </w:r>
      <w:r>
        <w:rPr>
          <w:rFonts w:hint="eastAsia" w:ascii="仿宋" w:hAnsi="仿宋" w:eastAsia="仿宋" w:cs="仿宋"/>
          <w:color w:val="auto"/>
          <w:sz w:val="24"/>
          <w:highlight w:val="none"/>
        </w:rPr>
        <w:t>新院区</w:t>
      </w:r>
      <w:r>
        <w:rPr>
          <w:rFonts w:hint="eastAsia" w:ascii="仿宋" w:hAnsi="仿宋" w:eastAsia="仿宋" w:cs="仿宋"/>
          <w:bCs/>
          <w:color w:val="auto"/>
          <w:sz w:val="24"/>
          <w:highlight w:val="none"/>
        </w:rPr>
        <w:t>建设工程全过程跟踪审计服务项目</w:t>
      </w:r>
      <w:r>
        <w:rPr>
          <w:rFonts w:hint="eastAsia" w:ascii="仿宋" w:hAnsi="仿宋" w:eastAsia="仿宋" w:cs="仿宋"/>
          <w:bCs/>
          <w:color w:val="auto"/>
          <w:sz w:val="24"/>
          <w:highlight w:val="none"/>
          <w:lang w:eastAsia="zh-CN"/>
        </w:rPr>
        <w:t>，</w:t>
      </w:r>
      <w:r>
        <w:rPr>
          <w:rFonts w:hint="eastAsia" w:ascii="仿宋" w:hAnsi="仿宋" w:eastAsia="仿宋" w:cs="仿宋"/>
          <w:bCs/>
          <w:snapToGrid/>
          <w:color w:val="auto"/>
          <w:kern w:val="2"/>
          <w:sz w:val="24"/>
          <w:szCs w:val="24"/>
          <w:highlight w:val="none"/>
        </w:rPr>
        <w:t>详见招标文件。</w:t>
      </w:r>
    </w:p>
    <w:p>
      <w:pPr>
        <w:pStyle w:val="16"/>
        <w:spacing w:line="360" w:lineRule="auto"/>
        <w:ind w:firstLine="480"/>
        <w:rPr>
          <w:rFonts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备注：</w:t>
      </w:r>
    </w:p>
    <w:p>
      <w:pPr>
        <w:pStyle w:val="16"/>
        <w:spacing w:line="360" w:lineRule="auto"/>
        <w:ind w:firstLine="480"/>
        <w:rPr>
          <w:rFonts w:ascii="仿宋" w:hAnsi="仿宋" w:eastAsia="仿宋" w:cs="仿宋"/>
          <w:b/>
          <w:snapToGrid/>
          <w:color w:val="auto"/>
          <w:kern w:val="2"/>
          <w:sz w:val="24"/>
          <w:szCs w:val="24"/>
          <w:highlight w:val="none"/>
        </w:rPr>
      </w:pPr>
      <w:r>
        <w:rPr>
          <w:rFonts w:hint="eastAsia" w:ascii="仿宋" w:hAnsi="仿宋" w:eastAsia="仿宋" w:cs="仿宋"/>
          <w:b/>
          <w:snapToGrid/>
          <w:color w:val="auto"/>
          <w:kern w:val="2"/>
          <w:sz w:val="24"/>
          <w:szCs w:val="24"/>
          <w:highlight w:val="none"/>
        </w:rPr>
        <w:t>合同履约期限：标项 1，按采购文件要求</w:t>
      </w:r>
    </w:p>
    <w:p>
      <w:pPr>
        <w:pStyle w:val="16"/>
        <w:spacing w:line="360" w:lineRule="auto"/>
        <w:ind w:firstLine="480"/>
        <w:rPr>
          <w:rFonts w:ascii="仿宋" w:hAnsi="仿宋" w:eastAsia="仿宋" w:cs="仿宋"/>
          <w:b/>
          <w:snapToGrid/>
          <w:color w:val="auto"/>
          <w:kern w:val="2"/>
          <w:sz w:val="24"/>
          <w:szCs w:val="24"/>
          <w:highlight w:val="none"/>
        </w:rPr>
      </w:pPr>
      <w:r>
        <w:rPr>
          <w:rFonts w:hint="eastAsia" w:ascii="仿宋" w:hAnsi="仿宋" w:eastAsia="仿宋" w:cs="仿宋"/>
          <w:b/>
          <w:snapToGrid/>
          <w:color w:val="auto"/>
          <w:kern w:val="2"/>
          <w:sz w:val="24"/>
          <w:szCs w:val="24"/>
          <w:highlight w:val="none"/>
        </w:rPr>
        <w:t>本项目接受联合体投标：</w:t>
      </w:r>
      <w:sdt>
        <w:sdtPr>
          <w:rPr>
            <w:rFonts w:hint="eastAsia" w:ascii="仿宋" w:hAnsi="仿宋" w:eastAsia="仿宋" w:cs="仿宋"/>
            <w:b/>
            <w:snapToGrid/>
            <w:color w:val="auto"/>
            <w:kern w:val="2"/>
            <w:sz w:val="24"/>
            <w:szCs w:val="24"/>
            <w:highlight w:val="none"/>
          </w:rPr>
          <w:id w:val="2035453831"/>
          <w14:checkbox>
            <w14:checked w14:val="1"/>
            <w14:checkedState w14:val="00FE" w14:font="Wingdings"/>
            <w14:uncheckedState w14:val="2610" w14:font="MS Gothic"/>
          </w14:checkbox>
        </w:sdtPr>
        <w:sdtEndPr>
          <w:rPr>
            <w:rFonts w:hint="eastAsia" w:ascii="仿宋" w:hAnsi="仿宋" w:eastAsia="仿宋" w:cs="仿宋"/>
            <w:b/>
            <w:snapToGrid/>
            <w:color w:val="auto"/>
            <w:kern w:val="2"/>
            <w:sz w:val="24"/>
            <w:szCs w:val="24"/>
            <w:highlight w:val="none"/>
          </w:rPr>
        </w:sdtEndPr>
        <w:sdtContent>
          <w:r>
            <w:rPr>
              <w:rFonts w:hint="eastAsia" w:ascii="Wingdings" w:hAnsi="Wingdings" w:eastAsia="仿宋" w:cs="仿宋"/>
              <w:b/>
              <w:snapToGrid/>
              <w:color w:val="auto"/>
              <w:kern w:val="2"/>
              <w:sz w:val="24"/>
              <w:szCs w:val="24"/>
              <w:highlight w:val="none"/>
            </w:rPr>
            <w:t>þ</w:t>
          </w:r>
        </w:sdtContent>
      </w:sdt>
      <w:r>
        <w:rPr>
          <w:rFonts w:hint="eastAsia" w:ascii="仿宋" w:hAnsi="仿宋" w:eastAsia="仿宋" w:cs="仿宋"/>
          <w:b/>
          <w:snapToGrid/>
          <w:color w:val="auto"/>
          <w:kern w:val="2"/>
          <w:sz w:val="24"/>
          <w:szCs w:val="24"/>
          <w:highlight w:val="none"/>
        </w:rPr>
        <w:t>是，</w:t>
      </w:r>
      <w:sdt>
        <w:sdtPr>
          <w:rPr>
            <w:rFonts w:hint="eastAsia" w:ascii="仿宋" w:hAnsi="仿宋" w:eastAsia="仿宋" w:cs="仿宋"/>
            <w:b/>
            <w:snapToGrid/>
            <w:color w:val="auto"/>
            <w:kern w:val="2"/>
            <w:sz w:val="24"/>
            <w:szCs w:val="24"/>
            <w:highlight w:val="none"/>
          </w:rPr>
          <w:id w:val="-1765526721"/>
          <w14:checkbox>
            <w14:checked w14:val="0"/>
            <w14:checkedState w14:val="00FE" w14:font="Wingdings"/>
            <w14:uncheckedState w14:val="2610" w14:font="MS Gothic"/>
          </w14:checkbox>
        </w:sdtPr>
        <w:sdtEndPr>
          <w:rPr>
            <w:rFonts w:hint="eastAsia" w:ascii="仿宋" w:hAnsi="仿宋" w:eastAsia="仿宋" w:cs="仿宋"/>
            <w:b/>
            <w:snapToGrid/>
            <w:color w:val="auto"/>
            <w:kern w:val="2"/>
            <w:sz w:val="24"/>
            <w:szCs w:val="24"/>
            <w:highlight w:val="none"/>
          </w:rPr>
        </w:sdtEndPr>
        <w:sdtContent>
          <w:r>
            <w:rPr>
              <w:rFonts w:hint="eastAsia" w:ascii="仿宋" w:hAnsi="仿宋" w:eastAsia="仿宋" w:cs="仿宋"/>
              <w:b/>
              <w:snapToGrid/>
              <w:color w:val="auto"/>
              <w:kern w:val="2"/>
              <w:sz w:val="24"/>
              <w:szCs w:val="24"/>
              <w:highlight w:val="none"/>
            </w:rPr>
            <w:t>☐</w:t>
          </w:r>
        </w:sdtContent>
      </w:sdt>
      <w:r>
        <w:rPr>
          <w:rFonts w:hint="eastAsia" w:ascii="仿宋" w:hAnsi="仿宋" w:eastAsia="仿宋" w:cs="仿宋"/>
          <w:b/>
          <w:snapToGrid/>
          <w:color w:val="auto"/>
          <w:kern w:val="2"/>
          <w:sz w:val="24"/>
          <w:szCs w:val="24"/>
          <w:highlight w:val="none"/>
        </w:rPr>
        <w:t>否。</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 xml:space="preserve">    2.落实政府采购政策需满足的资格要求：无</w:t>
      </w:r>
      <w:r>
        <w:rPr>
          <w:rFonts w:hint="eastAsia" w:ascii="仿宋" w:hAnsi="仿宋" w:eastAsia="仿宋" w:cs="仿宋"/>
          <w:color w:val="auto"/>
          <w:sz w:val="24"/>
          <w:highlight w:val="none"/>
        </w:rPr>
        <w:t xml:space="preserve">；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3.本项目的特定资格要求：无；</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2022年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2022年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日09点30分</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2022年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日09点30分</w:t>
      </w:r>
      <w:r>
        <w:rPr>
          <w:rFonts w:hint="eastAsia" w:ascii="仿宋" w:hAnsi="仿宋" w:eastAsia="仿宋" w:cs="仿宋"/>
          <w:bCs/>
          <w:color w:val="auto"/>
          <w:sz w:val="24"/>
          <w:highlight w:val="none"/>
          <w:u w:val="single"/>
        </w:rPr>
        <w:t xml:space="preserve">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w:t>
      </w:r>
      <w:r>
        <w:rPr>
          <w:rFonts w:hint="eastAsia" w:ascii="仿宋" w:hAnsi="仿宋" w:eastAsia="仿宋" w:cs="仿宋"/>
          <w:i w:val="0"/>
          <w:iCs w:val="0"/>
          <w:caps w:val="0"/>
          <w:color w:val="auto"/>
          <w:spacing w:val="0"/>
          <w:sz w:val="24"/>
          <w:szCs w:val="24"/>
          <w:highlight w:val="none"/>
        </w:rPr>
        <w:t>为支持和促进中小企业发展，杭州市财政局出台了政府采购信用融资政策，供应商可凭中标合同申请贷款，利率一般在基准利率左右（不同银行略有差异）。具体可登录（http://220.191.208.230/login.do）办理业务。 </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名    称：杭州市卫生健康事业发展中心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地    址：杭州市开元路70号</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传    真： </w:t>
      </w:r>
      <w:r>
        <w:rPr>
          <w:rFonts w:hint="eastAsia" w:ascii="仿宋" w:hAnsi="仿宋" w:eastAsia="仿宋" w:cs="仿宋"/>
          <w:color w:val="auto"/>
          <w:sz w:val="24"/>
          <w:highlight w:val="none"/>
          <w:lang w:val="en-US" w:eastAsia="zh-CN"/>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项目联系人（询问）：王一虎</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 xml:space="preserve">  项目联系方式（询问）：0571-87012056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质疑联系人：沈少杰    </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质疑联系方式：0571-87012056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名称：国信国际工程咨询集团股份有限公司</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地址：浙江省杭州市文一西路1218号恒生科技园1号楼4层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传真：0571-88084051  </w:t>
      </w:r>
    </w:p>
    <w:p>
      <w:pPr>
        <w:spacing w:line="36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项目联系人（询问）：华杰</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余明辉</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项目联系方式（询问）：0571-88392867</w:t>
      </w:r>
      <w:r>
        <w:rPr>
          <w:rFonts w:hint="eastAsia" w:ascii="仿宋" w:hAnsi="仿宋" w:eastAsia="仿宋" w:cs="仿宋"/>
          <w:color w:val="auto"/>
          <w:sz w:val="24"/>
          <w:highlight w:val="none"/>
          <w:lang w:val="en-US" w:eastAsia="zh-CN"/>
        </w:rPr>
        <w:t>/18757131529</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质疑联系人：王秋平</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质疑联系方式：0571-81387199 　</w:t>
      </w:r>
    </w:p>
    <w:p>
      <w:pPr>
        <w:pStyle w:val="6"/>
        <w:ind w:firstLine="373"/>
        <w:rPr>
          <w:color w:val="auto"/>
          <w:highlight w:val="none"/>
        </w:rPr>
      </w:pP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名    称：杭州市财政局政府采购监管处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地    址：杭州市中河中路152号617办公室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传    真：0571-87715261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联系人 ：吕先生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监督投诉电话：0571-87715261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pStyle w:val="6"/>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highlight w:val="none"/>
        </w:rPr>
        <w:t xml:space="preserve">                              </w:t>
      </w:r>
    </w:p>
    <w:p>
      <w:pPr>
        <w:adjustRightInd/>
        <w:spacing w:line="360" w:lineRule="auto"/>
        <w:jc w:val="center"/>
        <w:outlineLvl w:val="0"/>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snapToGrid w:val="0"/>
        <w:spacing w:line="360" w:lineRule="auto"/>
        <w:jc w:val="center"/>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2"/>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670"/>
        <w:gridCol w:w="1962"/>
        <w:gridCol w:w="64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367"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355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32" w:hRule="atLeast"/>
          <w:tblHeader/>
        </w:trPr>
        <w:tc>
          <w:tcPr>
            <w:tcW w:w="367"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b/>
                <w:bCs/>
                <w:color w:val="auto"/>
                <w:sz w:val="24"/>
                <w:highlight w:val="none"/>
                <w:lang w:val="zh-CN"/>
              </w:rPr>
            </w:pPr>
            <w:r>
              <w:rPr>
                <w:rFonts w:hint="eastAsia" w:ascii="仿宋" w:hAnsi="仿宋" w:eastAsia="仿宋" w:cs="仿宋"/>
                <w:color w:val="auto"/>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sz w:val="24"/>
                <w:highlight w:val="none"/>
                <w:lang w:val="zh-CN"/>
              </w:rPr>
              <w:t>。投标文件中价格全部采用人民币报价。招标文件未列明，而投标人认为必需的费用也需列入报价。</w:t>
            </w:r>
            <w:r>
              <w:rPr>
                <w:rFonts w:hint="eastAsia" w:ascii="仿宋" w:hAnsi="仿宋" w:eastAsia="仿宋" w:cs="仿宋"/>
                <w:b/>
                <w:bCs/>
                <w:color w:val="auto"/>
                <w:sz w:val="24"/>
                <w:highlight w:val="none"/>
                <w:lang w:val="zh-CN"/>
              </w:rPr>
              <w:t>投标报价出现下列情形的，投标无效：</w:t>
            </w:r>
          </w:p>
          <w:p>
            <w:pPr>
              <w:spacing w:line="360" w:lineRule="auto"/>
              <w:ind w:firstLine="482" w:firstLineChars="200"/>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投标文件出现不是唯一的、有选择性投标报价的；</w:t>
            </w:r>
          </w:p>
          <w:p>
            <w:pPr>
              <w:spacing w:line="360" w:lineRule="auto"/>
              <w:ind w:firstLine="482" w:firstLineChars="200"/>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投标报价超过招标文件中规定的预算金额或者最高限价的;</w:t>
            </w:r>
          </w:p>
          <w:p>
            <w:p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报价明显低于其他通过符合性审查投标人的报价，有可能影响产品质量或者不能诚信履约的，未能按要求提供书面说明或者提交相关证明材料证明其报价合理性的;</w:t>
            </w:r>
          </w:p>
          <w:p>
            <w:pPr>
              <w:spacing w:line="360" w:lineRule="auto"/>
              <w:ind w:firstLine="482" w:firstLineChars="200"/>
              <w:rPr>
                <w:rFonts w:ascii="仿宋" w:hAnsi="仿宋" w:eastAsia="仿宋" w:cs="仿宋"/>
                <w:color w:val="auto"/>
                <w:highlight w:val="none"/>
              </w:rPr>
            </w:pPr>
            <w:r>
              <w:rPr>
                <w:rFonts w:hint="eastAsia" w:ascii="仿宋" w:hAnsi="仿宋" w:eastAsia="仿宋" w:cs="仿宋"/>
                <w:b/>
                <w:bCs/>
                <w:color w:val="auto"/>
                <w:sz w:val="24"/>
                <w:highlight w:val="none"/>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86"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47728692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同意将非主体、非关键性的工作分包。</w:t>
            </w:r>
          </w:p>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276331357"/>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367" w:type="pct"/>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075" w:type="pct"/>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3557" w:type="pct"/>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360" w:lineRule="auto"/>
              <w:rPr>
                <w:rFonts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4" w:hRule="atLeast"/>
          <w:tblHeader/>
        </w:trPr>
        <w:tc>
          <w:tcPr>
            <w:tcW w:w="367" w:type="pct"/>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tc>
        <w:tc>
          <w:tcPr>
            <w:tcW w:w="1075" w:type="pct"/>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p>
        </w:tc>
        <w:tc>
          <w:tcPr>
            <w:tcW w:w="3557" w:type="pct"/>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367"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ascii="仿宋" w:hAnsi="仿宋" w:eastAsia="仿宋" w:cs="仿宋"/>
                <w:color w:val="auto"/>
                <w:sz w:val="24"/>
                <w:szCs w:val="20"/>
                <w:highlight w:val="none"/>
              </w:rPr>
            </w:pPr>
            <w:sdt>
              <w:sdtPr>
                <w:rPr>
                  <w:rFonts w:hint="eastAsia" w:ascii="仿宋" w:hAnsi="仿宋" w:eastAsia="仿宋" w:cs="仿宋"/>
                  <w:color w:val="auto"/>
                  <w:kern w:val="0"/>
                  <w:sz w:val="24"/>
                  <w:highlight w:val="none"/>
                </w:rPr>
                <w:id w:val="-99980297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367"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1075"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63994648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spacing w:line="360" w:lineRule="auto"/>
              <w:rPr>
                <w:rFonts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B要求提供，</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sdt>
              <w:sdtPr>
                <w:rPr>
                  <w:rFonts w:hint="eastAsia" w:ascii="仿宋" w:hAnsi="仿宋" w:eastAsia="仿宋" w:cs="仿宋"/>
                  <w:color w:val="auto"/>
                  <w:kern w:val="0"/>
                  <w:sz w:val="24"/>
                  <w:highlight w:val="none"/>
                </w:rPr>
                <w:id w:val="1303421454"/>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否；</w:t>
            </w:r>
            <w:sdt>
              <w:sdtPr>
                <w:rPr>
                  <w:rFonts w:hint="eastAsia" w:ascii="仿宋" w:hAnsi="仿宋" w:eastAsia="仿宋" w:cs="仿宋"/>
                  <w:color w:val="auto"/>
                  <w:kern w:val="0"/>
                  <w:sz w:val="24"/>
                  <w:highlight w:val="none"/>
                </w:rPr>
                <w:id w:val="162172843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cs="仿宋"/>
                <w:b/>
                <w:color w:val="auto"/>
                <w:sz w:val="24"/>
                <w:highlight w:val="none"/>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367" w:type="pct"/>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1075"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85934854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（2）方案讲解演示可选择以下其中一种方式：</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方式二：交易中心现场讲解演示。现场讲解地点为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367" w:type="pct"/>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7</w:t>
            </w:r>
          </w:p>
        </w:tc>
        <w:tc>
          <w:tcPr>
            <w:tcW w:w="1075"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82842570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本项目不允许采购进口产品。</w:t>
            </w:r>
          </w:p>
          <w:p>
            <w:pPr>
              <w:spacing w:line="360" w:lineRule="auto"/>
              <w:rPr>
                <w:rFonts w:ascii="仿宋" w:hAnsi="仿宋" w:eastAsia="仿宋" w:cs="仿宋"/>
                <w:color w:val="auto"/>
                <w:highlight w:val="none"/>
              </w:rPr>
            </w:pPr>
            <w:sdt>
              <w:sdtPr>
                <w:rPr>
                  <w:rFonts w:hint="eastAsia" w:ascii="仿宋" w:hAnsi="仿宋" w:eastAsia="仿宋" w:cs="仿宋"/>
                  <w:color w:val="auto"/>
                  <w:kern w:val="0"/>
                  <w:sz w:val="24"/>
                  <w:highlight w:val="none"/>
                </w:rPr>
                <w:id w:val="-5285282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367" w:type="pct"/>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1075"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1872786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47488555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367" w:type="pct"/>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1075"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3557" w:type="pct"/>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一、说明</w:t>
            </w:r>
          </w:p>
          <w:p>
            <w:pPr>
              <w:snapToGrid w:val="0"/>
              <w:spacing w:line="312"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1、企业类型</w:t>
            </w:r>
          </w:p>
          <w:p>
            <w:pPr>
              <w:snapToGrid w:val="0"/>
              <w:spacing w:line="312"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（1）中小企业</w:t>
            </w:r>
          </w:p>
          <w:p>
            <w:pPr>
              <w:snapToGrid w:val="0"/>
              <w:spacing w:line="312"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12"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snapToGrid w:val="0"/>
              <w:spacing w:line="312"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在服务采购项目中，服务由中小企业承接，即提供服务的人员为中小企业依照《中华人民共和国劳动民法典》订立劳动合同的从业人员。可享受相关中小企业扶持政策。</w:t>
            </w:r>
          </w:p>
          <w:p>
            <w:pPr>
              <w:snapToGrid w:val="0"/>
              <w:spacing w:line="312"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符合上述条件的中小企业参加货物采购活动中，货物由中小企业制造，即货物由中小企业生产且使用该中小企业商号或者注册商标的，可享受相关中小企业扶持政策。</w:t>
            </w:r>
          </w:p>
          <w:p>
            <w:pPr>
              <w:snapToGrid w:val="0"/>
              <w:spacing w:line="312"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以联合体形式参加政府采购活动，联合体各方均为中小企业的，联合体视同中小企业。其中，联合体各方均为小微企业的，联合体视同小微企业。</w:t>
            </w:r>
          </w:p>
          <w:p>
            <w:pPr>
              <w:snapToGrid w:val="0"/>
              <w:spacing w:line="312"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投标文件中须同时出具《政府采购促进中小企业发展管理办法》【财库（2020）46号】规定的《中小企业声明函》，否则不得享受价格扣除。</w:t>
            </w:r>
          </w:p>
          <w:p>
            <w:pPr>
              <w:snapToGrid w:val="0"/>
              <w:spacing w:line="312"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（2）残疾人福利性单位</w:t>
            </w:r>
          </w:p>
          <w:p>
            <w:pPr>
              <w:snapToGrid w:val="0"/>
              <w:spacing w:line="312"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符合《关于促进残疾人就业政府采购政策的通知》（财库〔2017〕141号）规定的条件并提供提供《残疾人福利性单位声明函》的残疾人福利性单位视同小型、微型企业；</w:t>
            </w:r>
          </w:p>
          <w:p>
            <w:pPr>
              <w:snapToGrid w:val="0"/>
              <w:spacing w:line="312"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（3）监狱企业</w:t>
            </w:r>
          </w:p>
          <w:p>
            <w:pPr>
              <w:snapToGrid w:val="0"/>
              <w:spacing w:line="312"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312"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二、针对本项目的相关规定</w:t>
            </w:r>
          </w:p>
          <w:p>
            <w:pPr>
              <w:snapToGrid w:val="0"/>
              <w:spacing w:line="312"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1.本项目对符合规定的小微企业（含小型企业）报价给予10% 的扣除。</w:t>
            </w:r>
          </w:p>
          <w:p>
            <w:pPr>
              <w:snapToGrid w:val="0"/>
              <w:spacing w:line="312"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2.本项目采购标的对应的中小企业计划分标准所属行业为：</w:t>
            </w:r>
            <w:r>
              <w:rPr>
                <w:rFonts w:hint="eastAsia" w:ascii="仿宋" w:hAnsi="仿宋" w:eastAsia="仿宋" w:cs="仿宋"/>
                <w:b/>
                <w:bCs/>
                <w:color w:val="auto"/>
                <w:sz w:val="24"/>
                <w:highlight w:val="none"/>
                <w:u w:val="single"/>
              </w:rPr>
              <w:t>其他服务业。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367"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1075"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355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367" w:type="pct"/>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1075" w:type="pct"/>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367" w:type="pct"/>
            <w:vMerge w:val="continue"/>
            <w:tcBorders>
              <w:left w:val="single" w:color="000000" w:sz="8" w:space="0"/>
              <w:right w:val="single" w:color="000000" w:sz="2" w:space="0"/>
            </w:tcBorders>
          </w:tcPr>
          <w:p>
            <w:pPr>
              <w:spacing w:line="360" w:lineRule="auto"/>
              <w:ind w:firstLine="420" w:firstLineChars="200"/>
              <w:rPr>
                <w:rFonts w:ascii="仿宋" w:hAnsi="仿宋" w:eastAsia="仿宋" w:cs="仿宋"/>
                <w:color w:val="auto"/>
                <w:highlight w:val="none"/>
              </w:rPr>
            </w:pPr>
          </w:p>
        </w:tc>
        <w:tc>
          <w:tcPr>
            <w:tcW w:w="1075" w:type="pct"/>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color w:val="auto"/>
                <w:highlight w:val="none"/>
              </w:rPr>
            </w:pP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367"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1075"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备份投标文件送达地点和签收人员</w:t>
            </w:r>
          </w:p>
        </w:tc>
        <w:tc>
          <w:tcPr>
            <w:tcW w:w="355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s="仿宋"/>
                <w:color w:val="auto"/>
                <w:kern w:val="28"/>
                <w:sz w:val="24"/>
                <w:highlight w:val="none"/>
              </w:rPr>
            </w:pPr>
            <w:r>
              <w:rPr>
                <w:rFonts w:hint="eastAsia" w:ascii="仿宋" w:hAnsi="仿宋" w:eastAsia="仿宋" w:cs="仿宋"/>
                <w:color w:val="auto"/>
                <w:kern w:val="28"/>
                <w:sz w:val="24"/>
                <w:highlight w:val="none"/>
              </w:rPr>
              <w:t>备份投标文件送达地点：浙江省杭州市文一西路1218号恒生科技园1号楼4层413室；</w:t>
            </w:r>
          </w:p>
          <w:p>
            <w:pPr>
              <w:snapToGrid w:val="0"/>
              <w:spacing w:line="360" w:lineRule="auto"/>
              <w:ind w:left="399" w:leftChars="190"/>
              <w:rPr>
                <w:rFonts w:ascii="仿宋" w:hAnsi="仿宋" w:eastAsia="仿宋" w:cs="仿宋"/>
                <w:color w:val="auto"/>
                <w:kern w:val="28"/>
                <w:sz w:val="24"/>
                <w:highlight w:val="none"/>
              </w:rPr>
            </w:pPr>
            <w:r>
              <w:rPr>
                <w:rFonts w:hint="eastAsia" w:ascii="仿宋" w:hAnsi="仿宋" w:eastAsia="仿宋" w:cs="仿宋"/>
                <w:color w:val="auto"/>
                <w:kern w:val="28"/>
                <w:sz w:val="24"/>
                <w:highlight w:val="none"/>
              </w:rPr>
              <w:t>备份投标文件签收人员：华杰；</w:t>
            </w:r>
          </w:p>
          <w:p>
            <w:pPr>
              <w:snapToGrid w:val="0"/>
              <w:spacing w:line="360" w:lineRule="auto"/>
              <w:ind w:left="399" w:leftChars="190"/>
              <w:rPr>
                <w:rFonts w:ascii="仿宋" w:hAnsi="仿宋" w:eastAsia="仿宋" w:cs="仿宋"/>
                <w:color w:val="auto"/>
                <w:kern w:val="28"/>
                <w:sz w:val="24"/>
                <w:highlight w:val="none"/>
              </w:rPr>
            </w:pPr>
            <w:r>
              <w:rPr>
                <w:rFonts w:hint="eastAsia" w:ascii="仿宋" w:hAnsi="仿宋" w:eastAsia="仿宋" w:cs="仿宋"/>
                <w:color w:val="auto"/>
                <w:kern w:val="28"/>
                <w:sz w:val="24"/>
                <w:highlight w:val="none"/>
              </w:rPr>
              <w:t>联系电话：0571-88392867。</w:t>
            </w:r>
          </w:p>
          <w:p>
            <w:pPr>
              <w:pStyle w:val="6"/>
              <w:spacing w:line="360" w:lineRule="auto"/>
              <w:rPr>
                <w:rFonts w:ascii="仿宋" w:hAnsi="仿宋" w:eastAsia="仿宋" w:cs="仿宋"/>
                <w:color w:val="auto"/>
                <w:kern w:val="28"/>
                <w:sz w:val="24"/>
                <w:highlight w:val="none"/>
              </w:rPr>
            </w:pP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367" w:type="pct"/>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1075" w:type="pct"/>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特别说明</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1、本项目的采购代理费由中标人支付，以中标金额作为收费的计算基数，费用按计价【2002】1980号文规定的25.85%收取。结算方式及时间为：中标之日起5个工作日之内一次性支付给采购代理公司。</w:t>
            </w:r>
          </w:p>
          <w:p>
            <w:pPr>
              <w:spacing w:line="360" w:lineRule="auto"/>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收款单位（户名）：国信国际工程咨询集团股份有限公司浙江分公司</w:t>
            </w:r>
          </w:p>
          <w:p>
            <w:pPr>
              <w:spacing w:line="360" w:lineRule="auto"/>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开户银行：</w:t>
            </w:r>
            <w:r>
              <w:rPr>
                <w:rFonts w:hint="eastAsia" w:ascii="仿宋" w:hAnsi="仿宋" w:eastAsia="仿宋" w:cs="仿宋"/>
                <w:i w:val="0"/>
                <w:iCs w:val="0"/>
                <w:caps w:val="0"/>
                <w:snapToGrid w:val="0"/>
                <w:color w:val="auto"/>
                <w:spacing w:val="0"/>
                <w:kern w:val="28"/>
                <w:sz w:val="24"/>
                <w:szCs w:val="24"/>
                <w:highlight w:val="none"/>
                <w:shd w:val="clear"/>
              </w:rPr>
              <w:t>招商银行杭州解放支行</w:t>
            </w:r>
          </w:p>
          <w:p>
            <w:pPr>
              <w:spacing w:line="360" w:lineRule="auto"/>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银行账号：</w:t>
            </w:r>
            <w:r>
              <w:rPr>
                <w:rFonts w:hint="eastAsia" w:ascii="仿宋" w:hAnsi="仿宋" w:eastAsia="仿宋" w:cs="仿宋"/>
                <w:i w:val="0"/>
                <w:iCs w:val="0"/>
                <w:caps w:val="0"/>
                <w:snapToGrid w:val="0"/>
                <w:color w:val="auto"/>
                <w:spacing w:val="0"/>
                <w:kern w:val="28"/>
                <w:sz w:val="24"/>
                <w:szCs w:val="24"/>
                <w:highlight w:val="none"/>
                <w:shd w:val="clear"/>
              </w:rPr>
              <w:t>5719046795104042200007262</w:t>
            </w:r>
          </w:p>
          <w:p>
            <w:pPr>
              <w:spacing w:line="360" w:lineRule="auto"/>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2、本项目采用联合体投标的，参加联合体的供应商均应当具备政府采购法第二十二条规定的条件，并应当在响应文件中提交联合协议（格式自拟），载明联合体各方承担的工作和义务。联合体各方应当共同与采购人签订采购合同，就采购合同约定的事项对采购人承担连带责任。</w:t>
            </w:r>
          </w:p>
        </w:tc>
      </w:tr>
    </w:tbl>
    <w:p>
      <w:pPr>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br w:type="page"/>
      </w:r>
    </w:p>
    <w:p>
      <w:pPr>
        <w:pStyle w:val="5"/>
        <w:rPr>
          <w:rFonts w:ascii="仿宋" w:hAnsi="仿宋" w:eastAsia="仿宋" w:cs="仿宋"/>
          <w:color w:val="auto"/>
          <w:highlight w:val="none"/>
        </w:rPr>
      </w:pPr>
    </w:p>
    <w:bookmarkEnd w:id="10"/>
    <w:p>
      <w:pPr>
        <w:adjustRightInd/>
        <w:spacing w:line="360" w:lineRule="auto"/>
        <w:ind w:firstLine="3845" w:firstLineChars="1197"/>
        <w:outlineLvl w:val="0"/>
        <w:rPr>
          <w:rFonts w:ascii="仿宋" w:hAnsi="仿宋" w:eastAsia="仿宋" w:cs="仿宋"/>
          <w:b/>
          <w:color w:val="auto"/>
          <w:sz w:val="32"/>
          <w:szCs w:val="20"/>
          <w:highlight w:val="none"/>
        </w:rPr>
      </w:pPr>
      <w:bookmarkStart w:id="11" w:name="_Toc164416483"/>
      <w:bookmarkStart w:id="12" w:name="第三部分"/>
      <w:r>
        <w:rPr>
          <w:rFonts w:hint="eastAsia" w:ascii="仿宋" w:hAnsi="仿宋" w:eastAsia="仿宋" w:cs="仿宋"/>
          <w:b/>
          <w:color w:val="auto"/>
          <w:sz w:val="32"/>
          <w:szCs w:val="20"/>
          <w:highlight w:val="none"/>
        </w:rPr>
        <w:t>一、总则</w:t>
      </w:r>
    </w:p>
    <w:p>
      <w:pPr>
        <w:snapToGrid w:val="0"/>
        <w:spacing w:line="360" w:lineRule="auto"/>
        <w:jc w:val="left"/>
        <w:outlineLvl w:val="1"/>
        <w:rPr>
          <w:rFonts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2.定义</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sdt>
        <w:sdtPr>
          <w:rPr>
            <w:rFonts w:hint="eastAsia" w:ascii="仿宋" w:hAnsi="仿宋" w:eastAsia="仿宋" w:cs="仿宋"/>
            <w:color w:val="auto"/>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 系指适用本项目的要求，“</w:t>
      </w:r>
      <w:sdt>
        <w:sdtPr>
          <w:rPr>
            <w:rFonts w:hint="eastAsia" w:ascii="仿宋" w:hAnsi="仿宋" w:eastAsia="仿宋" w:cs="仿宋"/>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 系指不适用本项目的要求。</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b/>
          <w:color w:val="auto"/>
          <w:sz w:val="24"/>
          <w:highlight w:val="none"/>
        </w:rPr>
      </w:pPr>
      <w:r>
        <w:rPr>
          <w:rFonts w:hint="eastAsia" w:ascii="仿宋" w:hAnsi="仿宋" w:eastAsia="仿宋" w:cs="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6"/>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6"/>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4.2.2.1对招标文件提出质疑的，质疑期限为供应商获得招标文件之日或者招标文件公告期限届满之日起计算。</w:t>
      </w:r>
    </w:p>
    <w:p>
      <w:pPr>
        <w:pStyle w:val="6"/>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6"/>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6"/>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6"/>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6"/>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6"/>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6"/>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6"/>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6"/>
        <w:spacing w:line="360" w:lineRule="auto"/>
        <w:ind w:firstLine="960" w:firstLineChars="4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129"/>
        <w:snapToGrid w:val="0"/>
        <w:spacing w:before="0"/>
        <w:ind w:firstLine="360"/>
        <w:rPr>
          <w:rFonts w:ascii="仿宋" w:hAnsi="仿宋" w:eastAsia="仿宋" w:cs="仿宋"/>
          <w:color w:val="auto"/>
          <w:sz w:val="18"/>
          <w:szCs w:val="18"/>
          <w:highlight w:val="none"/>
        </w:rPr>
      </w:pPr>
    </w:p>
    <w:p>
      <w:pPr>
        <w:adjustRightInd/>
        <w:spacing w:line="360" w:lineRule="auto"/>
        <w:jc w:val="center"/>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6"/>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6"/>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6"/>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6"/>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6"/>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6"/>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6"/>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6"/>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6"/>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6"/>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6"/>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6"/>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6"/>
        <w:spacing w:line="360" w:lineRule="auto"/>
        <w:rPr>
          <w:rFonts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16"/>
        <w:spacing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6"/>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6"/>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w:t>
      </w:r>
    </w:p>
    <w:p>
      <w:pPr>
        <w:snapToGrid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11.2.3符合性审查资料；</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11.2.4投标人业绩；</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11.2.5项目负责人业绩；</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11.2.6项目负责人能力；</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11.2.7项目组人员配置及分工（需提供拟派本项目人员汇总表，驻场各专业人员须单独注明，项目组人员专业结构搭配合理）；</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11.2.8全过程跟踪审计服务大纲；</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11.2.9全过程跟踪审计服务措施；</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11.2.10全过程跟踪审计服务的疑难点考虑；</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11.2.11对全过程跟踪审计服务的合理化建议；</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12商务技术偏离表；</w:t>
      </w:r>
    </w:p>
    <w:p>
      <w:pPr>
        <w:snapToGrid w:val="0"/>
        <w:spacing w:line="360" w:lineRule="auto"/>
        <w:ind w:firstLine="960" w:firstLineChars="400"/>
        <w:rPr>
          <w:rFonts w:ascii="仿宋" w:hAnsi="仿宋" w:eastAsia="仿宋" w:cs="仿宋"/>
          <w:color w:val="auto"/>
          <w:sz w:val="24"/>
          <w:highlight w:val="none"/>
          <w:lang w:val="zh-CN"/>
        </w:rPr>
      </w:pPr>
      <w:r>
        <w:rPr>
          <w:rFonts w:hint="eastAsia" w:ascii="仿宋" w:hAnsi="仿宋" w:eastAsia="仿宋" w:cs="仿宋"/>
          <w:color w:val="auto"/>
          <w:sz w:val="24"/>
          <w:highlight w:val="none"/>
        </w:rPr>
        <w:t>11.2.13</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960" w:firstLineChars="400"/>
        <w:rPr>
          <w:rFonts w:ascii="仿宋" w:hAnsi="仿宋" w:eastAsia="仿宋" w:cs="仿宋"/>
          <w:color w:val="auto"/>
          <w:sz w:val="24"/>
          <w:highlight w:val="none"/>
          <w:lang w:val="zh-CN"/>
        </w:rPr>
      </w:pPr>
      <w:r>
        <w:rPr>
          <w:rFonts w:hint="eastAsia" w:ascii="仿宋" w:hAnsi="仿宋" w:eastAsia="仿宋" w:cs="仿宋"/>
          <w:color w:val="auto"/>
          <w:sz w:val="24"/>
          <w:highlight w:val="none"/>
        </w:rPr>
        <w:t xml:space="preserve">11.2.14投标方针对评分规则需要说明的其他文件和说明（格式自拟）。 </w:t>
      </w:r>
    </w:p>
    <w:p>
      <w:pPr>
        <w:snapToGrid w:val="0"/>
        <w:spacing w:line="360" w:lineRule="auto"/>
        <w:ind w:firstLine="480" w:firstLineChars="200"/>
        <w:rPr>
          <w:rFonts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ascii="仿宋" w:hAnsi="仿宋" w:eastAsia="仿宋" w:cs="仿宋"/>
          <w:b/>
          <w:color w:val="auto"/>
          <w:sz w:val="24"/>
          <w:highlight w:val="none"/>
        </w:rPr>
      </w:pPr>
      <w:r>
        <w:rPr>
          <w:rFonts w:hint="eastAsia" w:ascii="仿宋" w:hAnsi="仿宋" w:eastAsia="仿宋" w:cs="仿宋"/>
          <w:b/>
          <w:color w:val="auto"/>
          <w:sz w:val="24"/>
          <w:highlight w:val="none"/>
        </w:rPr>
        <w:t>投标人提供虚假材料投标的，投标无效。</w:t>
      </w:r>
    </w:p>
    <w:p>
      <w:pPr>
        <w:pStyle w:val="6"/>
        <w:ind w:firstLine="480" w:firstLineChars="200"/>
        <w:rPr>
          <w:rFonts w:ascii="仿宋" w:hAnsi="仿宋" w:eastAsia="仿宋" w:cs="仿宋"/>
          <w:color w:val="auto"/>
          <w:kern w:val="0"/>
          <w:highlight w:val="none"/>
        </w:rPr>
      </w:pPr>
      <w:r>
        <w:rPr>
          <w:rFonts w:hint="eastAsia" w:ascii="仿宋" w:hAnsi="仿宋" w:eastAsia="仿宋" w:cs="仿宋"/>
          <w:snapToGrid/>
          <w:color w:val="auto"/>
          <w:kern w:val="0"/>
          <w:sz w:val="24"/>
          <w:szCs w:val="24"/>
          <w:highlight w:val="none"/>
        </w:rPr>
        <w:t>11.4投标报价：</w:t>
      </w:r>
    </w:p>
    <w:p>
      <w:pPr>
        <w:pStyle w:val="6"/>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11</w:t>
      </w:r>
      <w:r>
        <w:rPr>
          <w:rFonts w:hint="eastAsia" w:ascii="仿宋" w:hAnsi="仿宋" w:eastAsia="仿宋" w:cs="仿宋"/>
          <w:snapToGrid/>
          <w:color w:val="auto"/>
          <w:kern w:val="0"/>
          <w:sz w:val="24"/>
          <w:szCs w:val="24"/>
          <w:highlight w:val="none"/>
        </w:rPr>
        <w:t>.4</w:t>
      </w:r>
      <w:r>
        <w:rPr>
          <w:rFonts w:hint="eastAsia" w:ascii="仿宋" w:hAnsi="仿宋" w:eastAsia="仿宋" w:cs="仿宋"/>
          <w:color w:val="auto"/>
          <w:kern w:val="0"/>
          <w:sz w:val="24"/>
          <w:szCs w:val="24"/>
          <w:highlight w:val="none"/>
        </w:rPr>
        <w:t>.1本次招标的全过程跟踪审计服务投标报价应包括为完成服务可能发生的各项费用。服务内容包括且不限于：预算编制及审核、制定造价控制、资金使用计划的实施方案，合同价款审核（包括合同分析、合同交底、合同变更管理工作），施工阶段造价风险分析，审核工程预付款和完成期中结算（初审）及其价款支付，工程变更、签证及索赔管理，材料、设备的询价，提供核价建议，工程造价动态管理，过程分阶段工程结算初审及汇总（根据采购人需求），完成竣工结算初审（核增核减追加费包含在投标报价中，不再额外支付），项目竣工财务决算编制工作，工程技术经济指标分析</w:t>
      </w:r>
      <w:r>
        <w:rPr>
          <w:rFonts w:hint="eastAsia" w:ascii="仿宋" w:hAnsi="仿宋" w:eastAsia="仿宋" w:cs="仿宋"/>
          <w:color w:val="auto"/>
          <w:sz w:val="24"/>
          <w:szCs w:val="24"/>
          <w:highlight w:val="none"/>
        </w:rPr>
        <w:t>等所有与全过程跟踪审计服务相关的工作。</w:t>
      </w:r>
    </w:p>
    <w:p>
      <w:pPr>
        <w:pStyle w:val="6"/>
        <w:spacing w:line="360" w:lineRule="auto"/>
        <w:ind w:firstLine="482"/>
        <w:rPr>
          <w:rFonts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如：</w:t>
      </w:r>
      <w:r>
        <w:rPr>
          <w:rFonts w:hint="eastAsia" w:ascii="仿宋" w:hAnsi="仿宋" w:eastAsia="仿宋" w:cs="仿宋"/>
          <w:color w:val="auto"/>
          <w:kern w:val="0"/>
          <w:sz w:val="24"/>
          <w:szCs w:val="24"/>
          <w:highlight w:val="none"/>
        </w:rPr>
        <w:t>工程量清单及招标控制价编制审核并出具审核报告，招标文件及合同的审核，工程联系单审核，工程款支付审核，竣工结算初审，项目竣工财务决算编制，成果交付，售后服务等所有与全过程跟踪审计服务相关的工作。</w:t>
      </w:r>
    </w:p>
    <w:p>
      <w:pPr>
        <w:pStyle w:val="6"/>
        <w:spacing w:line="360" w:lineRule="auto"/>
        <w:ind w:firstLine="482"/>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报价费用是提供上述所有与全过程跟踪审计服务相关的工作所产生的人工费、现场测量费、交通、住宿、差旅费、管理费、通讯费、利润、进驻施工现场人员工伤保险费和意外伤害保险费、税金、风险费、政策和行业规定的各项税费等所有相关费用。凡未列入的费用均将被认为已包含在投标总价中；</w:t>
      </w:r>
    </w:p>
    <w:p>
      <w:pPr>
        <w:snapToGrid w:val="0"/>
        <w:spacing w:line="360" w:lineRule="auto"/>
        <w:ind w:firstLine="482" w:firstLineChars="200"/>
        <w:jc w:val="left"/>
        <w:rPr>
          <w:rFonts w:ascii="仿宋" w:hAnsi="仿宋" w:eastAsia="仿宋" w:cs="仿宋"/>
          <w:b/>
          <w:snapToGrid w:val="0"/>
          <w:color w:val="auto"/>
          <w:kern w:val="0"/>
          <w:sz w:val="24"/>
          <w:highlight w:val="none"/>
        </w:rPr>
      </w:pPr>
      <w:r>
        <w:rPr>
          <w:rFonts w:hint="eastAsia" w:ascii="仿宋" w:hAnsi="仿宋" w:eastAsia="仿宋" w:cs="仿宋"/>
          <w:b/>
          <w:snapToGrid w:val="0"/>
          <w:color w:val="auto"/>
          <w:kern w:val="0"/>
          <w:sz w:val="24"/>
          <w:highlight w:val="none"/>
        </w:rPr>
        <w:t>如上述没有提及但该项目仍需要的内容，请投标人自行考虑一并计入投标报价中（未计入的，视为投标人的优惠）。</w:t>
      </w:r>
    </w:p>
    <w:p>
      <w:pPr>
        <w:widowControl/>
        <w:snapToGrid w:val="0"/>
        <w:spacing w:line="360" w:lineRule="auto"/>
        <w:ind w:firstLine="482" w:firstLineChars="200"/>
        <w:jc w:val="left"/>
        <w:rPr>
          <w:rFonts w:ascii="仿宋" w:hAnsi="仿宋" w:eastAsia="仿宋" w:cs="仿宋"/>
          <w:b/>
          <w:snapToGrid w:val="0"/>
          <w:color w:val="auto"/>
          <w:kern w:val="0"/>
          <w:sz w:val="24"/>
          <w:highlight w:val="none"/>
        </w:rPr>
      </w:pPr>
      <w:r>
        <w:rPr>
          <w:rFonts w:hint="eastAsia" w:ascii="仿宋" w:hAnsi="仿宋" w:eastAsia="仿宋" w:cs="仿宋"/>
          <w:b/>
          <w:snapToGrid w:val="0"/>
          <w:color w:val="auto"/>
          <w:kern w:val="0"/>
          <w:sz w:val="24"/>
          <w:highlight w:val="none"/>
        </w:rPr>
        <w:t>11.4.2本次报价方式为一次性报价。</w:t>
      </w:r>
    </w:p>
    <w:p>
      <w:pPr>
        <w:pStyle w:val="27"/>
        <w:snapToGrid w:val="0"/>
        <w:spacing w:line="360" w:lineRule="auto"/>
        <w:ind w:firstLine="482"/>
        <w:rPr>
          <w:rFonts w:ascii="仿宋" w:hAnsi="仿宋" w:eastAsia="仿宋" w:cs="仿宋"/>
          <w:b/>
          <w:bCs/>
          <w:snapToGrid w:val="0"/>
          <w:color w:val="auto"/>
          <w:kern w:val="0"/>
          <w:highlight w:val="none"/>
        </w:rPr>
      </w:pPr>
      <w:r>
        <w:rPr>
          <w:rFonts w:hint="eastAsia" w:ascii="仿宋" w:hAnsi="仿宋" w:eastAsia="仿宋" w:cs="仿宋"/>
          <w:b/>
          <w:bCs/>
          <w:snapToGrid w:val="0"/>
          <w:color w:val="auto"/>
          <w:kern w:val="0"/>
          <w:highlight w:val="none"/>
        </w:rPr>
        <w:t>投标人应认真计算可能发生的各相关费用并计入报价内，在项目实施过程中不得借此要求增加任何费用，并不得出现选择性的报价。</w:t>
      </w:r>
    </w:p>
    <w:p>
      <w:pPr>
        <w:widowControl/>
        <w:snapToGrid w:val="0"/>
        <w:spacing w:line="360" w:lineRule="auto"/>
        <w:ind w:firstLine="482" w:firstLineChars="200"/>
        <w:jc w:val="left"/>
        <w:rPr>
          <w:rFonts w:ascii="仿宋" w:hAnsi="仿宋" w:eastAsia="仿宋" w:cs="仿宋"/>
          <w:snapToGrid w:val="0"/>
          <w:color w:val="auto"/>
          <w:kern w:val="0"/>
          <w:sz w:val="24"/>
          <w:highlight w:val="none"/>
        </w:rPr>
      </w:pPr>
      <w:r>
        <w:rPr>
          <w:rFonts w:hint="eastAsia" w:ascii="仿宋" w:hAnsi="仿宋" w:eastAsia="仿宋" w:cs="仿宋"/>
          <w:b/>
          <w:snapToGrid w:val="0"/>
          <w:color w:val="auto"/>
          <w:kern w:val="0"/>
          <w:sz w:val="24"/>
          <w:highlight w:val="none"/>
        </w:rPr>
        <w:t>11</w:t>
      </w:r>
      <w:r>
        <w:rPr>
          <w:rFonts w:hint="eastAsia" w:ascii="仿宋" w:hAnsi="仿宋" w:eastAsia="仿宋" w:cs="仿宋"/>
          <w:color w:val="auto"/>
          <w:kern w:val="0"/>
          <w:sz w:val="24"/>
          <w:highlight w:val="none"/>
        </w:rPr>
        <w:t>.4</w:t>
      </w:r>
      <w:r>
        <w:rPr>
          <w:rFonts w:hint="eastAsia" w:ascii="仿宋" w:hAnsi="仿宋" w:eastAsia="仿宋" w:cs="仿宋"/>
          <w:b/>
          <w:snapToGrid w:val="0"/>
          <w:color w:val="auto"/>
          <w:kern w:val="0"/>
          <w:sz w:val="24"/>
          <w:highlight w:val="none"/>
        </w:rPr>
        <w:t>.3本项目采购代理服务费由中标人向采购代理机构支付，相关成本支出由投标人自行考虑。采购代理服务费计取标准见前附表。</w:t>
      </w:r>
    </w:p>
    <w:p>
      <w:pPr>
        <w:snapToGrid w:val="0"/>
        <w:spacing w:line="360" w:lineRule="auto"/>
        <w:ind w:firstLine="480" w:firstLineChars="200"/>
        <w:jc w:val="left"/>
        <w:rPr>
          <w:rFonts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11</w:t>
      </w:r>
      <w:r>
        <w:rPr>
          <w:rFonts w:hint="eastAsia" w:ascii="仿宋" w:hAnsi="仿宋" w:eastAsia="仿宋" w:cs="仿宋"/>
          <w:color w:val="auto"/>
          <w:kern w:val="0"/>
          <w:sz w:val="24"/>
          <w:highlight w:val="none"/>
        </w:rPr>
        <w:t>.4</w:t>
      </w:r>
      <w:r>
        <w:rPr>
          <w:rFonts w:hint="eastAsia" w:ascii="仿宋" w:hAnsi="仿宋" w:eastAsia="仿宋" w:cs="仿宋"/>
          <w:snapToGrid w:val="0"/>
          <w:color w:val="auto"/>
          <w:kern w:val="0"/>
          <w:sz w:val="24"/>
          <w:highlight w:val="none"/>
        </w:rPr>
        <w:t>.4本项目只允许一次报价，不允许以开标后调整的报价作为评标的依据（但按本采购文件投标须知投标文件错误的修正并经评标委员会认定或经投标人确认同意的除外）。</w:t>
      </w:r>
    </w:p>
    <w:p>
      <w:pPr>
        <w:snapToGrid w:val="0"/>
        <w:spacing w:line="360" w:lineRule="auto"/>
        <w:ind w:firstLine="480" w:firstLineChars="200"/>
        <w:jc w:val="left"/>
        <w:rPr>
          <w:rFonts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11</w:t>
      </w:r>
      <w:r>
        <w:rPr>
          <w:rFonts w:hint="eastAsia" w:ascii="仿宋" w:hAnsi="仿宋" w:eastAsia="仿宋" w:cs="仿宋"/>
          <w:color w:val="auto"/>
          <w:kern w:val="0"/>
          <w:sz w:val="24"/>
          <w:highlight w:val="none"/>
        </w:rPr>
        <w:t>.4</w:t>
      </w:r>
      <w:r>
        <w:rPr>
          <w:rFonts w:hint="eastAsia" w:ascii="仿宋" w:hAnsi="仿宋" w:eastAsia="仿宋" w:cs="仿宋"/>
          <w:snapToGrid w:val="0"/>
          <w:color w:val="auto"/>
          <w:kern w:val="0"/>
          <w:sz w:val="24"/>
          <w:highlight w:val="none"/>
        </w:rPr>
        <w:t>.5其它需在报价中考虑的因素：</w:t>
      </w:r>
    </w:p>
    <w:p>
      <w:pPr>
        <w:numPr>
          <w:ilvl w:val="0"/>
          <w:numId w:val="1"/>
        </w:numPr>
        <w:tabs>
          <w:tab w:val="left" w:pos="993"/>
        </w:tabs>
        <w:snapToGrid w:val="0"/>
        <w:spacing w:line="360" w:lineRule="auto"/>
        <w:ind w:left="0" w:firstLine="420"/>
        <w:jc w:val="left"/>
        <w:rPr>
          <w:rFonts w:ascii="仿宋" w:hAnsi="仿宋" w:eastAsia="仿宋" w:cs="仿宋"/>
          <w:b/>
          <w:snapToGrid w:val="0"/>
          <w:color w:val="auto"/>
          <w:kern w:val="0"/>
          <w:sz w:val="24"/>
          <w:highlight w:val="none"/>
        </w:rPr>
      </w:pPr>
      <w:r>
        <w:rPr>
          <w:rFonts w:hint="eastAsia" w:ascii="仿宋" w:hAnsi="仿宋" w:eastAsia="仿宋" w:cs="仿宋"/>
          <w:b/>
          <w:snapToGrid w:val="0"/>
          <w:color w:val="auto"/>
          <w:kern w:val="0"/>
          <w:sz w:val="24"/>
          <w:highlight w:val="none"/>
        </w:rPr>
        <w:t>采购需求中明确的需供应商承担的费用均应含在投标总价中；</w:t>
      </w:r>
    </w:p>
    <w:p>
      <w:pPr>
        <w:numPr>
          <w:ilvl w:val="0"/>
          <w:numId w:val="1"/>
        </w:numPr>
        <w:tabs>
          <w:tab w:val="left" w:pos="993"/>
        </w:tabs>
        <w:snapToGrid w:val="0"/>
        <w:spacing w:line="360" w:lineRule="auto"/>
        <w:ind w:left="0" w:firstLine="420"/>
        <w:jc w:val="left"/>
        <w:rPr>
          <w:rFonts w:ascii="仿宋" w:hAnsi="仿宋" w:eastAsia="仿宋" w:cs="仿宋"/>
          <w:b/>
          <w:snapToGrid w:val="0"/>
          <w:color w:val="auto"/>
          <w:kern w:val="0"/>
          <w:sz w:val="24"/>
          <w:highlight w:val="none"/>
        </w:rPr>
      </w:pPr>
      <w:r>
        <w:rPr>
          <w:rFonts w:hint="eastAsia" w:ascii="仿宋" w:hAnsi="仿宋" w:eastAsia="仿宋" w:cs="仿宋"/>
          <w:b/>
          <w:color w:val="auto"/>
          <w:sz w:val="24"/>
          <w:highlight w:val="none"/>
        </w:rPr>
        <w:t>采购文件未明示但投标人认为可能产生的潜在费用支出均需自行考虑并计入投标总价中；</w:t>
      </w:r>
    </w:p>
    <w:p>
      <w:pPr>
        <w:numPr>
          <w:ilvl w:val="0"/>
          <w:numId w:val="1"/>
        </w:numPr>
        <w:tabs>
          <w:tab w:val="left" w:pos="993"/>
        </w:tabs>
        <w:snapToGrid w:val="0"/>
        <w:spacing w:line="360" w:lineRule="auto"/>
        <w:jc w:val="left"/>
        <w:rPr>
          <w:rFonts w:ascii="仿宋" w:hAnsi="仿宋" w:eastAsia="仿宋" w:cs="仿宋"/>
          <w:b/>
          <w:snapToGrid w:val="0"/>
          <w:color w:val="auto"/>
          <w:kern w:val="0"/>
          <w:sz w:val="24"/>
          <w:highlight w:val="none"/>
        </w:rPr>
      </w:pPr>
      <w:r>
        <w:rPr>
          <w:rFonts w:hint="eastAsia" w:ascii="仿宋" w:hAnsi="仿宋" w:eastAsia="仿宋" w:cs="仿宋"/>
          <w:b/>
          <w:snapToGrid w:val="0"/>
          <w:color w:val="auto"/>
          <w:kern w:val="0"/>
          <w:sz w:val="24"/>
          <w:highlight w:val="none"/>
        </w:rPr>
        <w:t>对于没有填报的项目，采购人将不再支付，并均认为已包含在报价内。</w:t>
      </w:r>
    </w:p>
    <w:p>
      <w:pPr>
        <w:pStyle w:val="129"/>
        <w:snapToGrid w:val="0"/>
        <w:spacing w:before="0"/>
        <w:ind w:firstLine="0" w:firstLineChars="0"/>
        <w:outlineLvl w:val="0"/>
        <w:rPr>
          <w:rFonts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29"/>
        <w:snapToGrid w:val="0"/>
        <w:spacing w:before="0"/>
        <w:ind w:firstLine="480"/>
        <w:rPr>
          <w:rFonts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29"/>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129"/>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14.2电子交易平台收到投标文件，将妥善保存并及时向供应商发出确认回执通知。在投标截止时间前，除供应商补充、修改或者撤回投标文件外，任何单位和个人不得解密或提取投标文件。</w:t>
      </w:r>
    </w:p>
    <w:p>
      <w:pPr>
        <w:pStyle w:val="129"/>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6"/>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6"/>
        <w:spacing w:line="360" w:lineRule="auto"/>
        <w:ind w:firstLine="360" w:firstLineChars="15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但采购人、采购机构不强制或变相强制投标人提交备份投标文件。</w:t>
      </w:r>
    </w:p>
    <w:p>
      <w:pPr>
        <w:pStyle w:val="6"/>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6"/>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6"/>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6"/>
        <w:spacing w:line="360" w:lineRule="auto"/>
        <w:ind w:firstLine="479" w:firstLineChars="199"/>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15.5投标人仅提交备份投标文件，没有在电子交易平台传输递交投标文件的，投标无效。</w:t>
      </w:r>
    </w:p>
    <w:p>
      <w:pPr>
        <w:pStyle w:val="129"/>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7"/>
        <w:spacing w:line="360" w:lineRule="auto"/>
        <w:ind w:firstLine="360" w:firstLineChars="150"/>
        <w:rPr>
          <w:rFonts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rPr>
        <w:t>第13项规定</w:t>
      </w:r>
      <w:r>
        <w:rPr>
          <w:rFonts w:hint="eastAsia" w:ascii="仿宋" w:hAnsi="仿宋" w:eastAsia="仿宋" w:cs="仿宋"/>
          <w:color w:val="auto"/>
          <w:szCs w:val="21"/>
          <w:highlight w:val="none"/>
        </w:rPr>
        <w:t>的情形之一的，投标无效：</w:t>
      </w:r>
    </w:p>
    <w:p>
      <w:pPr>
        <w:pStyle w:val="129"/>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29"/>
        <w:spacing w:before="0"/>
        <w:ind w:firstLine="480"/>
        <w:rPr>
          <w:rFonts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29"/>
        <w:spacing w:before="0"/>
        <w:ind w:firstLine="480"/>
        <w:rPr>
          <w:rFonts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17.3在原定投标有效期满之前，如果出现特殊情况，采购机构可以书面形式通知投标人延长投标有效期。投标人同意延长的，不得要求或被允许修改其投标文件，投标人拒绝延长的，其投标无效。</w:t>
      </w:r>
    </w:p>
    <w:p>
      <w:pPr>
        <w:pStyle w:val="129"/>
        <w:spacing w:before="0"/>
        <w:ind w:firstLine="643"/>
        <w:rPr>
          <w:rFonts w:ascii="仿宋" w:hAnsi="仿宋" w:eastAsia="仿宋" w:cs="仿宋"/>
          <w:b/>
          <w:color w:val="auto"/>
          <w:sz w:val="32"/>
          <w:highlight w:val="none"/>
        </w:rPr>
      </w:pPr>
    </w:p>
    <w:p>
      <w:pPr>
        <w:pStyle w:val="129"/>
        <w:spacing w:before="0"/>
        <w:ind w:firstLine="1928" w:firstLineChars="600"/>
        <w:rPr>
          <w:rFonts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4"/>
        <w:spacing w:before="0" w:line="360" w:lineRule="auto"/>
        <w:ind w:left="0" w:firstLine="241" w:firstLineChars="100"/>
        <w:contextualSpacing/>
        <w:rPr>
          <w:rFonts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4"/>
        <w:spacing w:before="0" w:line="360" w:lineRule="auto"/>
        <w:ind w:left="0" w:firstLine="480" w:firstLineChars="2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129"/>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129"/>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29"/>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129"/>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129"/>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129"/>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29"/>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29"/>
        <w:spacing w:before="0"/>
        <w:ind w:firstLine="0" w:firstLineChars="0"/>
        <w:rPr>
          <w:rFonts w:ascii="仿宋" w:hAnsi="仿宋" w:eastAsia="仿宋" w:cs="仿宋"/>
          <w:color w:val="auto"/>
          <w:kern w:val="0"/>
          <w:szCs w:val="24"/>
          <w:highlight w:val="none"/>
        </w:rPr>
      </w:pPr>
    </w:p>
    <w:p>
      <w:pPr>
        <w:snapToGrid w:val="0"/>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ascii="仿宋" w:hAnsi="仿宋" w:eastAsia="仿宋" w:cs="仿宋"/>
          <w:b/>
          <w:color w:val="auto"/>
          <w:sz w:val="24"/>
          <w:highlight w:val="none"/>
        </w:rPr>
      </w:pPr>
      <w:bookmarkStart w:id="13"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ascii="仿宋" w:hAnsi="仿宋" w:eastAsia="仿宋" w:cs="仿宋"/>
          <w:b/>
          <w:color w:val="auto"/>
          <w:sz w:val="24"/>
          <w:highlight w:val="none"/>
        </w:rPr>
      </w:pPr>
    </w:p>
    <w:p>
      <w:pPr>
        <w:snapToGrid w:val="0"/>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7"/>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129"/>
        <w:snapToGrid w:val="0"/>
        <w:spacing w:before="0"/>
        <w:ind w:firstLine="480"/>
        <w:rPr>
          <w:rFonts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采购人将自收到评审报告之日起5个工作日内通过电子交易平台在评审报告推荐的中标候选人中按顺序确定中标供应商。</w:t>
      </w:r>
    </w:p>
    <w:p>
      <w:pPr>
        <w:pStyle w:val="129"/>
        <w:snapToGrid w:val="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ascii="仿宋" w:hAnsi="仿宋" w:eastAsia="仿宋" w:cs="仿宋"/>
          <w:b/>
          <w:color w:val="auto"/>
          <w:sz w:val="32"/>
          <w:highlight w:val="none"/>
        </w:rPr>
      </w:pPr>
    </w:p>
    <w:p>
      <w:pPr>
        <w:snapToGrid w:val="0"/>
        <w:spacing w:line="360" w:lineRule="auto"/>
        <w:ind w:left="120" w:leftChars="57" w:firstLine="482" w:firstLineChars="150"/>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7"/>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7"/>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129"/>
        <w:snapToGrid w:val="0"/>
        <w:spacing w:before="0"/>
        <w:ind w:firstLine="480"/>
        <w:rPr>
          <w:rFonts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7"/>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ascii="仿宋" w:hAnsi="仿宋" w:eastAsia="仿宋" w:cs="仿宋"/>
          <w:b/>
          <w:color w:val="auto"/>
          <w:sz w:val="24"/>
          <w:highlight w:val="none"/>
        </w:rPr>
      </w:pPr>
      <w:r>
        <w:rPr>
          <w:rFonts w:hint="eastAsia" w:ascii="仿宋" w:hAnsi="仿宋" w:eastAsia="仿宋" w:cs="仿宋"/>
          <w:color w:val="auto"/>
          <w:sz w:val="24"/>
          <w:highlight w:val="none"/>
        </w:rPr>
        <w:t>履约保证金的数额为合同金额的2.5%。鼓励和支持供应商以银行、保险公司出具的保函形式提供履约保证金。</w:t>
      </w:r>
      <w:r>
        <w:rPr>
          <w:rFonts w:hint="eastAsia" w:ascii="仿宋" w:hAnsi="仿宋" w:eastAsia="仿宋" w:cs="仿宋"/>
          <w:color w:val="auto"/>
          <w:kern w:val="0"/>
          <w:sz w:val="24"/>
          <w:highlight w:val="none"/>
        </w:rPr>
        <w:t>供应商应当以支票、汇票、本票或者金融机构、担保机构出具的保函等非现金形式提交</w:t>
      </w:r>
      <w:r>
        <w:rPr>
          <w:rFonts w:hint="eastAsia" w:ascii="仿宋" w:hAnsi="仿宋" w:eastAsia="仿宋" w:cs="仿宋"/>
          <w:b/>
          <w:color w:val="auto"/>
          <w:sz w:val="24"/>
          <w:highlight w:val="none"/>
        </w:rPr>
        <w:t>。</w:t>
      </w:r>
    </w:p>
    <w:p>
      <w:pPr>
        <w:tabs>
          <w:tab w:val="left" w:pos="0"/>
        </w:tabs>
        <w:spacing w:line="360" w:lineRule="auto"/>
        <w:ind w:firstLine="482"/>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2"/>
        <w:ind w:left="0" w:firstLine="480" w:firstLineChars="200"/>
        <w:rPr>
          <w:rFonts w:ascii="仿宋" w:eastAsia="仿宋" w:cs="仿宋"/>
          <w:color w:val="auto"/>
          <w:highlight w:val="none"/>
          <w:lang w:val="en-US"/>
        </w:rPr>
      </w:pPr>
      <w:r>
        <w:rPr>
          <w:rFonts w:hint="eastAsia" w:ascii="仿宋" w:eastAsia="仿宋" w:cs="仿宋"/>
          <w:b w:val="0"/>
          <w:bCs w:val="0"/>
          <w:snapToGrid w:val="0"/>
          <w:color w:val="auto"/>
          <w:kern w:val="28"/>
          <w:sz w:val="24"/>
          <w:highlight w:val="none"/>
        </w:rPr>
        <w:t>供应商</w:t>
      </w:r>
      <w:r>
        <w:rPr>
          <w:rFonts w:hint="eastAsia" w:ascii="仿宋" w:eastAsia="仿宋" w:cs="仿宋"/>
          <w:b w:val="0"/>
          <w:bCs w:val="0"/>
          <w:snapToGrid w:val="0"/>
          <w:color w:val="auto"/>
          <w:kern w:val="28"/>
          <w:sz w:val="24"/>
          <w:highlight w:val="none"/>
          <w:lang w:val="en-US"/>
        </w:rPr>
        <w:t>可</w:t>
      </w:r>
      <w:r>
        <w:rPr>
          <w:rFonts w:hint="eastAsia" w:asci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仿宋"/>
          <w:b/>
          <w:color w:val="auto"/>
          <w:sz w:val="32"/>
          <w:highlight w:val="none"/>
        </w:rPr>
      </w:pPr>
    </w:p>
    <w:p>
      <w:pPr>
        <w:snapToGrid w:val="0"/>
        <w:spacing w:line="360" w:lineRule="auto"/>
        <w:ind w:firstLine="3357" w:firstLineChars="1045"/>
        <w:rPr>
          <w:rFonts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29"/>
        <w:snapToGrid w:val="0"/>
        <w:spacing w:before="0"/>
        <w:ind w:firstLine="0" w:firstLineChars="0"/>
        <w:rPr>
          <w:rFonts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129"/>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129"/>
        <w:snapToGrid w:val="0"/>
        <w:spacing w:before="0"/>
        <w:ind w:firstLine="0" w:firstLineChars="0"/>
        <w:rPr>
          <w:rFonts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color w:val="auto"/>
          <w:sz w:val="24"/>
          <w:highlight w:val="none"/>
        </w:rPr>
      </w:pPr>
    </w:p>
    <w:p>
      <w:pPr>
        <w:snapToGrid w:val="0"/>
        <w:spacing w:line="360" w:lineRule="auto"/>
        <w:ind w:left="120" w:leftChars="57" w:firstLine="482" w:firstLineChars="150"/>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7"/>
        <w:spacing w:line="360" w:lineRule="auto"/>
        <w:ind w:firstLine="0" w:firstLineChars="0"/>
        <w:rPr>
          <w:rFonts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57669"/>
      <w:bookmarkEnd w:id="14"/>
      <w:bookmarkStart w:id="15" w:name="_Hlt68403820"/>
      <w:bookmarkEnd w:id="15"/>
      <w:bookmarkStart w:id="16" w:name="_Hlt75236290"/>
      <w:bookmarkEnd w:id="16"/>
      <w:bookmarkStart w:id="17" w:name="_Hlt68072990"/>
      <w:bookmarkEnd w:id="17"/>
      <w:bookmarkStart w:id="18" w:name="_Hlt74730295"/>
      <w:bookmarkEnd w:id="18"/>
      <w:bookmarkStart w:id="19" w:name="_Hlt74707468"/>
      <w:bookmarkEnd w:id="19"/>
      <w:bookmarkStart w:id="20" w:name="_Hlt68072998"/>
      <w:bookmarkEnd w:id="20"/>
      <w:bookmarkStart w:id="21" w:name="_Hlt75236101"/>
      <w:bookmarkEnd w:id="21"/>
      <w:bookmarkStart w:id="22" w:name="_Hlt75236011"/>
      <w:bookmarkEnd w:id="22"/>
      <w:bookmarkStart w:id="23" w:name="_Hlt74714665"/>
      <w:bookmarkEnd w:id="23"/>
      <w:bookmarkStart w:id="24" w:name="_Hlt74729768"/>
      <w:bookmarkEnd w:id="24"/>
      <w:bookmarkStart w:id="25" w:name="_Hlt68073093"/>
      <w:bookmarkEnd w:id="25"/>
    </w:p>
    <w:bookmarkEnd w:id="11"/>
    <w:bookmarkEnd w:id="12"/>
    <w:p>
      <w:pPr>
        <w:numPr>
          <w:ilvl w:val="0"/>
          <w:numId w:val="2"/>
        </w:numPr>
        <w:spacing w:line="360" w:lineRule="auto"/>
        <w:jc w:val="center"/>
        <w:outlineLvl w:val="0"/>
        <w:rPr>
          <w:rFonts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 xml:space="preserve">  采购需求</w:t>
      </w:r>
    </w:p>
    <w:p>
      <w:pPr>
        <w:spacing w:line="360" w:lineRule="auto"/>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一、项目名称</w:t>
      </w:r>
    </w:p>
    <w:p>
      <w:pPr>
        <w:autoSpaceDE w:val="0"/>
        <w:autoSpaceDN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杭州市第一人民医院新院区建设工程全过程跟踪审计服务项目。</w:t>
      </w:r>
    </w:p>
    <w:p>
      <w:pPr>
        <w:autoSpaceDE w:val="0"/>
        <w:autoSpaceDN w:val="0"/>
        <w:spacing w:line="360" w:lineRule="auto"/>
        <w:jc w:val="left"/>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二、建设地点和项目</w:t>
      </w:r>
    </w:p>
    <w:p>
      <w:pPr>
        <w:autoSpaceDE w:val="0"/>
        <w:autoSpaceDN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杭州市艮北新区单元，四至范围：东至红普路、西至园区路、北至红建路、南至艮山东路</w:t>
      </w:r>
      <w:r>
        <w:rPr>
          <w:rFonts w:hint="eastAsia" w:ascii="仿宋" w:hAnsi="仿宋" w:eastAsia="仿宋" w:cs="仿宋"/>
          <w:color w:val="auto"/>
          <w:kern w:val="0"/>
          <w:sz w:val="24"/>
          <w:highlight w:val="none"/>
        </w:rPr>
        <w:t>。</w:t>
      </w:r>
    </w:p>
    <w:p>
      <w:pPr>
        <w:autoSpaceDE w:val="0"/>
        <w:autoSpaceDN w:val="0"/>
        <w:spacing w:line="360" w:lineRule="auto"/>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三、建设概况</w:t>
      </w:r>
    </w:p>
    <w:p>
      <w:pPr>
        <w:widowControl/>
        <w:tabs>
          <w:tab w:val="left" w:pos="4755"/>
        </w:tabs>
        <w:adjustRightInd/>
        <w:snapToGrid w:val="0"/>
        <w:spacing w:line="360" w:lineRule="auto"/>
        <w:ind w:firstLine="480" w:firstLineChars="200"/>
        <w:jc w:val="left"/>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总建筑面积暂定为312000平方米，地上建筑面积约177050平方米，地下建筑面积约134950平方米。总投资暂定274119万元（不含土地费及医疗设备费）。</w:t>
      </w:r>
    </w:p>
    <w:p>
      <w:pPr>
        <w:widowControl/>
        <w:tabs>
          <w:tab w:val="left" w:pos="4755"/>
        </w:tabs>
        <w:adjustRightInd/>
        <w:snapToGrid w:val="0"/>
        <w:spacing w:line="360" w:lineRule="auto"/>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四、全过程跟踪审计服务要求及内容：</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1、招标范围</w:t>
      </w:r>
      <w:r>
        <w:rPr>
          <w:rFonts w:hint="eastAsia" w:ascii="仿宋" w:hAnsi="仿宋" w:eastAsia="仿宋" w:cs="仿宋"/>
          <w:b/>
          <w:color w:val="auto"/>
          <w:kern w:val="0"/>
          <w:sz w:val="24"/>
          <w:highlight w:val="none"/>
        </w:rPr>
        <w:t>包括且不限于</w:t>
      </w:r>
      <w:r>
        <w:rPr>
          <w:rFonts w:hint="eastAsia" w:ascii="仿宋" w:hAnsi="仿宋" w:eastAsia="仿宋" w:cs="仿宋"/>
          <w:color w:val="auto"/>
          <w:kern w:val="0"/>
          <w:sz w:val="24"/>
          <w:highlight w:val="none"/>
        </w:rPr>
        <w:t>：预算编制及审核、制定造价控制、资金使用计划的实施方案，合同价款审核（包括合同分析、合同交底、合同变更管理工作），施工阶段造价风险分析，审核工程预付款和完成期中结算（初审）及其价款支付，工程变更、签证及索赔管理，材料、设备的询价，提供核价建议，工程造价动态管理，过程分阶段工程结算初审及汇总（根据采购人需求）</w:t>
      </w:r>
      <w:r>
        <w:rPr>
          <w:rFonts w:hint="eastAsia" w:ascii="仿宋" w:hAnsi="仿宋" w:eastAsia="仿宋" w:cs="仿宋"/>
          <w:b/>
          <w:bCs/>
          <w:color w:val="auto"/>
          <w:kern w:val="0"/>
          <w:sz w:val="24"/>
          <w:highlight w:val="none"/>
        </w:rPr>
        <w:t>，</w:t>
      </w:r>
      <w:r>
        <w:rPr>
          <w:rFonts w:hint="eastAsia" w:ascii="仿宋" w:hAnsi="仿宋" w:eastAsia="仿宋" w:cs="仿宋"/>
          <w:color w:val="auto"/>
          <w:kern w:val="0"/>
          <w:sz w:val="24"/>
          <w:highlight w:val="none"/>
        </w:rPr>
        <w:t>完成竣工结算初审</w:t>
      </w:r>
      <w:r>
        <w:rPr>
          <w:rFonts w:hint="eastAsia" w:ascii="仿宋" w:hAnsi="仿宋" w:eastAsia="仿宋" w:cs="仿宋"/>
          <w:b/>
          <w:bCs/>
          <w:color w:val="auto"/>
          <w:kern w:val="0"/>
          <w:sz w:val="24"/>
          <w:highlight w:val="none"/>
        </w:rPr>
        <w:t>（</w:t>
      </w:r>
      <w:r>
        <w:rPr>
          <w:rFonts w:hint="eastAsia" w:ascii="仿宋" w:hAnsi="仿宋" w:eastAsia="仿宋" w:cs="仿宋"/>
          <w:color w:val="auto"/>
          <w:kern w:val="0"/>
          <w:sz w:val="24"/>
          <w:highlight w:val="none"/>
        </w:rPr>
        <w:t>核增核减追加费包含在投标报价中，不再额外支付</w:t>
      </w:r>
      <w:r>
        <w:rPr>
          <w:rFonts w:hint="eastAsia" w:ascii="仿宋" w:hAnsi="仿宋" w:eastAsia="仿宋" w:cs="仿宋"/>
          <w:b/>
          <w:bCs/>
          <w:color w:val="auto"/>
          <w:kern w:val="0"/>
          <w:sz w:val="24"/>
          <w:highlight w:val="none"/>
        </w:rPr>
        <w:t>）</w:t>
      </w:r>
      <w:r>
        <w:rPr>
          <w:rFonts w:hint="eastAsia" w:ascii="仿宋" w:hAnsi="仿宋" w:eastAsia="仿宋" w:cs="仿宋"/>
          <w:color w:val="auto"/>
          <w:kern w:val="0"/>
          <w:sz w:val="24"/>
          <w:highlight w:val="none"/>
        </w:rPr>
        <w:t>，项目竣工财务决算编制工作，工程技术经济指标分析</w:t>
      </w:r>
      <w:r>
        <w:rPr>
          <w:rFonts w:hint="eastAsia" w:ascii="仿宋" w:hAnsi="仿宋" w:eastAsia="仿宋" w:cs="仿宋"/>
          <w:color w:val="auto"/>
          <w:sz w:val="24"/>
          <w:highlight w:val="none"/>
        </w:rPr>
        <w:t>等所有与全过程跟踪审计服务相关的工作。</w:t>
      </w:r>
    </w:p>
    <w:p>
      <w:pPr>
        <w:pStyle w:val="6"/>
        <w:spacing w:line="360" w:lineRule="auto"/>
        <w:ind w:firstLine="482"/>
        <w:rPr>
          <w:rFonts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如：</w:t>
      </w:r>
      <w:r>
        <w:rPr>
          <w:rFonts w:hint="eastAsia" w:ascii="仿宋" w:hAnsi="仿宋" w:eastAsia="仿宋" w:cs="仿宋"/>
          <w:color w:val="auto"/>
          <w:kern w:val="0"/>
          <w:sz w:val="24"/>
          <w:szCs w:val="24"/>
          <w:highlight w:val="none"/>
        </w:rPr>
        <w:t>工程量清单及招标控制价编制审核并出具审核报告，招标文件及合同的审核，工程联系单审核，工程款支付审核，竣工结算初审，项目竣工财务决算编制，成果交付，售后服务等所有与全过程跟踪审计服务相关的工作。</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2、全过程跟踪审计服务期：</w:t>
      </w:r>
      <w:r>
        <w:rPr>
          <w:rFonts w:hint="eastAsia" w:ascii="仿宋" w:hAnsi="仿宋" w:eastAsia="仿宋" w:cs="仿宋"/>
          <w:color w:val="auto"/>
          <w:kern w:val="0"/>
          <w:sz w:val="24"/>
          <w:highlight w:val="none"/>
        </w:rPr>
        <w:t>合同签订之日起至整体项目竣工财务决算批复完成并归档。</w:t>
      </w:r>
    </w:p>
    <w:p>
      <w:pPr>
        <w:pStyle w:val="256"/>
        <w:tabs>
          <w:tab w:val="left" w:pos="1071"/>
        </w:tabs>
        <w:ind w:firstLine="476" w:firstLineChars="0"/>
        <w:rPr>
          <w:rFonts w:ascii="仿宋" w:hAnsi="仿宋" w:eastAsia="仿宋" w:cs="仿宋"/>
          <w:color w:val="auto"/>
          <w:kern w:val="0"/>
          <w:highlight w:val="none"/>
          <w:lang w:bidi="ar"/>
        </w:rPr>
      </w:pPr>
      <w:r>
        <w:rPr>
          <w:rFonts w:hint="eastAsia" w:ascii="仿宋" w:hAnsi="仿宋" w:eastAsia="仿宋" w:cs="仿宋"/>
          <w:b/>
          <w:color w:val="auto"/>
          <w:w w:val="99"/>
          <w:highlight w:val="none"/>
        </w:rPr>
        <w:t>3、全过程跟踪审计服务内容和要求</w:t>
      </w:r>
      <w:r>
        <w:rPr>
          <w:rFonts w:hint="eastAsia" w:ascii="仿宋" w:hAnsi="仿宋" w:eastAsia="仿宋" w:cs="仿宋"/>
          <w:color w:val="auto"/>
          <w:highlight w:val="none"/>
        </w:rPr>
        <w:t>（包括但不限于）：</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3.1项目前期服务内容（包括但不限于）：</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1)检查建设项目的基本建设程序是否合法、有效。</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2)检查招投标程序及其结果是否合法、有效。</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3)检查与建设项目各相关单位签订的合同条款是否合规、公允，与招标文件和投标承诺是否一致。</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4)检查参建各单位的内部管理制度是否健全，内控程序(包括工程款支付规定、联系单报批规定)等是否规范、有效，并出具专项检查报告。</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5)检查各种规费是否按规定及时缴纳，减、缓、免手续是否完善，是否符合有关规定。</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6)检查征地或拆迁补偿费是否符合有关规定，有关评估、计价是否合规、合理，有无擅自扩大拆迁范围、提高标准或者降低标准等问题。</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7)参与初步设计环节，施工图审查等环节，提出意见和建议。</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8）概算批复完成，根据采购人要求完成概算分解工作，为后续工作提供意见和建议。</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3.2招标期间的服务内容（包括但不限于）：</w:t>
      </w:r>
    </w:p>
    <w:p>
      <w:pPr>
        <w:numPr>
          <w:ilvl w:val="0"/>
          <w:numId w:val="3"/>
        </w:num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入场后开展相关招标审核和配合工作；</w:t>
      </w:r>
    </w:p>
    <w:p>
      <w:pPr>
        <w:numPr>
          <w:ilvl w:val="0"/>
          <w:numId w:val="3"/>
        </w:num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根据采购人的要求，独立编制工程量清单及招标控制价并根据采购人要求的时间与招标代理单位编制的工程量清单和招标控制价进行核对。对清单工程量的完整准确性、是否有错/漏项、工程特征描述清晰性、套用定额准确性，与概算、初步设计的一致性等方面进行审核。</w:t>
      </w:r>
    </w:p>
    <w:p>
      <w:pPr>
        <w:numPr>
          <w:ilvl w:val="0"/>
          <w:numId w:val="3"/>
        </w:num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提供相应的计算书供采购人审核，并在图纸等输入条件不充分的情况下作出合理预估并沟通备注。提供标底所涉及现行当期材料设备价格清单供采购人决策参考，价格清单需明确材料规格、品牌、产地、技术性能、联系电话等信息（主要材料询价不少于三家）</w:t>
      </w:r>
    </w:p>
    <w:p>
      <w:pPr>
        <w:numPr>
          <w:ilvl w:val="0"/>
          <w:numId w:val="3"/>
        </w:num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审核招标文件中相关技术要求、工程量清单编制说明、报价清单；审核合同条款的合理性、符合性和严密性，有无设置不平等条款、有无根据工程特点制定针对性条款、有无明显超出概算标准的内容或子项，合同内容与招标文件是否一致，重点关注结算条款、计价调整、支付条款、质量条款等描述；审核合同内容是否存在质量、 安全、进度、成本的失控风险。对审核发现的问题，提出意见和建议。</w:t>
      </w:r>
    </w:p>
    <w:p>
      <w:pPr>
        <w:numPr>
          <w:ilvl w:val="0"/>
          <w:numId w:val="3"/>
        </w:num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若投标单位对招标文件内工程量提出较大异议，中标人有义务根据采购人要求进行工程量清单的复核，复核代理单位编制的工程量清单，并提供书面复核意见。</w:t>
      </w:r>
    </w:p>
    <w:p>
      <w:pPr>
        <w:numPr>
          <w:ilvl w:val="0"/>
          <w:numId w:val="3"/>
        </w:num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协助采购人做好招标过程中与报价相关的答疑，完成中标后报价清单核对工作，并提供书面意见。</w:t>
      </w:r>
    </w:p>
    <w:p>
      <w:pPr>
        <w:numPr>
          <w:ilvl w:val="0"/>
          <w:numId w:val="3"/>
        </w:num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协助采购人做好招标过程中的供应商遴选工作。</w:t>
      </w:r>
    </w:p>
    <w:p>
      <w:pPr>
        <w:numPr>
          <w:ilvl w:val="0"/>
          <w:numId w:val="3"/>
        </w:num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根据采购人的要求，参加相关招标文件的会审及合同谈判会议，协助采购人进行项目合同谈判、签订合同，并提出意见和建议。</w:t>
      </w:r>
    </w:p>
    <w:p>
      <w:pPr>
        <w:numPr>
          <w:ilvl w:val="0"/>
          <w:numId w:val="3"/>
        </w:num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协助整合招标文件、往来函件等编制合同文件，采购人审核后完成内部评审。</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3.3在建期间的服务内容（包括但不限于）：</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检查履行合同情况。定期对代建、监理、施工等各参建单位实际完成的工作内容、工作数量、工作质量进行初步判断，对参建单位的履约行为与合同内容存在实质性差异的情况，应及时在全过程跟踪审计服务汇报材料中予以反应。检查参建单位有无违法分包、转包工程。如有变更、增补、转让或终止情况，检查其真实性、合法性。</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检查项目概算执行情况。检查有无超出批准概算范围投资，或超出批准概算所列费用的情况。</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检查内控制度执行情况。检查采购人(或部门)是否认真执行各项内控制度。如联系单签证、工程计量与支付、验收制度；设备材料采购、价格控制、验收、领用、清点制度费用支出报销制度等。督促、指导建立完善的管理制度，保证建设程序规范运行、建设资金合法使用。</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制定造价控制的实施流程，对承包人报送的工程预算进行审核，确定造价控制目标。</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对中标单位进行价格分析。</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分析项目经济类合同，包括但不限于施工合同、设计合同、监理合同等。</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按采购人要求，根据项目所有合同、进度计划，编制项目整体及分阶段（月度、季度、年度）资金计划，更新和调整项目实施期间资金支出的分期分配表。</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负责对承包人报送的每月(期)完成进度款月报表进行审核，并提出当月(期)付款建议书。</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鉴证工程变更、签证情况。检查工程设计变更、施工现场签证手续是否合理、合规、及时、完整、真实。掌握变更、签证的内容和过程，分清性质和责任方(分为设计变更、采购人要求或施工单位提出),并分析变更、签证的经济合理性，变更、签证方案的比选（涉及金额），审核变更、签证费用的合理性或对变更费用的确定提出意见或建议。相应调整造价控制目标，并向采购人提供造价控制动态分析报告；</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变更发出后，根据图纸或按实际变更计算变更金额；变更实施过程中，现场测量、与施工单位核对工程量；计算承包商提交的变更价款申请，并与承包商达成一致，提交书面资料供采购人审核通过后，办理变更价款确认书。</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根据变更预估金额或变更价款确认书，及时更新变更及付款台账，对于大额核减或可能引起之超付情况及时预警。</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鉴证补充合同情况。掌握补充合同签订原因和过程，分析补充合同价格水平和合同条款的明确性、严密性，并与主合同比较，提出咨询意见或建议。</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检查工程成本核算是否有利于建设项目的管理及竣工决算的需要。</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检查建设资金是否专款专用，是否按照工程进度付款，防止出现超付工程款现象。</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检查并加强控制设备、材料价格。对已购设备、材料因故不能使用的，要分析原因，分清责任，并督促管理单位及时处理，避免造成更大的损失。</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检查国家、省、市、区优惠政策的落实情况。</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每周定期进行巡场，就各合同重要商务条款进行现场巡检，如实发现问题，需及时告知采购人。</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检查工程质量情况，检查是否存在发生质量事故的隐患。若发生事故，协助建设方调查事故起因、确定责任，确定相关赔偿或索赔的金额，或提出意见和建议。观察参建单位对质量的控制情况并进行实地督察或提醒，如主要人员是否到位、各种检验检测设备是否齐全、验收程序是否符合要求等。</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负责对承包单位投标时技术标施工组织设计、进场后提交施工组织设计进行初步的一致性对比分析，对其中影响造价的部分进行审核，及差异对比，提醒及过程中持续关注落地情况。</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检查工程进度情况，并在全过程跟踪审计服务汇报材料中对工程进度进行简明扼要的表述(可附照片或影像资料)，并分析与合同工期有无出入、主要原因及责任确定，向建设方提出有利于工程进度控制的建议。</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检查实施过程中和竣工阶段的工程资料。督促参建各单位规范、及时地整理、保存相关工程档案和资料。</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根据经验持续主动提出具有技术可行性和经济合理性的方案供采购人和设计单位参考。</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按采购人的要求出席相应的设计方案论证会议、工程图纸会审，并就方案的技术、经济性发表独立的专业意见。按采购人的要求出席合同执行期间的工程例会及采购人要求的其它会议，协助采购人协调和承包单位经济关系以利工程顺利进行。</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提前核实隐蔽、交叉，临时工程等完工后无法再行核查的工程实施情况。跟审单位需一同参与隐蔽工程的监测验收，协助建设方对重要隐蔽工程，交叉工程、临时工程等工程量进行抽查核实，并做好现场记录和取证工作，关键部位应拍下照片或影像资料作为证据，特别是隐蔽工程。</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提前测定特殊材料和工艺费用。对新材料、无价材料、特种材料、新工艺、特种工艺的性能、价格、消耗量等进行跟踪记录，作为编制计价依据的基础资料。根据工程的实际需要，会同相关参建单位对新工艺、特种工艺所用人工、材料、机械的实际消耗量进行试验、测定、计量，以便后期结算时对单价的核定。</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根据采购人确认的现场进度及采购人与承包商签署的合同文件约定，计算材料（主要为钢筋等）调差，提供计算明细及调差依据资料。</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每月配合梳理成本信息，完成月清月结台账、成本台帐等采购人各项季度、月度成本报表。</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向采购人提交项目动态咨询管理月报，包括不限于工程招采合同台账、保函（保证金）台账、工程付款台账、合约图纸管理台账、变更台账、奖罚及索赔台账、结算台账、工程月结资料登记表、资金计划等。</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在完善台账基础上进行每月修改及更新工程动态成本，分析计划成本与实际成本的偏差进行分析，成本超支或节省的原因：如设计变更、材料价格大幅度变动等，向采购人提供书面意见。</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分阶段完工的分部工程结算初审及汇总（根据采购人需求）；完成竣工结算初审并提供报告；协助采购人人办理工程竣工结算；</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协助采购人合同的解释，并就有关合同执行中有关造价的问题提供澄清性意见，以利于合同的执行。</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鉴证影响工程造价的其它项目。做好必要的现场文字记录和影像记录。</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完成计量与支付审核。在全过程跟踪审计服务期间，对每一笔计量支付情况进行审核，检查此计量支付是否符合程序，参建各方有无按照自身职责审核当期工程款。若申报数量与审计现场验收记录不符或计价不准确时，审计可以修正或自行编制审计联系单，并报告建设管理单位。</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完成建设成本监控。密切注意施工阶段建设成本控制情况和整个建设过程中的资金使用情况。根据实际工程需要，对设计变更提供工程造价费用影响建议，作为设计变更造价控制上的依据和参考。定期评估工程成本控制情况及趋势，预估工程造价发生超概情况的可能性，并及时向建设方报告。</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完成工程变更测算与建议。对图纸以外工程特别是重要隐蔽工程的经济签证协同建设管理单位进行审核与监督，作相应的取证，并根据采购人的要求进行有关费用的测算。完成设计变更的成本价值效应分析（价值工程分析）。参与对工程造价影响较大及图纸以外或与设计不符部位的隐蔽项目的测算与审核。发生工程变更时，若需重新确定结算单价，先由施工单位申报，监理签证，建设管理单位审查后，再交审计组测算和审定。</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完成索赔工作。完成审查、评估承包商提出的索赔和索赔所需单据证明。及时处理索赔函件，提供反索赔建议。每周勘察现场，注意积累反索赔影像资料，根据经验主动地、有预见性的提醒采购人防范或保护可能发生的费用和工期索赔，尽力维护采购人的利益。</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完成无价材料、特种材料、新材料的询价和咨询工作。完成查询、分析、测算无价材料等的市场价格，了解采购渠道、技术前景等其他情况。</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协助投资控制和造价管理的建议。向采购人提供造价管理、经济法规方面的咨询服务。提供咨询的范围包括:工程量计量规则、计价办法、市场信息等方面的专业知识及涉及的法律法规，降低成本、加强管理的可行性方案和建设性意见。提供咨询的方式:一般的工程造价专业问题，可以口头或电话提供咨询:影响工程造价较大的问题或建议、方案等，在充分调研的基础上，以书面形式答复或提交采购人，为决策提供参考。</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在深化设计和二次设计过程中，配合多次测算，不断提供成本建议，使设计方案满足目标成本</w:t>
      </w:r>
    </w:p>
    <w:p>
      <w:pPr>
        <w:numPr>
          <w:ilvl w:val="0"/>
          <w:numId w:val="4"/>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协助做好与工程造价相关的对外衔接或谈判工作。在采购人就可能涉及工程造价相关的事宜进行对外衔接或谈判时，咨询服务人员应做好相关造价情况的分析和资料的准备等基础性工作，必要时相关咨询人员应参与现场的衔接或谈判工作。</w:t>
      </w:r>
    </w:p>
    <w:p>
      <w:pPr>
        <w:pStyle w:val="6"/>
        <w:spacing w:before="120" w:after="12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3.4工程结算初步审核服务内容及要求（包括但不限于）： </w:t>
      </w:r>
    </w:p>
    <w:p>
      <w:pPr>
        <w:numPr>
          <w:ilvl w:val="0"/>
          <w:numId w:val="5"/>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参加采购人主持召开的结算会议或谈判，根据采购人要求项目整体结算计划，提供专业意见。</w:t>
      </w:r>
    </w:p>
    <w:p>
      <w:pPr>
        <w:numPr>
          <w:ilvl w:val="0"/>
          <w:numId w:val="5"/>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 xml:space="preserve">根据工程合同相应的建设工程法律、法规、标准规范与工程计价依据、招投标文件、施工图纸、现场发生的各项有效证明审核工程造价； </w:t>
      </w:r>
    </w:p>
    <w:p>
      <w:pPr>
        <w:numPr>
          <w:ilvl w:val="0"/>
          <w:numId w:val="5"/>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 xml:space="preserve">现场踏勘、计量复核； </w:t>
      </w:r>
    </w:p>
    <w:p>
      <w:pPr>
        <w:numPr>
          <w:ilvl w:val="0"/>
          <w:numId w:val="5"/>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 xml:space="preserve">工程量、工程要素价格及各类项目费用进行审核确定； </w:t>
      </w:r>
    </w:p>
    <w:p>
      <w:pPr>
        <w:numPr>
          <w:ilvl w:val="0"/>
          <w:numId w:val="5"/>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 xml:space="preserve">配合采购人进行法定审计及其他服务事项； </w:t>
      </w:r>
    </w:p>
    <w:p>
      <w:pPr>
        <w:numPr>
          <w:ilvl w:val="0"/>
          <w:numId w:val="5"/>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 xml:space="preserve">必须根据采购人要求在限定的时间内出具详细的书面审核意见，审核意见书上须有项目负责人、审核人员的签字并加盖单位公章； </w:t>
      </w:r>
    </w:p>
    <w:p>
      <w:pPr>
        <w:numPr>
          <w:ilvl w:val="0"/>
          <w:numId w:val="5"/>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 xml:space="preserve">对工程项目初审结果须以正式的书面报告向采购人详细通报，使采购人充分了解核减与核增的细项和原因，及有关不确定问题政策依据、处理态度以及建议； </w:t>
      </w:r>
    </w:p>
    <w:p>
      <w:pPr>
        <w:numPr>
          <w:ilvl w:val="0"/>
          <w:numId w:val="5"/>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 xml:space="preserve">中标人与施工单位对帐后，审核结果须向采购人书面说明，采购人有权进行复核； </w:t>
      </w:r>
    </w:p>
    <w:p>
      <w:pPr>
        <w:numPr>
          <w:ilvl w:val="0"/>
          <w:numId w:val="5"/>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 xml:space="preserve">采购人有权对审核结果提交第三方复核； </w:t>
      </w:r>
    </w:p>
    <w:p>
      <w:pPr>
        <w:numPr>
          <w:ilvl w:val="0"/>
          <w:numId w:val="5"/>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 xml:space="preserve">中标人应按照客观、独立、公正的原则实施审核工作，依法维护采购人的合法权益，不得收受施工单位等其他单位赠送的礼品及财物； </w:t>
      </w:r>
    </w:p>
    <w:p>
      <w:pPr>
        <w:numPr>
          <w:ilvl w:val="0"/>
          <w:numId w:val="5"/>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 xml:space="preserve">未经采购人同意不得向第三方透漏具体审核项目的内容，不得泄漏被审核单位（项目）的商业秘密； </w:t>
      </w:r>
    </w:p>
    <w:p>
      <w:pPr>
        <w:numPr>
          <w:ilvl w:val="0"/>
          <w:numId w:val="5"/>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 xml:space="preserve">根据采购人需要，提供工程类、货物类、服务类项目的结算初审服务，出具审核报告。 </w:t>
      </w:r>
    </w:p>
    <w:p>
      <w:pPr>
        <w:numPr>
          <w:ilvl w:val="0"/>
          <w:numId w:val="5"/>
        </w:numPr>
        <w:spacing w:line="360" w:lineRule="auto"/>
        <w:ind w:left="5" w:firstLine="415"/>
        <w:rPr>
          <w:rFonts w:ascii="仿宋" w:hAnsi="仿宋" w:eastAsia="仿宋" w:cs="仿宋"/>
          <w:color w:val="auto"/>
          <w:sz w:val="24"/>
          <w:highlight w:val="none"/>
        </w:rPr>
      </w:pPr>
      <w:r>
        <w:rPr>
          <w:rFonts w:hint="eastAsia" w:ascii="仿宋" w:hAnsi="仿宋" w:eastAsia="仿宋" w:cs="仿宋"/>
          <w:color w:val="auto"/>
          <w:sz w:val="24"/>
          <w:highlight w:val="none"/>
        </w:rPr>
        <w:t>完成采购人交办的与审核项目有关的其他审核服务工作.</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3.5其他要求（包括但不限于）：</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按采购人要求定期参加工程例会，参加涉及合同价款变化的相关工程会议，参与其他工程技术经济问题审计与检查（如图纸会审、施工技术方案协调会等）。</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跟审过程中发现项目管理问题，应及时提出意见和建议。</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跟审单位应建立跟审台账，及时记载跟审时间、工作记实。</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跟审单位需向建设方递交跟审工作总结。</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跟审单位应配合采购人看苗、选苗、苗木到场抽查等相关工作。</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跟审单位需对施工单位上报的结算资料完整性，规范性进行检查。</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提供与造价控制相关的人工、材料、设备等造价信息和其他咨询服务。</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收集并向采购人提供国家、浙江省、杭州市有关工程造价的法律法规，及时通知采购人，对于可能影响项目造价的情况做出影响分析，向采购人预警。</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负责对发包人所有的支付文件进行审核，并书面提出付款审核建议；</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对本项目工程竣工后缺陷责任期、质保期内的整改方案的工程费用，提供评估咨询服务。</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各类文档按采购人要求进行纸质与电子版存档。</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负责工程款支付相关财务具体手续办理。</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负责编制及审核年度预算报表。合理测算月度、季度、年度财务资金需求量。</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负责编制及审核月度、季度、年度投资计划。实际投资与批准的计划投资动态比较，进行实时控制。</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负责编制概算动态分解实时数据并动态监测。</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负责按月报送投资额控制报告、工程款支付报告。</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负责编制季度、年度基建财务分析报告。</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负责开展的定期工程内控管理专项检查，每季度报送内控制度执行检查专报。</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负责审核合同价变更相关事宜。</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负责完成项目财务决算相关工作。</w:t>
      </w:r>
    </w:p>
    <w:p>
      <w:pPr>
        <w:numPr>
          <w:ilvl w:val="0"/>
          <w:numId w:val="6"/>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负责完成采购人交办的其他工作任务。</w:t>
      </w:r>
    </w:p>
    <w:p>
      <w:p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22）</w:t>
      </w:r>
      <w:r>
        <w:rPr>
          <w:rFonts w:hint="eastAsia" w:ascii="仿宋" w:hAnsi="仿宋" w:eastAsia="仿宋" w:cs="仿宋"/>
          <w:color w:val="auto"/>
          <w:sz w:val="24"/>
          <w:highlight w:val="none"/>
        </w:rPr>
        <w:t>采购人</w:t>
      </w:r>
      <w:r>
        <w:rPr>
          <w:rFonts w:hint="eastAsia" w:ascii="仿宋" w:hAnsi="仿宋" w:eastAsia="仿宋" w:cs="仿宋"/>
          <w:b/>
          <w:bCs/>
          <w:color w:val="auto"/>
          <w:sz w:val="24"/>
          <w:highlight w:val="none"/>
        </w:rPr>
        <w:t>将对中标单位履行合同期间进行季度考核，包括但不限于项目负责人的到位率、驻场人员到位率等考核项，如不及格（及格分为60分），</w:t>
      </w:r>
      <w:r>
        <w:rPr>
          <w:rFonts w:hint="eastAsia" w:ascii="仿宋" w:hAnsi="仿宋" w:eastAsia="仿宋" w:cs="仿宋"/>
          <w:color w:val="auto"/>
          <w:sz w:val="24"/>
          <w:highlight w:val="none"/>
        </w:rPr>
        <w:t>采购人</w:t>
      </w:r>
      <w:r>
        <w:rPr>
          <w:rFonts w:hint="eastAsia" w:ascii="仿宋" w:hAnsi="仿宋" w:eastAsia="仿宋" w:cs="仿宋"/>
          <w:b/>
          <w:bCs/>
          <w:color w:val="auto"/>
          <w:sz w:val="24"/>
          <w:highlight w:val="none"/>
        </w:rPr>
        <w:t>有权单方面终止合同</w:t>
      </w:r>
      <w:r>
        <w:rPr>
          <w:rFonts w:hint="eastAsia" w:ascii="仿宋" w:hAnsi="仿宋" w:eastAsia="仿宋" w:cs="仿宋"/>
          <w:b/>
          <w:color w:val="auto"/>
          <w:sz w:val="24"/>
          <w:highlight w:val="none"/>
        </w:rPr>
        <w:t>或将剩余跟踪审计服务业务另行委托其他单位</w:t>
      </w:r>
      <w:r>
        <w:rPr>
          <w:rFonts w:hint="eastAsia" w:ascii="仿宋" w:hAnsi="仿宋" w:eastAsia="仿宋" w:cs="仿宋"/>
          <w:b/>
          <w:bCs/>
          <w:color w:val="auto"/>
          <w:sz w:val="24"/>
          <w:highlight w:val="none"/>
        </w:rPr>
        <w:t>。（详见附表：</w:t>
      </w:r>
      <w:r>
        <w:rPr>
          <w:rFonts w:hint="eastAsia" w:ascii="仿宋" w:hAnsi="仿宋" w:eastAsia="仿宋" w:cs="仿宋"/>
          <w:b/>
          <w:color w:val="auto"/>
          <w:sz w:val="24"/>
          <w:highlight w:val="none"/>
        </w:rPr>
        <w:t>全过程跟踪审计服务考核评价表</w:t>
      </w:r>
      <w:r>
        <w:rPr>
          <w:rFonts w:hint="eastAsia" w:ascii="仿宋" w:hAnsi="仿宋" w:eastAsia="仿宋" w:cs="仿宋"/>
          <w:b/>
          <w:bCs/>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中标人提交的正式成果文件须严格执行三级审核制度（自审、互审、项目负责人审核），纸质成果文件均须三级审核人签名（或执业章）并加盖公章。如采购人要求需提供纸质计算底稿的，必须条理清楚、步骤清晰，有较强的可复查性。若中标人成果不可复查，中标人有义务随时到场配合采购人的核对工作。</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24)服务误差率：</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中标人</w:t>
      </w:r>
      <w:r>
        <w:rPr>
          <w:rFonts w:hint="eastAsia" w:ascii="仿宋" w:hAnsi="仿宋" w:eastAsia="仿宋" w:cs="仿宋"/>
          <w:color w:val="auto"/>
          <w:sz w:val="24"/>
          <w:highlight w:val="none"/>
          <w:lang w:eastAsia="zh-Hans"/>
        </w:rPr>
        <w:t>应根据</w:t>
      </w:r>
      <w:r>
        <w:rPr>
          <w:rFonts w:hint="eastAsia" w:ascii="仿宋" w:hAnsi="仿宋" w:eastAsia="仿宋" w:cs="仿宋"/>
          <w:color w:val="auto"/>
          <w:sz w:val="24"/>
          <w:highlight w:val="none"/>
        </w:rPr>
        <w:t>采购人</w:t>
      </w:r>
      <w:r>
        <w:rPr>
          <w:rFonts w:hint="eastAsia" w:ascii="仿宋" w:hAnsi="仿宋" w:eastAsia="仿宋" w:cs="仿宋"/>
          <w:color w:val="auto"/>
          <w:sz w:val="24"/>
          <w:highlight w:val="none"/>
          <w:lang w:eastAsia="zh-Hans"/>
        </w:rPr>
        <w:t>要求的期限、标准交付工作成果，工作成果应以书面或其他</w:t>
      </w:r>
      <w:r>
        <w:rPr>
          <w:rFonts w:hint="eastAsia" w:ascii="仿宋" w:hAnsi="仿宋" w:eastAsia="仿宋" w:cs="仿宋"/>
          <w:color w:val="auto"/>
          <w:sz w:val="24"/>
          <w:highlight w:val="none"/>
        </w:rPr>
        <w:t>采购人</w:t>
      </w:r>
      <w:r>
        <w:rPr>
          <w:rFonts w:hint="eastAsia" w:ascii="仿宋" w:hAnsi="仿宋" w:eastAsia="仿宋" w:cs="仿宋"/>
          <w:color w:val="auto"/>
          <w:sz w:val="24"/>
          <w:highlight w:val="none"/>
          <w:lang w:eastAsia="zh-Hans"/>
        </w:rPr>
        <w:t>认可的方式进行提交。</w:t>
      </w:r>
      <w:r>
        <w:rPr>
          <w:rFonts w:hint="eastAsia" w:ascii="仿宋" w:hAnsi="仿宋" w:eastAsia="仿宋" w:cs="仿宋"/>
          <w:color w:val="auto"/>
          <w:sz w:val="24"/>
          <w:highlight w:val="none"/>
        </w:rPr>
        <w:t>由于中标人原因，中标人提供的成果文件中出现错误（单位、工程量等错误）、错项（包括但不限于缺项、多项等）、重复（包括但不限于界面范围内重复、与界面范围外重复）等问题影响造价，中标人应对以上咨询成果文件予以修改、纠正，因之给采购人造成损失的，还应赔偿相应损失。</w:t>
      </w:r>
    </w:p>
    <w:p>
      <w:pPr>
        <w:spacing w:line="360" w:lineRule="auto"/>
        <w:ind w:firstLine="482" w:firstLineChars="200"/>
        <w:rPr>
          <w:rFonts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各项目结算终审价与结算初审价相比误差率达到±5%-±7%的，扣除合同总金额的1％；</w:t>
      </w:r>
    </w:p>
    <w:p>
      <w:pPr>
        <w:spacing w:line="360" w:lineRule="auto"/>
        <w:ind w:firstLine="482" w:firstLineChars="200"/>
        <w:rPr>
          <w:rFonts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各项目结算终审价与结算初审价相比误差率达到±7%-±10%的，扣除合同总金额的2％；</w:t>
      </w:r>
    </w:p>
    <w:p>
      <w:pPr>
        <w:spacing w:line="360" w:lineRule="auto"/>
        <w:ind w:firstLine="482" w:firstLineChars="200"/>
        <w:rPr>
          <w:rFonts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各项目结算终审价与结算初审价相比误差率达到±10％及以上的，扣除合同总金额的10％。</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3.6人员要求：</w:t>
      </w:r>
    </w:p>
    <w:p>
      <w:pPr>
        <w:numPr>
          <w:ilvl w:val="0"/>
          <w:numId w:val="7"/>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拟派全过程跟踪审计服务项目负责人</w:t>
      </w:r>
    </w:p>
    <w:p>
      <w:pPr>
        <w:numPr>
          <w:ilvl w:val="0"/>
          <w:numId w:val="8"/>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拟派项目负责人需具有</w:t>
      </w:r>
      <w:r>
        <w:rPr>
          <w:rFonts w:hint="eastAsia" w:ascii="仿宋" w:hAnsi="仿宋" w:eastAsia="仿宋" w:cs="仿宋"/>
          <w:bCs/>
          <w:color w:val="auto"/>
          <w:sz w:val="24"/>
          <w:highlight w:val="none"/>
        </w:rPr>
        <w:t>全国一级注册造价工程师或原注册造价师（土木建筑工程或安装工程）注册证书。</w:t>
      </w:r>
    </w:p>
    <w:p>
      <w:pPr>
        <w:numPr>
          <w:ilvl w:val="0"/>
          <w:numId w:val="8"/>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拟派项目负责人需从事造价咨询专业工作10年（含）以上，有类似项目的造价咨询经验。</w:t>
      </w:r>
    </w:p>
    <w:p>
      <w:pPr>
        <w:spacing w:line="360" w:lineRule="auto"/>
        <w:ind w:firstLine="480" w:firstLineChars="200"/>
        <w:rPr>
          <w:rFonts w:ascii="仿宋" w:hAnsi="仿宋" w:eastAsia="仿宋" w:cs="仿宋"/>
          <w:b/>
          <w:bCs/>
          <w:color w:val="auto"/>
          <w:sz w:val="24"/>
          <w:highlight w:val="none"/>
        </w:rPr>
      </w:pPr>
      <w:r>
        <w:rPr>
          <w:rFonts w:hint="eastAsia" w:ascii="仿宋" w:hAnsi="仿宋" w:eastAsia="仿宋" w:cs="仿宋"/>
          <w:color w:val="auto"/>
          <w:sz w:val="24"/>
          <w:highlight w:val="none"/>
        </w:rPr>
        <w:t>2)拟派项目组成员：</w:t>
      </w:r>
    </w:p>
    <w:p>
      <w:pPr>
        <w:numPr>
          <w:ilvl w:val="0"/>
          <w:numId w:val="9"/>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总人数不少于6人（含项目负责人），均为投标人正式全职员工。其中房建专业造价人员不少于2人、市政专业造价人员不少于1人、景观专业造价人员不少于1人、安装专业造价人员不少于2人。</w:t>
      </w:r>
    </w:p>
    <w:p>
      <w:pPr>
        <w:numPr>
          <w:ilvl w:val="0"/>
          <w:numId w:val="9"/>
        </w:numPr>
        <w:spacing w:line="360" w:lineRule="auto"/>
        <w:rPr>
          <w:color w:val="auto"/>
          <w:highlight w:val="none"/>
        </w:rPr>
      </w:pPr>
      <w:r>
        <w:rPr>
          <w:rFonts w:hint="eastAsia" w:ascii="仿宋" w:hAnsi="仿宋" w:eastAsia="仿宋" w:cs="仿宋"/>
          <w:color w:val="auto"/>
          <w:sz w:val="24"/>
          <w:highlight w:val="none"/>
        </w:rPr>
        <w:t>各专业负责人需具有</w:t>
      </w:r>
      <w:r>
        <w:rPr>
          <w:rFonts w:hint="eastAsia" w:ascii="仿宋" w:hAnsi="仿宋" w:eastAsia="仿宋" w:cs="仿宋"/>
          <w:bCs/>
          <w:color w:val="auto"/>
          <w:sz w:val="24"/>
          <w:highlight w:val="none"/>
        </w:rPr>
        <w:t>全国一级注册造价工程师或原注册造价师（土木建筑工程或安装工程）注册证书，</w:t>
      </w:r>
      <w:r>
        <w:rPr>
          <w:rFonts w:hint="eastAsia" w:ascii="仿宋" w:hAnsi="仿宋" w:eastAsia="仿宋" w:cs="仿宋"/>
          <w:color w:val="auto"/>
          <w:sz w:val="24"/>
          <w:highlight w:val="none"/>
        </w:rPr>
        <w:t>从事造价咨询专业工作5年（含）以上，有类似项目的造价咨询经验；</w:t>
      </w:r>
    </w:p>
    <w:p>
      <w:pPr>
        <w:numPr>
          <w:ilvl w:val="0"/>
          <w:numId w:val="9"/>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项目组成员中</w:t>
      </w:r>
      <w:r>
        <w:rPr>
          <w:rFonts w:hint="eastAsia" w:ascii="仿宋" w:hAnsi="仿宋" w:eastAsia="仿宋" w:cs="仿宋"/>
          <w:bCs/>
          <w:color w:val="auto"/>
          <w:sz w:val="24"/>
          <w:highlight w:val="none"/>
        </w:rPr>
        <w:t>全国一级注册造价工程师或原注册造价师（土木建筑工程或安装工程）</w:t>
      </w:r>
      <w:r>
        <w:rPr>
          <w:rFonts w:hint="eastAsia" w:ascii="仿宋" w:hAnsi="仿宋" w:eastAsia="仿宋" w:cs="仿宋"/>
          <w:color w:val="auto"/>
          <w:sz w:val="24"/>
          <w:highlight w:val="none"/>
        </w:rPr>
        <w:t>不少于拟派项目班子总人数的50%。项目组成员均需从事造价咨询专业工作3年（含）以上，有类似项目的造价咨询经验；</w:t>
      </w:r>
    </w:p>
    <w:p>
      <w:pPr>
        <w:numPr>
          <w:ilvl w:val="0"/>
          <w:numId w:val="9"/>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项目组人员专业及数量需无条件满足工程的进度及采购人的要求。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3)接到采购人下达的委托审核任务书后，要及时组织有关专业人员对项目情况进行了解，在7个工作日内制定造价咨询服务方案，成立项目管理小组，项目管理小组各专业负责人必须投标名单之列且具有</w:t>
      </w:r>
      <w:r>
        <w:rPr>
          <w:rFonts w:hint="eastAsia" w:ascii="仿宋" w:hAnsi="仿宋" w:eastAsia="仿宋" w:cs="仿宋"/>
          <w:bCs/>
          <w:color w:val="auto"/>
          <w:sz w:val="24"/>
          <w:highlight w:val="none"/>
        </w:rPr>
        <w:t>全国一级注册造价工程师或原注册造价师（土木建筑工程或安装工程）注册证书</w:t>
      </w:r>
      <w:r>
        <w:rPr>
          <w:rFonts w:hint="eastAsia" w:ascii="仿宋" w:hAnsi="仿宋" w:eastAsia="仿宋" w:cs="仿宋"/>
          <w:color w:val="auto"/>
          <w:sz w:val="24"/>
          <w:highlight w:val="none"/>
        </w:rPr>
        <w:t>（未经采购人同意项目负责人、各专业负责人不得变更）。</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项目管理小组人员一旦确定，项目负责人、各专业负责人不得变更（除不可抗力外）。因项目特殊情况确需更换项目负责人、各专业负责人时，须事先征得采购人书面同意。采购人有权根据考核结果，要求中标单位更换考核后不符合要求的技术人员，中标单位不得拒绝。中标后所有采购人委托的评审业务均由项目负责人联系。</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5)甲方临时通知会议的，咨询单位应在接到甲方通知后3小时内赶到甲方指定地点并参与会议。</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项目负责人按采购人要求参加项目会议，并对存在或出现的问题出具审计建议或意见。此外每周到现场审计不少于一天（国家法定节假日除外），及时处理项目约定范围内服务内容，若出现重大情况需在接到甲方通知后3小时内到达指定地点（含节假日）。</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项目负责人需参与重要工作，如工程设计变更、工程量变更、隐蔽工程等，对异常情况提出审计风险提醒并出具审计建议书；对每次工程款的支付进行审核，并作签字确认；按要求做好对项目流程的控制及驻场人员的指挥；加强对项目驻场人员的管理和指导，保证驻场人员发挥其应有的工作质量和效率；做好其他工程验收过程中的审计工作；对施工方案提出合理审计意见；参与图纸设计会审或讨论，并出具审计建议书；参与对施工单位上报预算的审核，并出具审计建议书；对施工现场技术交点提出合理审计意见；对重大或特殊工程物资进场做好验货、清点等工作；完成采购人提出的合同范围内的其他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中标人需无条件按照采购人要求安排驻场人员，驻场人数和专业必须满足现场正常咨询工作需要。其中项目开工至项目竣工财务决算批复完成，期间驻场人数不少于1人，驻场时间及地点按采购人要求。驻场人员须为中标人在职员工，具有三年以上造价咨询专业工作经验，同时具有注册在供应商单位的、有效的二级或以上造价工程师注册证书；</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驻场人员须做好每日现场监督（跟踪审计）工作，及时做好工作日志，并按时向采购人递交驻场工作周记、月报、季报和年报等相关资料；及时做好隐蔽工程施工前、中、后的文字及电子影像记录工作；对普通工程物资进场做好验货、清点等工作；及时做好与项目负责人的请示汇报工作，完成项目负责人布置的任务；如遇紧急、特殊或异常情况，及时做好与项目负责人等多方的通知、汇报和沟通工作；完成采购人提出的合同范围内的其他要求；</w:t>
      </w:r>
    </w:p>
    <w:p>
      <w:pPr>
        <w:pStyle w:val="6"/>
        <w:spacing w:line="360" w:lineRule="auto"/>
        <w:ind w:firstLine="482" w:firstLineChars="200"/>
        <w:rPr>
          <w:rFonts w:ascii="仿宋" w:hAnsi="仿宋" w:eastAsia="仿宋" w:cs="仿宋"/>
          <w:b/>
          <w:color w:val="auto"/>
          <w:sz w:val="24"/>
          <w:szCs w:val="24"/>
          <w:highlight w:val="none"/>
        </w:rPr>
      </w:pPr>
      <w:bookmarkStart w:id="27" w:name="_Toc335055621"/>
      <w:bookmarkStart w:id="28" w:name="_Toc335055714"/>
      <w:bookmarkStart w:id="29" w:name="_Toc335058261"/>
      <w:r>
        <w:rPr>
          <w:rFonts w:hint="eastAsia" w:ascii="仿宋" w:hAnsi="仿宋" w:eastAsia="仿宋" w:cs="仿宋"/>
          <w:b/>
          <w:color w:val="auto"/>
          <w:sz w:val="24"/>
          <w:szCs w:val="24"/>
          <w:highlight w:val="none"/>
        </w:rPr>
        <w:t>4、项目咨询时限</w:t>
      </w:r>
    </w:p>
    <w:p>
      <w:pPr>
        <w:pStyle w:val="6"/>
        <w:spacing w:line="360" w:lineRule="auto"/>
        <w:ind w:firstLine="482" w:firstLineChars="200"/>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项目咨询时限要求</w:t>
      </w:r>
    </w:p>
    <w:tbl>
      <w:tblPr>
        <w:tblStyle w:val="62"/>
        <w:tblW w:w="810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4"/>
        <w:gridCol w:w="2417"/>
        <w:gridCol w:w="3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1" w:type="dxa"/>
            <w:gridSpan w:val="2"/>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项目分类</w:t>
            </w:r>
          </w:p>
        </w:tc>
        <w:tc>
          <w:tcPr>
            <w:tcW w:w="3392"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出具正式评审报告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1" w:type="dxa"/>
            <w:gridSpan w:val="2"/>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预算（含清单及控制价）</w:t>
            </w:r>
            <w:r>
              <w:rPr>
                <w:rFonts w:hint="eastAsia" w:ascii="仿宋" w:hAnsi="仿宋" w:eastAsia="仿宋" w:cs="仿宋"/>
                <w:color w:val="auto"/>
                <w:kern w:val="0"/>
                <w:sz w:val="24"/>
                <w:highlight w:val="none"/>
              </w:rPr>
              <w:t>编制及</w:t>
            </w:r>
            <w:r>
              <w:rPr>
                <w:rFonts w:hint="eastAsia" w:ascii="仿宋" w:hAnsi="仿宋" w:eastAsia="仿宋" w:cs="仿宋"/>
                <w:color w:val="auto"/>
                <w:sz w:val="24"/>
                <w:highlight w:val="none"/>
              </w:rPr>
              <w:t>审核</w:t>
            </w:r>
          </w:p>
        </w:tc>
        <w:tc>
          <w:tcPr>
            <w:tcW w:w="3392"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按采购人要求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1" w:type="dxa"/>
            <w:gridSpan w:val="2"/>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进度款审核</w:t>
            </w:r>
          </w:p>
        </w:tc>
        <w:tc>
          <w:tcPr>
            <w:tcW w:w="3392"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4" w:type="dxa"/>
            <w:vMerge w:val="restar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变更审核</w:t>
            </w:r>
          </w:p>
        </w:tc>
        <w:tc>
          <w:tcPr>
            <w:tcW w:w="2417"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一般变更</w:t>
            </w:r>
          </w:p>
        </w:tc>
        <w:tc>
          <w:tcPr>
            <w:tcW w:w="3392"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4" w:type="dxa"/>
            <w:vMerge w:val="continue"/>
            <w:vAlign w:val="center"/>
          </w:tcPr>
          <w:p>
            <w:pPr>
              <w:jc w:val="center"/>
              <w:rPr>
                <w:rFonts w:ascii="仿宋" w:hAnsi="仿宋" w:eastAsia="仿宋" w:cs="仿宋"/>
                <w:color w:val="auto"/>
                <w:sz w:val="24"/>
                <w:highlight w:val="none"/>
              </w:rPr>
            </w:pPr>
          </w:p>
        </w:tc>
        <w:tc>
          <w:tcPr>
            <w:tcW w:w="2417"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较大变更</w:t>
            </w:r>
          </w:p>
        </w:tc>
        <w:tc>
          <w:tcPr>
            <w:tcW w:w="3392"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4" w:type="dxa"/>
            <w:vMerge w:val="continue"/>
            <w:vAlign w:val="center"/>
          </w:tcPr>
          <w:p>
            <w:pPr>
              <w:jc w:val="center"/>
              <w:rPr>
                <w:rFonts w:ascii="仿宋" w:hAnsi="仿宋" w:eastAsia="仿宋" w:cs="仿宋"/>
                <w:color w:val="auto"/>
                <w:sz w:val="24"/>
                <w:highlight w:val="none"/>
              </w:rPr>
            </w:pPr>
          </w:p>
        </w:tc>
        <w:tc>
          <w:tcPr>
            <w:tcW w:w="2417"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重大变更</w:t>
            </w:r>
          </w:p>
        </w:tc>
        <w:tc>
          <w:tcPr>
            <w:tcW w:w="3392"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7个工作日</w:t>
            </w:r>
          </w:p>
        </w:tc>
      </w:tr>
    </w:tbl>
    <w:p>
      <w:pPr>
        <w:spacing w:line="360" w:lineRule="auto"/>
        <w:ind w:firstLine="542"/>
        <w:rPr>
          <w:rFonts w:ascii="仿宋" w:hAnsi="仿宋" w:eastAsia="仿宋" w:cs="仿宋"/>
          <w:b/>
          <w:color w:val="auto"/>
          <w:sz w:val="24"/>
          <w:highlight w:val="none"/>
        </w:rPr>
      </w:pP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5、付款方式</w:t>
      </w:r>
    </w:p>
    <w:bookmarkEnd w:id="27"/>
    <w:bookmarkEnd w:id="28"/>
    <w:bookmarkEnd w:id="29"/>
    <w:p>
      <w:pPr>
        <w:numPr>
          <w:ilvl w:val="0"/>
          <w:numId w:val="10"/>
        </w:numPr>
        <w:spacing w:line="360" w:lineRule="auto"/>
        <w:ind w:right="17" w:rightChars="8"/>
        <w:rPr>
          <w:rFonts w:ascii="仿宋" w:hAnsi="仿宋" w:eastAsia="仿宋" w:cs="仿宋"/>
          <w:color w:val="auto"/>
          <w:sz w:val="24"/>
          <w:highlight w:val="none"/>
        </w:rPr>
      </w:pPr>
      <w:r>
        <w:rPr>
          <w:rFonts w:hint="eastAsia" w:ascii="仿宋" w:hAnsi="仿宋" w:eastAsia="仿宋" w:cs="仿宋"/>
          <w:color w:val="auto"/>
          <w:sz w:val="24"/>
          <w:highlight w:val="none"/>
        </w:rPr>
        <w:t>签订合同之日起30日历天内支付合同总额20%的预付款；</w:t>
      </w:r>
    </w:p>
    <w:p>
      <w:pPr>
        <w:numPr>
          <w:ilvl w:val="0"/>
          <w:numId w:val="10"/>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完成施工总承包合同签订后，支付至合同总额的30%；</w:t>
      </w:r>
    </w:p>
    <w:p>
      <w:pPr>
        <w:numPr>
          <w:ilvl w:val="0"/>
          <w:numId w:val="10"/>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所有建筑单体完成至正负00后，支付至合同总额的40%；</w:t>
      </w:r>
    </w:p>
    <w:p>
      <w:pPr>
        <w:numPr>
          <w:ilvl w:val="0"/>
          <w:numId w:val="10"/>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所有建筑单体主体结顶并通过中间验收后，支付至合同总额的50%；</w:t>
      </w:r>
    </w:p>
    <w:p>
      <w:pPr>
        <w:numPr>
          <w:ilvl w:val="0"/>
          <w:numId w:val="10"/>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所有建筑单体精装修施工工程量完成50%后（以施工单位实际投资额为准），支付至合同总额的60%；</w:t>
      </w:r>
    </w:p>
    <w:p>
      <w:pPr>
        <w:numPr>
          <w:ilvl w:val="0"/>
          <w:numId w:val="10"/>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所有建筑单体精装修施工完成后，支付至合同总额的70%；</w:t>
      </w:r>
    </w:p>
    <w:p>
      <w:pPr>
        <w:numPr>
          <w:ilvl w:val="0"/>
          <w:numId w:val="10"/>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整体工程竣工验收合格后，支付至合同总额的80%；</w:t>
      </w:r>
    </w:p>
    <w:p>
      <w:pPr>
        <w:numPr>
          <w:ilvl w:val="0"/>
          <w:numId w:val="10"/>
        </w:numPr>
        <w:spacing w:line="360" w:lineRule="auto"/>
        <w:rPr>
          <w:rFonts w:ascii="仿宋" w:hAnsi="仿宋" w:eastAsia="仿宋" w:cs="仿宋"/>
          <w:color w:val="auto"/>
          <w:sz w:val="24"/>
          <w:highlight w:val="none"/>
        </w:rPr>
      </w:pPr>
      <w:r>
        <w:rPr>
          <w:rFonts w:hint="eastAsia" w:ascii="仿宋" w:hAnsi="仿宋" w:eastAsia="仿宋" w:cs="仿宋"/>
          <w:snapToGrid w:val="0"/>
          <w:color w:val="auto"/>
          <w:kern w:val="0"/>
          <w:sz w:val="24"/>
          <w:highlight w:val="none"/>
        </w:rPr>
        <w:t>完成竣工结算初审并送出，支付至合同总额的90%；</w:t>
      </w:r>
    </w:p>
    <w:p>
      <w:pPr>
        <w:numPr>
          <w:ilvl w:val="0"/>
          <w:numId w:val="10"/>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整体工程竣工结算审计完成，提交咨询报告并完成归档后，</w:t>
      </w:r>
      <w:r>
        <w:rPr>
          <w:rFonts w:hint="eastAsia" w:ascii="仿宋" w:hAnsi="仿宋" w:eastAsia="仿宋" w:cs="仿宋"/>
          <w:snapToGrid w:val="0"/>
          <w:color w:val="auto"/>
          <w:kern w:val="0"/>
          <w:sz w:val="24"/>
          <w:highlight w:val="none"/>
        </w:rPr>
        <w:t>支付至合同总额的9</w:t>
      </w:r>
      <w:r>
        <w:rPr>
          <w:rFonts w:ascii="仿宋" w:hAnsi="仿宋" w:eastAsia="仿宋" w:cs="仿宋"/>
          <w:snapToGrid w:val="0"/>
          <w:color w:val="auto"/>
          <w:kern w:val="0"/>
          <w:sz w:val="24"/>
          <w:highlight w:val="none"/>
        </w:rPr>
        <w:t>9</w:t>
      </w:r>
      <w:r>
        <w:rPr>
          <w:rFonts w:hint="eastAsia" w:ascii="仿宋" w:hAnsi="仿宋" w:eastAsia="仿宋" w:cs="仿宋"/>
          <w:snapToGrid w:val="0"/>
          <w:color w:val="auto"/>
          <w:kern w:val="0"/>
          <w:sz w:val="24"/>
          <w:highlight w:val="none"/>
        </w:rPr>
        <w:t>%</w:t>
      </w:r>
      <w:r>
        <w:rPr>
          <w:rFonts w:hint="eastAsia" w:ascii="仿宋" w:hAnsi="仿宋" w:eastAsia="仿宋" w:cs="仿宋"/>
          <w:color w:val="auto"/>
          <w:sz w:val="24"/>
          <w:highlight w:val="none"/>
        </w:rPr>
        <w:t>；</w:t>
      </w:r>
    </w:p>
    <w:p>
      <w:pPr>
        <w:numPr>
          <w:ilvl w:val="0"/>
          <w:numId w:val="10"/>
        </w:numPr>
        <w:spacing w:line="360" w:lineRule="auto"/>
        <w:ind w:left="640" w:hanging="220"/>
        <w:rPr>
          <w:rFonts w:ascii="仿宋" w:hAnsi="仿宋" w:eastAsia="仿宋" w:cs="仿宋"/>
          <w:color w:val="auto"/>
          <w:sz w:val="24"/>
          <w:highlight w:val="none"/>
        </w:rPr>
      </w:pPr>
      <w:r>
        <w:rPr>
          <w:rFonts w:hint="eastAsia" w:ascii="仿宋" w:hAnsi="仿宋" w:eastAsia="仿宋" w:cs="仿宋"/>
          <w:color w:val="auto"/>
          <w:sz w:val="24"/>
          <w:highlight w:val="none"/>
        </w:rPr>
        <w:t>项目竣工财务决算报告上报财政部门后，余款结清。</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标人提供履约保证金的形式：合同协议书签署前7天提交履约保证金（如为保函，仅限于国有单位出具的保函），履约保证金为合同价的2.5%。履约保证金有效期自履约保证金交纳之日起至合同服务期结束后28天内有效。在此有效期截止日后14天内此履约保证金（如有剩余）退还给中标人。</w:t>
      </w:r>
    </w:p>
    <w:p>
      <w:pPr>
        <w:spacing w:line="360" w:lineRule="auto"/>
        <w:ind w:right="17" w:rightChars="8"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采购人付款前，中标人须按采购人要求提供相应金额的增值税发票，否则采购人有权拒绝付款且不承担任何责任（包括但不限于延期付款的责任），开票错误的责任由中标人承担。</w:t>
      </w:r>
    </w:p>
    <w:p>
      <w:pPr>
        <w:pStyle w:val="6"/>
        <w:rPr>
          <w:rFonts w:ascii="仿宋" w:hAnsi="仿宋" w:eastAsia="仿宋" w:cs="仿宋"/>
          <w:color w:val="auto"/>
          <w:kern w:val="0"/>
          <w:sz w:val="24"/>
          <w:highlight w:val="none"/>
        </w:rPr>
      </w:pPr>
    </w:p>
    <w:p>
      <w:pPr>
        <w:pStyle w:val="6"/>
        <w:rPr>
          <w:rFonts w:ascii="仿宋" w:hAnsi="仿宋" w:eastAsia="仿宋" w:cs="仿宋"/>
          <w:color w:val="auto"/>
          <w:kern w:val="0"/>
          <w:sz w:val="24"/>
          <w:highlight w:val="none"/>
        </w:rPr>
      </w:pPr>
    </w:p>
    <w:p>
      <w:pPr>
        <w:pStyle w:val="6"/>
        <w:rPr>
          <w:rFonts w:ascii="仿宋" w:hAnsi="仿宋" w:eastAsia="仿宋" w:cs="仿宋"/>
          <w:color w:val="auto"/>
          <w:kern w:val="0"/>
          <w:sz w:val="24"/>
          <w:highlight w:val="none"/>
        </w:rPr>
      </w:pPr>
    </w:p>
    <w:p>
      <w:pPr>
        <w:pStyle w:val="6"/>
        <w:rPr>
          <w:rFonts w:ascii="仿宋" w:hAnsi="仿宋" w:eastAsia="仿宋" w:cs="仿宋"/>
          <w:color w:val="auto"/>
          <w:kern w:val="0"/>
          <w:sz w:val="24"/>
          <w:highlight w:val="none"/>
        </w:rPr>
      </w:pPr>
    </w:p>
    <w:p>
      <w:pPr>
        <w:pStyle w:val="6"/>
        <w:rPr>
          <w:rFonts w:ascii="仿宋" w:hAnsi="仿宋" w:eastAsia="仿宋" w:cs="仿宋"/>
          <w:color w:val="auto"/>
          <w:kern w:val="0"/>
          <w:sz w:val="24"/>
          <w:highlight w:val="none"/>
        </w:rPr>
      </w:pPr>
    </w:p>
    <w:p>
      <w:pPr>
        <w:pStyle w:val="6"/>
        <w:rPr>
          <w:rFonts w:ascii="仿宋" w:hAnsi="仿宋" w:eastAsia="仿宋" w:cs="仿宋"/>
          <w:color w:val="auto"/>
          <w:kern w:val="0"/>
          <w:sz w:val="24"/>
          <w:highlight w:val="none"/>
        </w:rPr>
      </w:pPr>
    </w:p>
    <w:p>
      <w:pP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napToGrid w:val="0"/>
        <w:spacing w:line="36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第四部分   </w:t>
      </w:r>
      <w:bookmarkStart w:id="30" w:name="_Toc184314437"/>
      <w:bookmarkEnd w:id="30"/>
      <w:bookmarkStart w:id="31" w:name="_Toc184314416"/>
      <w:bookmarkEnd w:id="31"/>
      <w:bookmarkStart w:id="32" w:name="_Toc184314445"/>
      <w:bookmarkEnd w:id="32"/>
      <w:bookmarkStart w:id="33" w:name="_Toc184314413"/>
      <w:bookmarkEnd w:id="33"/>
      <w:bookmarkStart w:id="34" w:name="_Toc184308052"/>
      <w:bookmarkEnd w:id="34"/>
      <w:bookmarkStart w:id="35" w:name="_Toc184314474"/>
      <w:bookmarkEnd w:id="35"/>
      <w:bookmarkStart w:id="36" w:name="_Toc184308042"/>
      <w:bookmarkEnd w:id="36"/>
      <w:bookmarkStart w:id="37" w:name="_Toc184313283"/>
      <w:bookmarkEnd w:id="37"/>
      <w:bookmarkStart w:id="38" w:name="_Toc184314478"/>
      <w:bookmarkEnd w:id="38"/>
      <w:bookmarkStart w:id="39" w:name="_Toc184313303"/>
      <w:bookmarkEnd w:id="39"/>
      <w:bookmarkStart w:id="40" w:name="_Toc184314448"/>
      <w:bookmarkEnd w:id="40"/>
      <w:bookmarkStart w:id="41" w:name="_Toc184308066"/>
      <w:bookmarkEnd w:id="41"/>
      <w:bookmarkStart w:id="42" w:name="_Toc184308105"/>
      <w:bookmarkEnd w:id="42"/>
      <w:bookmarkStart w:id="43" w:name="_Toc184310321"/>
      <w:bookmarkEnd w:id="43"/>
      <w:bookmarkStart w:id="44" w:name="_Toc184308075"/>
      <w:bookmarkEnd w:id="44"/>
      <w:bookmarkStart w:id="45" w:name="_Toc184310315"/>
      <w:bookmarkEnd w:id="45"/>
      <w:bookmarkStart w:id="46" w:name="_Toc184312109"/>
      <w:bookmarkEnd w:id="46"/>
      <w:bookmarkStart w:id="47" w:name="_Toc184308091"/>
      <w:bookmarkEnd w:id="47"/>
      <w:bookmarkStart w:id="48" w:name="_Toc184313269"/>
      <w:bookmarkEnd w:id="48"/>
      <w:bookmarkStart w:id="49" w:name="_Toc184312107"/>
      <w:bookmarkEnd w:id="49"/>
      <w:bookmarkStart w:id="50" w:name="_Toc184313305"/>
      <w:bookmarkEnd w:id="50"/>
      <w:bookmarkStart w:id="51" w:name="_Toc184310311"/>
      <w:bookmarkEnd w:id="51"/>
      <w:bookmarkStart w:id="52" w:name="_Toc184313309"/>
      <w:bookmarkEnd w:id="52"/>
      <w:bookmarkStart w:id="53" w:name="_Toc184310338"/>
      <w:bookmarkEnd w:id="53"/>
      <w:bookmarkStart w:id="54" w:name="_Toc184312097"/>
      <w:bookmarkEnd w:id="54"/>
      <w:bookmarkStart w:id="55" w:name="_Toc184310314"/>
      <w:bookmarkEnd w:id="55"/>
      <w:bookmarkStart w:id="56" w:name="_Toc184308062"/>
      <w:bookmarkEnd w:id="56"/>
      <w:bookmarkStart w:id="57" w:name="_Toc184308080"/>
      <w:bookmarkEnd w:id="57"/>
      <w:bookmarkStart w:id="58" w:name="_Toc184314457"/>
      <w:bookmarkEnd w:id="58"/>
      <w:bookmarkStart w:id="59" w:name="_Toc184310316"/>
      <w:bookmarkEnd w:id="59"/>
      <w:bookmarkStart w:id="60" w:name="_Toc184312119"/>
      <w:bookmarkEnd w:id="60"/>
      <w:bookmarkStart w:id="61" w:name="_Toc184308081"/>
      <w:bookmarkEnd w:id="61"/>
      <w:bookmarkStart w:id="62" w:name="_Toc184308048"/>
      <w:bookmarkEnd w:id="62"/>
      <w:bookmarkStart w:id="63" w:name="_Toc184310323"/>
      <w:bookmarkEnd w:id="63"/>
      <w:bookmarkStart w:id="64" w:name="_Toc184313265"/>
      <w:bookmarkEnd w:id="64"/>
      <w:bookmarkStart w:id="65" w:name="_Toc184308036"/>
      <w:bookmarkEnd w:id="65"/>
      <w:bookmarkStart w:id="66" w:name="_Toc184314446"/>
      <w:bookmarkEnd w:id="66"/>
      <w:bookmarkStart w:id="67" w:name="_Toc184314426"/>
      <w:bookmarkEnd w:id="67"/>
      <w:bookmarkStart w:id="68" w:name="_Toc184313270"/>
      <w:bookmarkEnd w:id="68"/>
      <w:bookmarkStart w:id="69" w:name="_Toc184314481"/>
      <w:bookmarkEnd w:id="69"/>
      <w:bookmarkStart w:id="70" w:name="_Toc184313259"/>
      <w:bookmarkEnd w:id="70"/>
      <w:bookmarkStart w:id="71" w:name="_Toc184310317"/>
      <w:bookmarkEnd w:id="71"/>
      <w:bookmarkStart w:id="72" w:name="_Toc184313256"/>
      <w:bookmarkEnd w:id="72"/>
      <w:bookmarkStart w:id="73" w:name="_Toc184314432"/>
      <w:bookmarkEnd w:id="73"/>
      <w:bookmarkStart w:id="74" w:name="_Toc184310272"/>
      <w:bookmarkEnd w:id="74"/>
      <w:bookmarkStart w:id="75" w:name="_Toc184308092"/>
      <w:bookmarkEnd w:id="75"/>
      <w:bookmarkStart w:id="76" w:name="_Toc184314475"/>
      <w:bookmarkEnd w:id="76"/>
      <w:bookmarkStart w:id="77" w:name="_Toc184312072"/>
      <w:bookmarkEnd w:id="77"/>
      <w:bookmarkStart w:id="78" w:name="_Toc184310330"/>
      <w:bookmarkEnd w:id="78"/>
      <w:bookmarkStart w:id="79" w:name="_Toc184314419"/>
      <w:bookmarkEnd w:id="79"/>
      <w:bookmarkStart w:id="80" w:name="_Toc184313251"/>
      <w:bookmarkEnd w:id="80"/>
      <w:bookmarkStart w:id="81" w:name="_Toc184312096"/>
      <w:bookmarkEnd w:id="81"/>
      <w:bookmarkStart w:id="82" w:name="_Toc184310289"/>
      <w:bookmarkEnd w:id="82"/>
      <w:bookmarkStart w:id="83" w:name="_Toc184313280"/>
      <w:bookmarkEnd w:id="83"/>
      <w:bookmarkStart w:id="84" w:name="_Toc184314425"/>
      <w:bookmarkEnd w:id="84"/>
      <w:bookmarkStart w:id="85" w:name="_Toc184314414"/>
      <w:bookmarkEnd w:id="85"/>
      <w:bookmarkStart w:id="86" w:name="_Toc184310274"/>
      <w:bookmarkEnd w:id="86"/>
      <w:bookmarkStart w:id="87" w:name="_Toc184310288"/>
      <w:bookmarkEnd w:id="87"/>
      <w:bookmarkStart w:id="88" w:name="_Toc184313292"/>
      <w:bookmarkEnd w:id="88"/>
      <w:bookmarkStart w:id="89" w:name="_Toc184310279"/>
      <w:bookmarkEnd w:id="89"/>
      <w:bookmarkStart w:id="90" w:name="_Toc184313277"/>
      <w:bookmarkEnd w:id="90"/>
      <w:bookmarkStart w:id="91" w:name="_Toc184314438"/>
      <w:bookmarkEnd w:id="91"/>
      <w:bookmarkStart w:id="92" w:name="_Toc184308041"/>
      <w:bookmarkEnd w:id="92"/>
      <w:bookmarkStart w:id="93" w:name="_Toc184310290"/>
      <w:bookmarkEnd w:id="93"/>
      <w:bookmarkStart w:id="94" w:name="_Toc184310320"/>
      <w:bookmarkEnd w:id="94"/>
      <w:bookmarkStart w:id="95" w:name="_Toc184310304"/>
      <w:bookmarkEnd w:id="95"/>
      <w:bookmarkStart w:id="96" w:name="_Toc184313252"/>
      <w:bookmarkEnd w:id="96"/>
      <w:bookmarkStart w:id="97" w:name="_Toc184312138"/>
      <w:bookmarkEnd w:id="97"/>
      <w:bookmarkStart w:id="98" w:name="_Toc184310325"/>
      <w:bookmarkEnd w:id="98"/>
      <w:bookmarkStart w:id="99" w:name="_Toc184312139"/>
      <w:bookmarkEnd w:id="99"/>
      <w:bookmarkStart w:id="100" w:name="_Toc184314480"/>
      <w:bookmarkEnd w:id="100"/>
      <w:bookmarkStart w:id="101" w:name="_Toc184312099"/>
      <w:bookmarkEnd w:id="101"/>
      <w:bookmarkStart w:id="102" w:name="_Toc184312103"/>
      <w:bookmarkEnd w:id="102"/>
      <w:bookmarkStart w:id="103" w:name="_Toc184313238"/>
      <w:bookmarkEnd w:id="103"/>
      <w:bookmarkStart w:id="104" w:name="_Toc184308037"/>
      <w:bookmarkEnd w:id="104"/>
      <w:bookmarkStart w:id="105" w:name="_Toc184312111"/>
      <w:bookmarkEnd w:id="105"/>
      <w:bookmarkStart w:id="106" w:name="_Toc184312074"/>
      <w:bookmarkEnd w:id="106"/>
      <w:bookmarkStart w:id="107" w:name="_Toc184312088"/>
      <w:bookmarkEnd w:id="107"/>
      <w:bookmarkStart w:id="108" w:name="_Toc184313273"/>
      <w:bookmarkEnd w:id="108"/>
      <w:bookmarkStart w:id="109" w:name="_Toc184314472"/>
      <w:bookmarkEnd w:id="109"/>
      <w:bookmarkStart w:id="110" w:name="_Toc184308070"/>
      <w:bookmarkEnd w:id="110"/>
      <w:bookmarkStart w:id="111" w:name="_Toc184312089"/>
      <w:bookmarkEnd w:id="111"/>
      <w:bookmarkStart w:id="112" w:name="_Toc184310309"/>
      <w:bookmarkEnd w:id="112"/>
      <w:bookmarkStart w:id="113" w:name="_Toc184308077"/>
      <w:bookmarkEnd w:id="113"/>
      <w:bookmarkStart w:id="114" w:name="_Toc184314452"/>
      <w:bookmarkEnd w:id="114"/>
      <w:bookmarkStart w:id="115" w:name="_Toc184313278"/>
      <w:bookmarkEnd w:id="115"/>
      <w:bookmarkStart w:id="116" w:name="_Toc184308054"/>
      <w:bookmarkEnd w:id="116"/>
      <w:bookmarkStart w:id="117" w:name="_Toc184308049"/>
      <w:bookmarkEnd w:id="117"/>
      <w:bookmarkStart w:id="118" w:name="_Toc184308044"/>
      <w:bookmarkEnd w:id="118"/>
      <w:bookmarkStart w:id="119" w:name="_Toc184312079"/>
      <w:bookmarkEnd w:id="119"/>
      <w:bookmarkStart w:id="120" w:name="_Toc184310343"/>
      <w:bookmarkEnd w:id="120"/>
      <w:bookmarkStart w:id="121" w:name="_Toc184313274"/>
      <w:bookmarkEnd w:id="121"/>
      <w:bookmarkStart w:id="122" w:name="_Toc184312095"/>
      <w:bookmarkEnd w:id="122"/>
      <w:bookmarkStart w:id="123" w:name="_Toc184308046"/>
      <w:bookmarkEnd w:id="123"/>
      <w:bookmarkStart w:id="124" w:name="_Toc184312129"/>
      <w:bookmarkEnd w:id="124"/>
      <w:bookmarkStart w:id="125" w:name="_Toc184313260"/>
      <w:bookmarkEnd w:id="125"/>
      <w:bookmarkStart w:id="126" w:name="_Toc184312122"/>
      <w:bookmarkEnd w:id="126"/>
      <w:bookmarkStart w:id="127" w:name="_Toc184310335"/>
      <w:bookmarkEnd w:id="127"/>
      <w:bookmarkStart w:id="128" w:name="_Toc184314429"/>
      <w:bookmarkEnd w:id="128"/>
      <w:bookmarkStart w:id="129" w:name="_Toc184310310"/>
      <w:bookmarkEnd w:id="129"/>
      <w:bookmarkStart w:id="130" w:name="_Toc184313291"/>
      <w:bookmarkEnd w:id="130"/>
      <w:bookmarkStart w:id="131" w:name="_Toc184313307"/>
      <w:bookmarkEnd w:id="131"/>
      <w:bookmarkStart w:id="132" w:name="_Toc184313243"/>
      <w:bookmarkEnd w:id="132"/>
      <w:bookmarkStart w:id="133" w:name="_Toc184308086"/>
      <w:bookmarkEnd w:id="133"/>
      <w:bookmarkStart w:id="134" w:name="_Toc184308087"/>
      <w:bookmarkEnd w:id="134"/>
      <w:bookmarkStart w:id="135" w:name="_Toc184310341"/>
      <w:bookmarkEnd w:id="135"/>
      <w:bookmarkStart w:id="136" w:name="_Toc184308100"/>
      <w:bookmarkEnd w:id="136"/>
      <w:bookmarkStart w:id="137" w:name="_Toc184314439"/>
      <w:bookmarkEnd w:id="137"/>
      <w:bookmarkStart w:id="138" w:name="_Toc184308064"/>
      <w:bookmarkEnd w:id="138"/>
      <w:bookmarkStart w:id="139" w:name="_Toc184313298"/>
      <w:bookmarkEnd w:id="139"/>
      <w:bookmarkStart w:id="140" w:name="_Toc184312098"/>
      <w:bookmarkEnd w:id="140"/>
      <w:bookmarkStart w:id="141" w:name="_Toc184308083"/>
      <w:bookmarkEnd w:id="141"/>
      <w:bookmarkStart w:id="142" w:name="_Toc184312101"/>
      <w:bookmarkEnd w:id="142"/>
      <w:bookmarkStart w:id="143" w:name="_Toc184308101"/>
      <w:bookmarkEnd w:id="143"/>
      <w:bookmarkStart w:id="144" w:name="_Toc184314449"/>
      <w:bookmarkEnd w:id="144"/>
      <w:bookmarkStart w:id="145" w:name="_Toc184312106"/>
      <w:bookmarkEnd w:id="145"/>
      <w:bookmarkStart w:id="146" w:name="_Toc184310294"/>
      <w:bookmarkEnd w:id="146"/>
      <w:bookmarkStart w:id="147" w:name="_Toc184314447"/>
      <w:bookmarkEnd w:id="147"/>
      <w:bookmarkStart w:id="148" w:name="_Toc184314417"/>
      <w:bookmarkEnd w:id="148"/>
      <w:bookmarkStart w:id="149" w:name="_Toc184313275"/>
      <w:bookmarkEnd w:id="149"/>
      <w:bookmarkStart w:id="150" w:name="_Toc184308082"/>
      <w:bookmarkEnd w:id="150"/>
      <w:bookmarkStart w:id="151" w:name="_Toc184308088"/>
      <w:bookmarkEnd w:id="151"/>
      <w:bookmarkStart w:id="152" w:name="_Toc184313288"/>
      <w:bookmarkEnd w:id="152"/>
      <w:bookmarkStart w:id="153" w:name="_Toc184314427"/>
      <w:bookmarkEnd w:id="153"/>
      <w:bookmarkStart w:id="154" w:name="_Toc184312070"/>
      <w:bookmarkEnd w:id="154"/>
      <w:bookmarkStart w:id="155" w:name="_Toc184310308"/>
      <w:bookmarkEnd w:id="155"/>
      <w:bookmarkStart w:id="156" w:name="_Toc184312104"/>
      <w:bookmarkEnd w:id="156"/>
      <w:bookmarkStart w:id="157" w:name="_Toc184313287"/>
      <w:bookmarkEnd w:id="157"/>
      <w:bookmarkStart w:id="158" w:name="_Toc184314440"/>
      <w:bookmarkEnd w:id="158"/>
      <w:bookmarkStart w:id="159" w:name="_Toc184310312"/>
      <w:bookmarkEnd w:id="159"/>
      <w:bookmarkStart w:id="160" w:name="_Toc184313242"/>
      <w:bookmarkEnd w:id="160"/>
      <w:bookmarkStart w:id="161" w:name="_Toc184314458"/>
      <w:bookmarkEnd w:id="161"/>
      <w:bookmarkStart w:id="162" w:name="_Toc184308095"/>
      <w:bookmarkEnd w:id="162"/>
      <w:bookmarkStart w:id="163" w:name="_Toc184313302"/>
      <w:bookmarkEnd w:id="163"/>
      <w:bookmarkStart w:id="164" w:name="_Toc184313262"/>
      <w:bookmarkEnd w:id="164"/>
      <w:bookmarkStart w:id="165" w:name="_Toc184314423"/>
      <w:bookmarkEnd w:id="165"/>
      <w:bookmarkStart w:id="166" w:name="_Toc184310339"/>
      <w:bookmarkEnd w:id="166"/>
      <w:bookmarkStart w:id="167" w:name="_Toc184308038"/>
      <w:bookmarkEnd w:id="167"/>
      <w:bookmarkStart w:id="168" w:name="_Toc184312100"/>
      <w:bookmarkEnd w:id="168"/>
      <w:bookmarkStart w:id="169" w:name="_Toc184314433"/>
      <w:bookmarkEnd w:id="169"/>
      <w:bookmarkStart w:id="170" w:name="_Toc184310284"/>
      <w:bookmarkEnd w:id="170"/>
      <w:bookmarkStart w:id="171" w:name="_Toc184310313"/>
      <w:bookmarkEnd w:id="171"/>
      <w:bookmarkStart w:id="172" w:name="_Toc184313310"/>
      <w:bookmarkEnd w:id="172"/>
      <w:bookmarkStart w:id="173" w:name="_Toc184314462"/>
      <w:bookmarkEnd w:id="173"/>
      <w:bookmarkStart w:id="174" w:name="_Toc184314453"/>
      <w:bookmarkEnd w:id="174"/>
      <w:bookmarkStart w:id="175" w:name="_Toc184314476"/>
      <w:bookmarkEnd w:id="175"/>
      <w:bookmarkStart w:id="176" w:name="_Toc184310282"/>
      <w:bookmarkEnd w:id="176"/>
      <w:bookmarkStart w:id="177" w:name="_Toc184312083"/>
      <w:bookmarkEnd w:id="177"/>
      <w:bookmarkStart w:id="178" w:name="_Toc184314467"/>
      <w:bookmarkEnd w:id="178"/>
      <w:bookmarkStart w:id="179" w:name="_Toc184312130"/>
      <w:bookmarkEnd w:id="179"/>
      <w:bookmarkStart w:id="180" w:name="_Toc184310293"/>
      <w:bookmarkEnd w:id="180"/>
      <w:bookmarkStart w:id="181" w:name="_Toc184313266"/>
      <w:bookmarkEnd w:id="181"/>
      <w:bookmarkStart w:id="182" w:name="_Toc184310306"/>
      <w:bookmarkEnd w:id="182"/>
      <w:bookmarkStart w:id="183" w:name="_Toc184312076"/>
      <w:bookmarkEnd w:id="183"/>
      <w:bookmarkStart w:id="184" w:name="_Toc184312094"/>
      <w:bookmarkEnd w:id="184"/>
      <w:bookmarkStart w:id="185" w:name="_Toc184313261"/>
      <w:bookmarkEnd w:id="185"/>
      <w:bookmarkStart w:id="186" w:name="_Toc184312115"/>
      <w:bookmarkEnd w:id="186"/>
      <w:bookmarkStart w:id="187" w:name="_Toc184312068"/>
      <w:bookmarkEnd w:id="187"/>
      <w:bookmarkStart w:id="188" w:name="_Toc184310277"/>
      <w:bookmarkEnd w:id="188"/>
      <w:bookmarkStart w:id="189" w:name="_Toc184313239"/>
      <w:bookmarkEnd w:id="189"/>
      <w:bookmarkStart w:id="190" w:name="_Toc184310344"/>
      <w:bookmarkEnd w:id="190"/>
      <w:bookmarkStart w:id="191" w:name="_Toc184313293"/>
      <w:bookmarkEnd w:id="191"/>
      <w:bookmarkStart w:id="192" w:name="_Toc184308039"/>
      <w:bookmarkEnd w:id="192"/>
      <w:bookmarkStart w:id="193" w:name="_Toc184313253"/>
      <w:bookmarkEnd w:id="193"/>
      <w:bookmarkStart w:id="194" w:name="_Toc184310281"/>
      <w:bookmarkEnd w:id="194"/>
      <w:bookmarkStart w:id="195" w:name="_Toc184312073"/>
      <w:bookmarkEnd w:id="195"/>
      <w:bookmarkStart w:id="196" w:name="_Toc184312105"/>
      <w:bookmarkEnd w:id="196"/>
      <w:bookmarkStart w:id="197" w:name="_Toc184313258"/>
      <w:bookmarkEnd w:id="197"/>
      <w:bookmarkStart w:id="198" w:name="_Toc184308043"/>
      <w:bookmarkEnd w:id="198"/>
      <w:bookmarkStart w:id="199" w:name="_Toc184310291"/>
      <w:bookmarkEnd w:id="199"/>
      <w:bookmarkStart w:id="200" w:name="_Toc184308108"/>
      <w:bookmarkEnd w:id="200"/>
      <w:bookmarkStart w:id="201" w:name="_Toc184308093"/>
      <w:bookmarkEnd w:id="201"/>
      <w:bookmarkStart w:id="202" w:name="_Toc184310286"/>
      <w:bookmarkEnd w:id="202"/>
      <w:bookmarkStart w:id="203" w:name="_Toc184308055"/>
      <w:bookmarkEnd w:id="203"/>
      <w:bookmarkStart w:id="204" w:name="_Toc184312086"/>
      <w:bookmarkEnd w:id="204"/>
      <w:bookmarkStart w:id="205" w:name="_Toc184308098"/>
      <w:bookmarkEnd w:id="205"/>
      <w:bookmarkStart w:id="206" w:name="_Toc184308074"/>
      <w:bookmarkEnd w:id="206"/>
      <w:bookmarkStart w:id="207" w:name="_Toc184310336"/>
      <w:bookmarkEnd w:id="207"/>
      <w:bookmarkStart w:id="208" w:name="_Toc184313241"/>
      <w:bookmarkEnd w:id="208"/>
      <w:bookmarkStart w:id="209" w:name="_Toc184310305"/>
      <w:bookmarkEnd w:id="209"/>
      <w:bookmarkStart w:id="210" w:name="_Toc184313263"/>
      <w:bookmarkEnd w:id="210"/>
      <w:bookmarkStart w:id="211" w:name="_Toc184310342"/>
      <w:bookmarkEnd w:id="211"/>
      <w:bookmarkStart w:id="212" w:name="_Toc184313297"/>
      <w:bookmarkEnd w:id="212"/>
      <w:bookmarkStart w:id="213" w:name="_Toc184313279"/>
      <w:bookmarkEnd w:id="213"/>
      <w:bookmarkStart w:id="214" w:name="_Toc184313285"/>
      <w:bookmarkEnd w:id="214"/>
      <w:bookmarkStart w:id="215" w:name="_Toc184308051"/>
      <w:bookmarkEnd w:id="215"/>
      <w:bookmarkStart w:id="216" w:name="_Toc184313249"/>
      <w:bookmarkEnd w:id="216"/>
      <w:bookmarkStart w:id="217" w:name="_Toc184314430"/>
      <w:bookmarkEnd w:id="217"/>
      <w:bookmarkStart w:id="218" w:name="_Toc184313245"/>
      <w:bookmarkEnd w:id="218"/>
      <w:bookmarkStart w:id="219" w:name="_Toc184310301"/>
      <w:bookmarkEnd w:id="219"/>
      <w:bookmarkStart w:id="220" w:name="_Toc184310278"/>
      <w:bookmarkEnd w:id="220"/>
      <w:bookmarkStart w:id="221" w:name="_Toc184310300"/>
      <w:bookmarkEnd w:id="221"/>
      <w:bookmarkStart w:id="222" w:name="_Toc184312077"/>
      <w:bookmarkEnd w:id="222"/>
      <w:bookmarkStart w:id="223" w:name="_Toc184313271"/>
      <w:bookmarkEnd w:id="223"/>
      <w:bookmarkStart w:id="224" w:name="_Toc184314422"/>
      <w:bookmarkEnd w:id="224"/>
      <w:bookmarkStart w:id="225" w:name="_Toc184314465"/>
      <w:bookmarkEnd w:id="225"/>
      <w:bookmarkStart w:id="226" w:name="_Toc184314469"/>
      <w:bookmarkEnd w:id="226"/>
      <w:bookmarkStart w:id="227" w:name="_Toc184313282"/>
      <w:bookmarkEnd w:id="227"/>
      <w:bookmarkStart w:id="228" w:name="_Toc184313289"/>
      <w:bookmarkEnd w:id="228"/>
      <w:bookmarkStart w:id="229" w:name="_Toc184313250"/>
      <w:bookmarkEnd w:id="229"/>
      <w:bookmarkStart w:id="230" w:name="_Toc184312131"/>
      <w:bookmarkEnd w:id="230"/>
      <w:bookmarkStart w:id="231" w:name="_Toc184314411"/>
      <w:bookmarkEnd w:id="231"/>
      <w:bookmarkStart w:id="232" w:name="_Toc184313284"/>
      <w:bookmarkEnd w:id="232"/>
      <w:bookmarkStart w:id="233" w:name="_Toc184310298"/>
      <w:bookmarkEnd w:id="233"/>
      <w:bookmarkStart w:id="234" w:name="_Toc184310280"/>
      <w:bookmarkEnd w:id="234"/>
      <w:bookmarkStart w:id="235" w:name="_Toc184308084"/>
      <w:bookmarkEnd w:id="235"/>
      <w:bookmarkStart w:id="236" w:name="_Toc184314454"/>
      <w:bookmarkEnd w:id="236"/>
      <w:bookmarkStart w:id="237" w:name="_Toc184313248"/>
      <w:bookmarkEnd w:id="237"/>
      <w:bookmarkStart w:id="238" w:name="_Toc184313268"/>
      <w:bookmarkEnd w:id="238"/>
      <w:bookmarkStart w:id="239" w:name="_Toc184308047"/>
      <w:bookmarkEnd w:id="239"/>
      <w:bookmarkStart w:id="240" w:name="_Toc184310322"/>
      <w:bookmarkEnd w:id="240"/>
      <w:bookmarkStart w:id="241" w:name="_Toc184314418"/>
      <w:bookmarkEnd w:id="241"/>
      <w:bookmarkStart w:id="242" w:name="_Toc184314431"/>
      <w:bookmarkEnd w:id="242"/>
      <w:bookmarkStart w:id="243" w:name="_Toc184312125"/>
      <w:bookmarkEnd w:id="243"/>
      <w:bookmarkStart w:id="244" w:name="_Toc184314461"/>
      <w:bookmarkEnd w:id="244"/>
      <w:bookmarkStart w:id="245" w:name="_Toc184314412"/>
      <w:bookmarkEnd w:id="245"/>
      <w:bookmarkStart w:id="246" w:name="_Toc184308106"/>
      <w:bookmarkEnd w:id="246"/>
      <w:bookmarkStart w:id="247" w:name="_Toc184312116"/>
      <w:bookmarkEnd w:id="247"/>
      <w:bookmarkStart w:id="248" w:name="_Toc184313290"/>
      <w:bookmarkEnd w:id="248"/>
      <w:bookmarkStart w:id="249" w:name="_Toc184313301"/>
      <w:bookmarkEnd w:id="249"/>
      <w:bookmarkStart w:id="250" w:name="_Toc184308071"/>
      <w:bookmarkEnd w:id="250"/>
      <w:bookmarkStart w:id="251" w:name="_Toc184310297"/>
      <w:bookmarkEnd w:id="251"/>
      <w:bookmarkStart w:id="252" w:name="_Toc184310327"/>
      <w:bookmarkEnd w:id="252"/>
      <w:bookmarkStart w:id="253" w:name="_Toc184314451"/>
      <w:bookmarkEnd w:id="253"/>
      <w:bookmarkStart w:id="254" w:name="_Toc184308103"/>
      <w:bookmarkEnd w:id="254"/>
      <w:bookmarkStart w:id="255" w:name="_Toc184312092"/>
      <w:bookmarkEnd w:id="255"/>
      <w:bookmarkStart w:id="256" w:name="_Toc184312134"/>
      <w:bookmarkEnd w:id="256"/>
      <w:bookmarkStart w:id="257" w:name="_Toc184312132"/>
      <w:bookmarkEnd w:id="257"/>
      <w:bookmarkStart w:id="258" w:name="_Toc184314420"/>
      <w:bookmarkEnd w:id="258"/>
      <w:bookmarkStart w:id="259" w:name="_Toc184314421"/>
      <w:bookmarkEnd w:id="259"/>
      <w:bookmarkStart w:id="260" w:name="_Toc184313300"/>
      <w:bookmarkEnd w:id="260"/>
      <w:bookmarkStart w:id="261" w:name="_Toc184313308"/>
      <w:bookmarkEnd w:id="261"/>
      <w:bookmarkStart w:id="262" w:name="_Toc184308065"/>
      <w:bookmarkEnd w:id="262"/>
      <w:bookmarkStart w:id="263" w:name="_Toc184310332"/>
      <w:bookmarkEnd w:id="263"/>
      <w:bookmarkStart w:id="264" w:name="_Toc184310307"/>
      <w:bookmarkEnd w:id="264"/>
      <w:bookmarkStart w:id="265" w:name="_Toc184314450"/>
      <w:bookmarkEnd w:id="265"/>
      <w:bookmarkStart w:id="266" w:name="_Toc184310319"/>
      <w:bookmarkEnd w:id="266"/>
      <w:bookmarkStart w:id="267" w:name="_Toc184314463"/>
      <w:bookmarkEnd w:id="267"/>
      <w:bookmarkStart w:id="268" w:name="_Toc184310285"/>
      <w:bookmarkEnd w:id="268"/>
      <w:bookmarkStart w:id="269" w:name="_Toc184313296"/>
      <w:bookmarkEnd w:id="269"/>
      <w:bookmarkStart w:id="270" w:name="_Toc184312071"/>
      <w:bookmarkEnd w:id="270"/>
      <w:bookmarkStart w:id="271" w:name="_Toc184312082"/>
      <w:bookmarkEnd w:id="271"/>
      <w:bookmarkStart w:id="272" w:name="_Toc184308061"/>
      <w:bookmarkEnd w:id="272"/>
      <w:bookmarkStart w:id="273" w:name="_Toc184308107"/>
      <w:bookmarkEnd w:id="273"/>
      <w:bookmarkStart w:id="274" w:name="_Toc184312124"/>
      <w:bookmarkEnd w:id="274"/>
      <w:bookmarkStart w:id="275" w:name="_Toc184308063"/>
      <w:bookmarkEnd w:id="275"/>
      <w:bookmarkStart w:id="276" w:name="_Toc184314473"/>
      <w:bookmarkEnd w:id="276"/>
      <w:bookmarkStart w:id="277" w:name="_Toc184312123"/>
      <w:bookmarkEnd w:id="277"/>
      <w:bookmarkStart w:id="278" w:name="_Toc184314436"/>
      <w:bookmarkEnd w:id="278"/>
      <w:bookmarkStart w:id="279" w:name="_Toc184312136"/>
      <w:bookmarkEnd w:id="279"/>
      <w:bookmarkStart w:id="280" w:name="_Toc184308040"/>
      <w:bookmarkEnd w:id="280"/>
      <w:bookmarkStart w:id="281" w:name="_Toc184312078"/>
      <w:bookmarkEnd w:id="281"/>
      <w:bookmarkStart w:id="282" w:name="_Toc184314479"/>
      <w:bookmarkEnd w:id="282"/>
      <w:bookmarkStart w:id="283" w:name="_Toc184314434"/>
      <w:bookmarkEnd w:id="283"/>
      <w:bookmarkStart w:id="284" w:name="_Toc184313247"/>
      <w:bookmarkEnd w:id="284"/>
      <w:bookmarkStart w:id="285" w:name="_Toc184310324"/>
      <w:bookmarkEnd w:id="285"/>
      <w:bookmarkStart w:id="286" w:name="_Toc184312087"/>
      <w:bookmarkEnd w:id="286"/>
      <w:bookmarkStart w:id="287" w:name="_Toc184314470"/>
      <w:bookmarkEnd w:id="287"/>
      <w:bookmarkStart w:id="288" w:name="_Toc184312118"/>
      <w:bookmarkEnd w:id="288"/>
      <w:bookmarkStart w:id="289" w:name="_Toc184313306"/>
      <w:bookmarkEnd w:id="289"/>
      <w:bookmarkStart w:id="290" w:name="_Toc184310328"/>
      <w:bookmarkEnd w:id="290"/>
      <w:bookmarkStart w:id="291" w:name="_Toc184313267"/>
      <w:bookmarkEnd w:id="291"/>
      <w:bookmarkStart w:id="292" w:name="_Toc184314444"/>
      <w:bookmarkEnd w:id="292"/>
      <w:bookmarkStart w:id="293" w:name="_Toc184312117"/>
      <w:bookmarkEnd w:id="293"/>
      <w:bookmarkStart w:id="294" w:name="_Toc184308053"/>
      <w:bookmarkEnd w:id="294"/>
      <w:bookmarkStart w:id="295" w:name="_Toc184308059"/>
      <w:bookmarkEnd w:id="295"/>
      <w:bookmarkStart w:id="296" w:name="_Toc184313257"/>
      <w:bookmarkEnd w:id="296"/>
      <w:bookmarkStart w:id="297" w:name="_Toc184313254"/>
      <w:bookmarkEnd w:id="297"/>
      <w:bookmarkStart w:id="298" w:name="_Toc184308102"/>
      <w:bookmarkEnd w:id="298"/>
      <w:bookmarkStart w:id="299" w:name="_Toc184308076"/>
      <w:bookmarkEnd w:id="299"/>
      <w:bookmarkStart w:id="300" w:name="_Toc184313255"/>
      <w:bookmarkEnd w:id="300"/>
      <w:bookmarkStart w:id="301" w:name="_Toc184312127"/>
      <w:bookmarkEnd w:id="301"/>
      <w:bookmarkStart w:id="302" w:name="_Toc184310302"/>
      <w:bookmarkEnd w:id="302"/>
      <w:bookmarkStart w:id="303" w:name="_Toc184310334"/>
      <w:bookmarkEnd w:id="303"/>
      <w:bookmarkStart w:id="304" w:name="_Toc184312093"/>
      <w:bookmarkEnd w:id="304"/>
      <w:bookmarkStart w:id="305" w:name="_Toc184312112"/>
      <w:bookmarkEnd w:id="305"/>
      <w:bookmarkStart w:id="306" w:name="_Toc184308067"/>
      <w:bookmarkEnd w:id="306"/>
      <w:bookmarkStart w:id="307" w:name="_Toc184314464"/>
      <w:bookmarkEnd w:id="307"/>
      <w:bookmarkStart w:id="308" w:name="_Toc184314477"/>
      <w:bookmarkEnd w:id="308"/>
      <w:bookmarkStart w:id="309" w:name="_Toc184310340"/>
      <w:bookmarkEnd w:id="309"/>
      <w:bookmarkStart w:id="310" w:name="_Toc184314442"/>
      <w:bookmarkEnd w:id="310"/>
      <w:bookmarkStart w:id="311" w:name="_Toc184313295"/>
      <w:bookmarkEnd w:id="311"/>
      <w:bookmarkStart w:id="312" w:name="_Toc184310337"/>
      <w:bookmarkEnd w:id="312"/>
      <w:bookmarkStart w:id="313" w:name="_Toc184312114"/>
      <w:bookmarkEnd w:id="313"/>
      <w:bookmarkStart w:id="314" w:name="_Toc184312090"/>
      <w:bookmarkEnd w:id="314"/>
      <w:bookmarkStart w:id="315" w:name="_Toc184310292"/>
      <w:bookmarkEnd w:id="315"/>
      <w:bookmarkStart w:id="316" w:name="_Toc184308073"/>
      <w:bookmarkEnd w:id="316"/>
      <w:bookmarkStart w:id="317" w:name="_Toc184314456"/>
      <w:bookmarkEnd w:id="317"/>
      <w:bookmarkStart w:id="318" w:name="_Toc184308094"/>
      <w:bookmarkEnd w:id="318"/>
      <w:bookmarkStart w:id="319" w:name="_Toc184312102"/>
      <w:bookmarkEnd w:id="319"/>
      <w:bookmarkStart w:id="320" w:name="_Toc184308078"/>
      <w:bookmarkEnd w:id="320"/>
      <w:bookmarkStart w:id="321" w:name="_Toc184314435"/>
      <w:bookmarkEnd w:id="321"/>
      <w:bookmarkStart w:id="322" w:name="_Toc184312081"/>
      <w:bookmarkEnd w:id="322"/>
      <w:bookmarkStart w:id="323" w:name="_Toc184312110"/>
      <w:bookmarkEnd w:id="323"/>
      <w:bookmarkStart w:id="324" w:name="_Toc184314471"/>
      <w:bookmarkEnd w:id="324"/>
      <w:bookmarkStart w:id="325" w:name="_Toc184308050"/>
      <w:bookmarkEnd w:id="325"/>
      <w:bookmarkStart w:id="326" w:name="_Toc184308069"/>
      <w:bookmarkEnd w:id="326"/>
      <w:bookmarkStart w:id="327" w:name="_Toc184314441"/>
      <w:bookmarkEnd w:id="327"/>
      <w:bookmarkStart w:id="328" w:name="_Toc184308104"/>
      <w:bookmarkEnd w:id="328"/>
      <w:bookmarkStart w:id="329" w:name="_Toc184308068"/>
      <w:bookmarkEnd w:id="329"/>
      <w:bookmarkStart w:id="330" w:name="_Toc184310276"/>
      <w:bookmarkEnd w:id="330"/>
      <w:bookmarkStart w:id="331" w:name="_Toc184314443"/>
      <w:bookmarkEnd w:id="331"/>
      <w:bookmarkStart w:id="332" w:name="_Toc184312128"/>
      <w:bookmarkEnd w:id="332"/>
      <w:bookmarkStart w:id="333" w:name="_Toc184314428"/>
      <w:bookmarkEnd w:id="333"/>
      <w:bookmarkStart w:id="334" w:name="_Toc184310318"/>
      <w:bookmarkEnd w:id="334"/>
      <w:bookmarkStart w:id="335" w:name="_Toc184308085"/>
      <w:bookmarkEnd w:id="335"/>
      <w:bookmarkStart w:id="336" w:name="_Toc184313246"/>
      <w:bookmarkEnd w:id="336"/>
      <w:bookmarkStart w:id="337" w:name="_Toc184308060"/>
      <w:bookmarkEnd w:id="337"/>
      <w:bookmarkStart w:id="338" w:name="_Toc184310303"/>
      <w:bookmarkEnd w:id="338"/>
      <w:bookmarkStart w:id="339" w:name="_Toc184314455"/>
      <w:bookmarkEnd w:id="339"/>
      <w:bookmarkStart w:id="340" w:name="_Toc184312135"/>
      <w:bookmarkEnd w:id="340"/>
      <w:bookmarkStart w:id="341" w:name="_Toc184310331"/>
      <w:bookmarkEnd w:id="341"/>
      <w:bookmarkStart w:id="342" w:name="_Toc184313299"/>
      <w:bookmarkEnd w:id="342"/>
      <w:bookmarkStart w:id="343" w:name="_Toc184312084"/>
      <w:bookmarkEnd w:id="343"/>
      <w:bookmarkStart w:id="344" w:name="_Toc184312126"/>
      <w:bookmarkEnd w:id="344"/>
      <w:bookmarkStart w:id="345" w:name="_Toc184313264"/>
      <w:bookmarkEnd w:id="345"/>
      <w:bookmarkStart w:id="346" w:name="_Toc184308089"/>
      <w:bookmarkEnd w:id="346"/>
      <w:bookmarkStart w:id="347" w:name="_Toc184308079"/>
      <w:bookmarkEnd w:id="347"/>
      <w:bookmarkStart w:id="348" w:name="_Toc184312120"/>
      <w:bookmarkEnd w:id="348"/>
      <w:bookmarkStart w:id="349" w:name="_Toc184313304"/>
      <w:bookmarkEnd w:id="349"/>
      <w:bookmarkStart w:id="350" w:name="_Toc184310333"/>
      <w:bookmarkEnd w:id="350"/>
      <w:bookmarkStart w:id="351" w:name="_Toc184310273"/>
      <w:bookmarkEnd w:id="351"/>
      <w:bookmarkStart w:id="352" w:name="_Toc184312067"/>
      <w:bookmarkEnd w:id="352"/>
      <w:bookmarkStart w:id="353" w:name="_Toc184314415"/>
      <w:bookmarkEnd w:id="353"/>
      <w:bookmarkStart w:id="354" w:name="_Toc184313286"/>
      <w:bookmarkEnd w:id="354"/>
      <w:bookmarkStart w:id="355" w:name="_Toc184314466"/>
      <w:bookmarkEnd w:id="355"/>
      <w:bookmarkStart w:id="356" w:name="_Toc184310295"/>
      <w:bookmarkEnd w:id="356"/>
      <w:bookmarkStart w:id="357" w:name="_Toc184310283"/>
      <w:bookmarkEnd w:id="357"/>
      <w:bookmarkStart w:id="358" w:name="_Toc184308096"/>
      <w:bookmarkEnd w:id="358"/>
      <w:bookmarkStart w:id="359" w:name="_Toc184308057"/>
      <w:bookmarkEnd w:id="359"/>
      <w:bookmarkStart w:id="360" w:name="_Toc184313244"/>
      <w:bookmarkEnd w:id="360"/>
      <w:bookmarkStart w:id="361" w:name="_Toc184312085"/>
      <w:bookmarkEnd w:id="361"/>
      <w:bookmarkStart w:id="362" w:name="_Toc184314482"/>
      <w:bookmarkEnd w:id="362"/>
      <w:bookmarkStart w:id="363" w:name="_Toc184308072"/>
      <w:bookmarkEnd w:id="363"/>
      <w:bookmarkStart w:id="364" w:name="_Toc184310299"/>
      <w:bookmarkEnd w:id="364"/>
      <w:bookmarkStart w:id="365" w:name="_Toc184308097"/>
      <w:bookmarkEnd w:id="365"/>
      <w:bookmarkStart w:id="366" w:name="_Toc184312121"/>
      <w:bookmarkEnd w:id="366"/>
      <w:bookmarkStart w:id="367" w:name="_Toc184312133"/>
      <w:bookmarkEnd w:id="367"/>
      <w:bookmarkStart w:id="368" w:name="_Toc184310326"/>
      <w:bookmarkEnd w:id="368"/>
      <w:bookmarkStart w:id="369" w:name="_Toc184313281"/>
      <w:bookmarkEnd w:id="369"/>
      <w:bookmarkStart w:id="370" w:name="_Toc184313276"/>
      <w:bookmarkEnd w:id="370"/>
      <w:bookmarkStart w:id="371" w:name="_Toc184314424"/>
      <w:bookmarkEnd w:id="371"/>
      <w:bookmarkStart w:id="372" w:name="_Toc184312080"/>
      <w:bookmarkEnd w:id="372"/>
      <w:bookmarkStart w:id="373" w:name="_Toc184314460"/>
      <w:bookmarkEnd w:id="373"/>
      <w:bookmarkStart w:id="374" w:name="_Toc184312075"/>
      <w:bookmarkEnd w:id="374"/>
      <w:bookmarkStart w:id="375" w:name="_Toc184308056"/>
      <w:bookmarkEnd w:id="375"/>
      <w:bookmarkStart w:id="376" w:name="_Toc184308099"/>
      <w:bookmarkEnd w:id="376"/>
      <w:bookmarkStart w:id="377" w:name="_Toc184314468"/>
      <w:bookmarkEnd w:id="377"/>
      <w:bookmarkStart w:id="378" w:name="_Toc184313294"/>
      <w:bookmarkEnd w:id="378"/>
      <w:bookmarkStart w:id="379" w:name="_Toc184312108"/>
      <w:bookmarkEnd w:id="379"/>
      <w:bookmarkStart w:id="380" w:name="_Toc184310275"/>
      <w:bookmarkEnd w:id="380"/>
      <w:bookmarkStart w:id="381" w:name="_Toc184314410"/>
      <w:bookmarkEnd w:id="381"/>
      <w:bookmarkStart w:id="382" w:name="_Toc184312069"/>
      <w:bookmarkEnd w:id="382"/>
      <w:bookmarkStart w:id="383" w:name="_Toc184313240"/>
      <w:bookmarkEnd w:id="383"/>
      <w:bookmarkStart w:id="384" w:name="_Toc184310329"/>
      <w:bookmarkEnd w:id="384"/>
      <w:bookmarkStart w:id="385" w:name="_Toc184313272"/>
      <w:bookmarkEnd w:id="385"/>
      <w:bookmarkStart w:id="386" w:name="_Toc184308045"/>
      <w:bookmarkEnd w:id="386"/>
      <w:bookmarkStart w:id="387" w:name="_Toc184310287"/>
      <w:bookmarkEnd w:id="387"/>
      <w:bookmarkStart w:id="388" w:name="_Toc184310296"/>
      <w:bookmarkEnd w:id="388"/>
      <w:bookmarkStart w:id="389" w:name="_Toc184314459"/>
      <w:bookmarkEnd w:id="389"/>
      <w:bookmarkStart w:id="390" w:name="_Toc184312113"/>
      <w:bookmarkEnd w:id="390"/>
      <w:bookmarkStart w:id="391" w:name="_Toc184308090"/>
      <w:bookmarkEnd w:id="391"/>
      <w:bookmarkStart w:id="392" w:name="_Toc184312137"/>
      <w:bookmarkEnd w:id="392"/>
      <w:bookmarkStart w:id="393" w:name="_Toc184312091"/>
      <w:bookmarkEnd w:id="393"/>
      <w:bookmarkStart w:id="394" w:name="_Toc184308058"/>
      <w:bookmarkEnd w:id="394"/>
      <w:r>
        <w:rPr>
          <w:rFonts w:hint="eastAsia" w:ascii="仿宋" w:hAnsi="仿宋" w:eastAsia="仿宋" w:cs="仿宋"/>
          <w:b/>
          <w:color w:val="auto"/>
          <w:sz w:val="36"/>
          <w:szCs w:val="36"/>
          <w:highlight w:val="none"/>
        </w:rPr>
        <w:t>评标办法</w:t>
      </w:r>
    </w:p>
    <w:p>
      <w:pPr>
        <w:snapToGrid w:val="0"/>
        <w:spacing w:line="360" w:lineRule="auto"/>
        <w:jc w:val="center"/>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tbl>
      <w:tblPr>
        <w:tblStyle w:val="62"/>
        <w:tblpPr w:leftFromText="180" w:rightFromText="180" w:vertAnchor="text" w:horzAnchor="page" w:tblpX="1031" w:tblpY="126"/>
        <w:tblW w:w="52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512"/>
        <w:gridCol w:w="5011"/>
        <w:gridCol w:w="831"/>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9" w:type="pct"/>
            <w:vAlign w:val="center"/>
          </w:tcPr>
          <w:p>
            <w:pPr>
              <w:jc w:val="center"/>
              <w:outlineLvl w:val="0"/>
              <w:rPr>
                <w:rFonts w:ascii="仿宋" w:hAnsi="仿宋" w:eastAsia="仿宋" w:cs="仿宋"/>
                <w:bCs/>
                <w:color w:val="auto"/>
                <w:sz w:val="24"/>
                <w:highlight w:val="none"/>
              </w:rPr>
            </w:pPr>
            <w:bookmarkStart w:id="395" w:name="_Hlk92870771"/>
            <w:r>
              <w:rPr>
                <w:rFonts w:hint="eastAsia" w:ascii="仿宋" w:hAnsi="仿宋" w:eastAsia="仿宋" w:cs="仿宋"/>
                <w:bCs/>
                <w:color w:val="auto"/>
                <w:sz w:val="24"/>
                <w:highlight w:val="none"/>
              </w:rPr>
              <w:t>序号</w:t>
            </w:r>
          </w:p>
        </w:tc>
        <w:tc>
          <w:tcPr>
            <w:tcW w:w="786" w:type="pct"/>
            <w:vAlign w:val="center"/>
          </w:tcPr>
          <w:p>
            <w:pPr>
              <w:jc w:val="center"/>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评分项目</w:t>
            </w:r>
          </w:p>
        </w:tc>
        <w:tc>
          <w:tcPr>
            <w:tcW w:w="2604" w:type="pct"/>
            <w:vAlign w:val="center"/>
          </w:tcPr>
          <w:p>
            <w:pPr>
              <w:jc w:val="center"/>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评标标准</w:t>
            </w:r>
          </w:p>
        </w:tc>
        <w:tc>
          <w:tcPr>
            <w:tcW w:w="432" w:type="pct"/>
            <w:vAlign w:val="center"/>
          </w:tcPr>
          <w:p>
            <w:pPr>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权重</w:t>
            </w:r>
          </w:p>
        </w:tc>
        <w:tc>
          <w:tcPr>
            <w:tcW w:w="777" w:type="pct"/>
          </w:tcPr>
          <w:p>
            <w:pPr>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投标文件中评标标准相应的商务技术资料目录</w:t>
            </w:r>
            <w:r>
              <w:rPr>
                <w:rFonts w:hint="eastAsia" w:ascii="仿宋" w:hAnsi="仿宋" w:eastAsia="仿宋" w:cs="仿宋"/>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9" w:type="pct"/>
            <w:vAlign w:val="center"/>
          </w:tcPr>
          <w:p>
            <w:pPr>
              <w:ind w:firstLine="0" w:firstLineChars="0"/>
              <w:jc w:val="center"/>
              <w:outlineLvl w:val="0"/>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786" w:type="pct"/>
            <w:vAlign w:val="center"/>
          </w:tcPr>
          <w:p>
            <w:pPr>
              <w:pStyle w:val="6"/>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投标人业绩</w:t>
            </w:r>
          </w:p>
        </w:tc>
        <w:tc>
          <w:tcPr>
            <w:tcW w:w="2604" w:type="pct"/>
          </w:tcPr>
          <w:p>
            <w:pPr>
              <w:pStyle w:val="6"/>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投标人自2017年1月1日以来（以项目完成证明材料载明的时间为准）完成过含总承包项目的公共建筑工程全过程跟踪审计服务类似项目业绩（单独的结算审核业绩不计），每个得0.1分，最高分0.5分。</w:t>
            </w:r>
          </w:p>
          <w:p>
            <w:pPr>
              <w:pStyle w:val="6"/>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证明材料：需提供合同（或中标通知书）复印件加盖公章和项目完成相关证明资料（如结算审核报告、结算送审申请、竣工验收报告等）复印件加盖公章。如上述资料不能体现业绩要求内容的，应提供服务委托单位的证明予以说明（复印件加盖公章）。</w:t>
            </w:r>
          </w:p>
        </w:tc>
        <w:tc>
          <w:tcPr>
            <w:tcW w:w="432" w:type="pct"/>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0.5</w:t>
            </w:r>
          </w:p>
        </w:tc>
        <w:tc>
          <w:tcPr>
            <w:tcW w:w="777" w:type="pct"/>
            <w:vAlign w:val="center"/>
          </w:tcPr>
          <w:p>
            <w:pPr>
              <w:pStyle w:val="6"/>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9" w:type="pct"/>
            <w:vAlign w:val="center"/>
          </w:tcPr>
          <w:p>
            <w:pPr>
              <w:ind w:firstLine="0" w:firstLineChars="0"/>
              <w:jc w:val="center"/>
              <w:outlineLvl w:val="0"/>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786" w:type="pct"/>
            <w:vAlign w:val="center"/>
          </w:tcPr>
          <w:p>
            <w:pPr>
              <w:pStyle w:val="6"/>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项目负责人业绩</w:t>
            </w:r>
          </w:p>
        </w:tc>
        <w:tc>
          <w:tcPr>
            <w:tcW w:w="2604" w:type="pct"/>
          </w:tcPr>
          <w:p>
            <w:pPr>
              <w:pStyle w:val="6"/>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拟派项目负责人自2017年1月1日以来（以项目完成证明材料载明的时间为准）完成过含总承包项目的公共建筑工程全过程跟踪审计服务类似项目业绩（单独的结算审核业绩不计），每个得0.1分，最高分0.5分。</w:t>
            </w:r>
          </w:p>
          <w:p>
            <w:pPr>
              <w:pStyle w:val="6"/>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可以与投标人业绩为同一合同项目。</w:t>
            </w:r>
          </w:p>
          <w:p>
            <w:pPr>
              <w:pStyle w:val="6"/>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证明材料：需提供合同（或中标通知书）复印件加盖公章和项目完成相关证明资料（如结算审核报告、结算送审申请、竣工验收报告等）复印件加盖公章。如上述资料不能体现项目负责人业绩要求内容的，应提供服务委托单位的证明予以说明（复印件加盖公章）。</w:t>
            </w:r>
          </w:p>
        </w:tc>
        <w:tc>
          <w:tcPr>
            <w:tcW w:w="432" w:type="pct"/>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0.5</w:t>
            </w:r>
          </w:p>
        </w:tc>
        <w:tc>
          <w:tcPr>
            <w:tcW w:w="777" w:type="pct"/>
            <w:vAlign w:val="center"/>
          </w:tcPr>
          <w:p>
            <w:pPr>
              <w:pStyle w:val="6"/>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9" w:type="pct"/>
            <w:vAlign w:val="center"/>
          </w:tcPr>
          <w:p>
            <w:pPr>
              <w:ind w:firstLine="0" w:firstLineChars="0"/>
              <w:jc w:val="center"/>
              <w:outlineLvl w:val="0"/>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786" w:type="pct"/>
            <w:vAlign w:val="center"/>
          </w:tcPr>
          <w:p>
            <w:pPr>
              <w:pStyle w:val="6"/>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项目负责人能力</w:t>
            </w:r>
          </w:p>
        </w:tc>
        <w:tc>
          <w:tcPr>
            <w:tcW w:w="2604" w:type="pct"/>
          </w:tcPr>
          <w:p>
            <w:pPr>
              <w:jc w:val="left"/>
              <w:rPr>
                <w:rFonts w:ascii="仿宋" w:hAnsi="仿宋" w:eastAsia="仿宋" w:cs="仿宋"/>
                <w:color w:val="auto"/>
                <w:highlight w:val="none"/>
              </w:rPr>
            </w:pPr>
            <w:r>
              <w:rPr>
                <w:rFonts w:hint="eastAsia" w:ascii="仿宋" w:hAnsi="仿宋" w:eastAsia="仿宋" w:cs="仿宋"/>
                <w:snapToGrid w:val="0"/>
                <w:color w:val="auto"/>
                <w:sz w:val="24"/>
                <w:highlight w:val="none"/>
              </w:rPr>
              <w:t>职业资格及职称满足“采购需求，第3.6条”要求</w:t>
            </w:r>
            <w:r>
              <w:rPr>
                <w:rFonts w:hint="eastAsia" w:ascii="仿宋" w:hAnsi="仿宋" w:eastAsia="仿宋" w:cs="仿宋"/>
                <w:bCs/>
                <w:color w:val="auto"/>
                <w:sz w:val="24"/>
                <w:highlight w:val="none"/>
              </w:rPr>
              <w:t>，且</w:t>
            </w:r>
            <w:r>
              <w:rPr>
                <w:rFonts w:hint="eastAsia" w:ascii="仿宋" w:hAnsi="仿宋" w:eastAsia="仿宋" w:cs="仿宋"/>
                <w:snapToGrid w:val="0"/>
                <w:color w:val="auto"/>
                <w:sz w:val="24"/>
                <w:highlight w:val="none"/>
              </w:rPr>
              <w:t>具有建设工程专业高级工程师及以上职称得4分；其余情况不得分。</w:t>
            </w:r>
          </w:p>
          <w:p>
            <w:pPr>
              <w:jc w:val="left"/>
              <w:rPr>
                <w:rFonts w:ascii="仿宋" w:hAnsi="仿宋" w:eastAsia="仿宋" w:cs="仿宋"/>
                <w:snapToGrid w:val="0"/>
                <w:color w:val="auto"/>
                <w:sz w:val="24"/>
                <w:highlight w:val="none"/>
              </w:rPr>
            </w:pPr>
            <w:r>
              <w:rPr>
                <w:rFonts w:hint="eastAsia" w:ascii="仿宋" w:hAnsi="仿宋" w:eastAsia="仿宋" w:cs="仿宋"/>
                <w:color w:val="auto"/>
                <w:sz w:val="24"/>
                <w:highlight w:val="none"/>
              </w:rPr>
              <w:t>证明材料</w:t>
            </w:r>
            <w:r>
              <w:rPr>
                <w:rFonts w:hint="eastAsia" w:ascii="仿宋" w:hAnsi="仿宋" w:eastAsia="仿宋" w:cs="仿宋"/>
                <w:snapToGrid w:val="0"/>
                <w:color w:val="auto"/>
                <w:sz w:val="24"/>
                <w:highlight w:val="none"/>
              </w:rPr>
              <w:t>：职称证、注册证书复印件加盖公章。</w:t>
            </w:r>
          </w:p>
        </w:tc>
        <w:tc>
          <w:tcPr>
            <w:tcW w:w="432" w:type="pct"/>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4</w:t>
            </w:r>
          </w:p>
        </w:tc>
        <w:tc>
          <w:tcPr>
            <w:tcW w:w="777" w:type="pct"/>
            <w:vAlign w:val="center"/>
          </w:tcPr>
          <w:p>
            <w:pPr>
              <w:jc w:val="center"/>
              <w:outlineLvl w:val="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9" w:type="pct"/>
            <w:vAlign w:val="center"/>
          </w:tcPr>
          <w:p>
            <w:pPr>
              <w:ind w:firstLine="0" w:firstLineChars="0"/>
              <w:jc w:val="center"/>
              <w:outlineLvl w:val="0"/>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786" w:type="pct"/>
            <w:vAlign w:val="center"/>
          </w:tcPr>
          <w:p>
            <w:pPr>
              <w:pStyle w:val="6"/>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项目各专业负责人员</w:t>
            </w:r>
          </w:p>
        </w:tc>
        <w:tc>
          <w:tcPr>
            <w:tcW w:w="2604" w:type="pct"/>
          </w:tcPr>
          <w:p>
            <w:pPr>
              <w:pStyle w:val="6"/>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职业资格及职称（如项目负责人兼岗专业负责人则本人不得分）：房建、市政、景观、安装四个专业方向负责人，满足“采购需求，第3.6条要求”，</w:t>
            </w:r>
            <w:r>
              <w:rPr>
                <w:rFonts w:hint="eastAsia" w:ascii="仿宋" w:hAnsi="仿宋" w:eastAsia="仿宋" w:cs="仿宋"/>
                <w:bCs/>
                <w:color w:val="auto"/>
                <w:sz w:val="24"/>
                <w:highlight w:val="none"/>
              </w:rPr>
              <w:t>且</w:t>
            </w:r>
            <w:r>
              <w:rPr>
                <w:rFonts w:hint="eastAsia" w:ascii="仿宋" w:hAnsi="仿宋" w:eastAsia="仿宋" w:cs="仿宋"/>
                <w:color w:val="auto"/>
                <w:sz w:val="24"/>
                <w:szCs w:val="24"/>
                <w:highlight w:val="none"/>
              </w:rPr>
              <w:t>具有建设工程专业（不含岩土工程类、工程勘察类、燃气工程类、白蚁防治类）高级工程师及以上职称。每一人得3分，本项最高得12分。其余情况不得分。</w:t>
            </w:r>
          </w:p>
          <w:p>
            <w:pPr>
              <w:pStyle w:val="6"/>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证明材料：职称证、注册证书复印件加盖公章。</w:t>
            </w:r>
          </w:p>
        </w:tc>
        <w:tc>
          <w:tcPr>
            <w:tcW w:w="432" w:type="pct"/>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12</w:t>
            </w:r>
          </w:p>
        </w:tc>
        <w:tc>
          <w:tcPr>
            <w:tcW w:w="777" w:type="pct"/>
            <w:vAlign w:val="center"/>
          </w:tcPr>
          <w:p>
            <w:pPr>
              <w:jc w:val="center"/>
              <w:outlineLvl w:val="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9" w:type="pct"/>
            <w:vAlign w:val="center"/>
          </w:tcPr>
          <w:p>
            <w:pPr>
              <w:ind w:firstLine="0" w:firstLineChars="0"/>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786" w:type="pct"/>
            <w:vAlign w:val="center"/>
          </w:tcPr>
          <w:p>
            <w:pPr>
              <w:pStyle w:val="6"/>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项目其他成员情况</w:t>
            </w:r>
          </w:p>
        </w:tc>
        <w:tc>
          <w:tcPr>
            <w:tcW w:w="2604" w:type="pct"/>
          </w:tcPr>
          <w:p>
            <w:pPr>
              <w:pStyle w:val="6"/>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职业资格及职称（专业负责人、项目负责人不得分）：</w:t>
            </w:r>
          </w:p>
          <w:p>
            <w:pPr>
              <w:pStyle w:val="6"/>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满足“采购需求，第3.6条”要求，</w:t>
            </w:r>
            <w:r>
              <w:rPr>
                <w:rFonts w:hint="eastAsia" w:ascii="仿宋" w:hAnsi="仿宋" w:eastAsia="仿宋" w:cs="仿宋"/>
                <w:bCs/>
                <w:color w:val="auto"/>
                <w:sz w:val="24"/>
                <w:highlight w:val="none"/>
              </w:rPr>
              <w:t>且全国一级注册造价工程师或原注册造价师（土木建筑工程或安装工程）人员</w:t>
            </w:r>
            <w:r>
              <w:rPr>
                <w:rFonts w:hint="eastAsia" w:ascii="仿宋" w:hAnsi="仿宋" w:eastAsia="仿宋" w:cs="仿宋"/>
                <w:color w:val="auto"/>
                <w:sz w:val="24"/>
                <w:szCs w:val="24"/>
                <w:highlight w:val="none"/>
              </w:rPr>
              <w:t>具有中级工程师及以上职称。每一人得1.5分，本项最高得9分。其余情况不得分。</w:t>
            </w:r>
          </w:p>
          <w:p>
            <w:pPr>
              <w:pStyle w:val="6"/>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证明材料：职称证、注册证书复印件加盖公章。</w:t>
            </w:r>
          </w:p>
        </w:tc>
        <w:tc>
          <w:tcPr>
            <w:tcW w:w="432" w:type="pct"/>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9</w:t>
            </w:r>
          </w:p>
        </w:tc>
        <w:tc>
          <w:tcPr>
            <w:tcW w:w="777" w:type="pct"/>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9" w:type="pct"/>
            <w:vMerge w:val="restart"/>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786" w:type="pct"/>
            <w:vMerge w:val="restart"/>
            <w:vAlign w:val="center"/>
          </w:tcPr>
          <w:p>
            <w:pPr>
              <w:pStyle w:val="6"/>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全过程跟踪审计服务大纲</w:t>
            </w:r>
          </w:p>
        </w:tc>
        <w:tc>
          <w:tcPr>
            <w:tcW w:w="2604" w:type="pct"/>
          </w:tcPr>
          <w:p>
            <w:pPr>
              <w:pStyle w:val="6"/>
              <w:jc w:val="left"/>
              <w:rPr>
                <w:rFonts w:ascii="仿宋" w:hAnsi="仿宋" w:eastAsia="仿宋" w:cs="仿宋"/>
                <w:color w:val="auto"/>
                <w:sz w:val="24"/>
                <w:szCs w:val="24"/>
                <w:highlight w:val="none"/>
              </w:rPr>
            </w:pPr>
            <w:r>
              <w:rPr>
                <w:rFonts w:hint="eastAsia" w:ascii="仿宋" w:hAnsi="仿宋" w:eastAsia="仿宋" w:cs="仿宋"/>
                <w:color w:val="auto"/>
                <w:sz w:val="24"/>
                <w:highlight w:val="none"/>
              </w:rPr>
              <w:t>全过程跟踪审计服务</w:t>
            </w:r>
            <w:r>
              <w:rPr>
                <w:rFonts w:hint="eastAsia" w:ascii="仿宋" w:hAnsi="仿宋" w:eastAsia="仿宋" w:cs="仿宋"/>
                <w:color w:val="auto"/>
                <w:sz w:val="24"/>
                <w:szCs w:val="24"/>
                <w:highlight w:val="none"/>
              </w:rPr>
              <w:t>技术方案：</w:t>
            </w:r>
            <w:r>
              <w:rPr>
                <w:rFonts w:hint="eastAsia" w:ascii="仿宋" w:hAnsi="仿宋" w:eastAsia="仿宋" w:cs="仿宋"/>
                <w:color w:val="auto"/>
                <w:sz w:val="24"/>
                <w:highlight w:val="none"/>
              </w:rPr>
              <w:t>投标</w:t>
            </w:r>
            <w:r>
              <w:rPr>
                <w:rFonts w:hint="eastAsia" w:ascii="仿宋" w:hAnsi="仿宋" w:eastAsia="仿宋" w:cs="仿宋"/>
                <w:color w:val="auto"/>
                <w:sz w:val="24"/>
                <w:szCs w:val="24"/>
                <w:highlight w:val="none"/>
              </w:rPr>
              <w:t>服务技术</w:t>
            </w:r>
            <w:r>
              <w:rPr>
                <w:rFonts w:hint="eastAsia" w:ascii="仿宋" w:hAnsi="仿宋" w:eastAsia="仿宋" w:cs="仿宋"/>
                <w:color w:val="auto"/>
                <w:sz w:val="24"/>
                <w:highlight w:val="none"/>
              </w:rPr>
              <w:t>方案关于投标人组织机构、管理制度、内控体系情况的说明详尽、明晰，符合招标文件及采购需求的得2分；较详尽、明晰，较符合招标文件及采购需求的得1分，有基本说明的得0.5分，无相关描述的得0分。</w:t>
            </w:r>
            <w:r>
              <w:rPr>
                <w:rFonts w:hint="eastAsia" w:ascii="仿宋" w:hAnsi="仿宋" w:eastAsia="仿宋" w:cs="仿宋"/>
                <w:color w:val="auto"/>
                <w:sz w:val="24"/>
                <w:szCs w:val="24"/>
                <w:highlight w:val="none"/>
              </w:rPr>
              <w:t xml:space="preserve"> </w:t>
            </w:r>
          </w:p>
        </w:tc>
        <w:tc>
          <w:tcPr>
            <w:tcW w:w="432" w:type="pct"/>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2</w:t>
            </w:r>
          </w:p>
        </w:tc>
        <w:tc>
          <w:tcPr>
            <w:tcW w:w="777" w:type="pct"/>
          </w:tcPr>
          <w:p>
            <w:pPr>
              <w:snapToGrid w:val="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9" w:type="pct"/>
            <w:vMerge w:val="continue"/>
            <w:vAlign w:val="center"/>
          </w:tcPr>
          <w:p>
            <w:pPr>
              <w:ind w:firstLine="240" w:firstLineChars="100"/>
              <w:rPr>
                <w:rFonts w:ascii="仿宋" w:hAnsi="仿宋" w:eastAsia="仿宋" w:cs="仿宋"/>
                <w:color w:val="auto"/>
                <w:sz w:val="24"/>
                <w:highlight w:val="none"/>
              </w:rPr>
            </w:pPr>
          </w:p>
        </w:tc>
        <w:tc>
          <w:tcPr>
            <w:tcW w:w="786" w:type="pct"/>
            <w:vMerge w:val="continue"/>
            <w:vAlign w:val="center"/>
          </w:tcPr>
          <w:p>
            <w:pPr>
              <w:pStyle w:val="6"/>
              <w:jc w:val="center"/>
              <w:rPr>
                <w:rFonts w:ascii="仿宋" w:hAnsi="仿宋" w:eastAsia="仿宋" w:cs="仿宋"/>
                <w:color w:val="auto"/>
                <w:sz w:val="24"/>
                <w:szCs w:val="24"/>
                <w:highlight w:val="none"/>
              </w:rPr>
            </w:pPr>
          </w:p>
        </w:tc>
        <w:tc>
          <w:tcPr>
            <w:tcW w:w="2604" w:type="pct"/>
            <w:vAlign w:val="center"/>
          </w:tcPr>
          <w:p>
            <w:pPr>
              <w:pStyle w:val="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服务理念（包括投标人对重大专项政策的理解和掌握情况，结合项目的特点，能否提出定点全过程跟踪审计服务的定位、目标及标准等；提供的服务模式是否能够切合实际，且安全可行，保密性、安全性、文明服务的计划及承诺情况。）合理的得3分，较合理的得2分，一般的得1，无相关描述的得0分。</w:t>
            </w:r>
          </w:p>
        </w:tc>
        <w:tc>
          <w:tcPr>
            <w:tcW w:w="432" w:type="pct"/>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3</w:t>
            </w:r>
          </w:p>
        </w:tc>
        <w:tc>
          <w:tcPr>
            <w:tcW w:w="777" w:type="pct"/>
          </w:tcPr>
          <w:p>
            <w:pPr>
              <w:snapToGrid w:val="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399" w:type="pct"/>
            <w:vMerge w:val="continue"/>
            <w:vAlign w:val="center"/>
          </w:tcPr>
          <w:p>
            <w:pPr>
              <w:ind w:firstLine="240" w:firstLineChars="100"/>
              <w:rPr>
                <w:rFonts w:ascii="仿宋" w:hAnsi="仿宋" w:eastAsia="仿宋" w:cs="仿宋"/>
                <w:color w:val="auto"/>
                <w:sz w:val="24"/>
                <w:highlight w:val="none"/>
              </w:rPr>
            </w:pPr>
          </w:p>
        </w:tc>
        <w:tc>
          <w:tcPr>
            <w:tcW w:w="786" w:type="pct"/>
            <w:vMerge w:val="continue"/>
            <w:vAlign w:val="center"/>
          </w:tcPr>
          <w:p>
            <w:pPr>
              <w:pStyle w:val="6"/>
              <w:jc w:val="center"/>
              <w:rPr>
                <w:rFonts w:ascii="仿宋" w:hAnsi="仿宋" w:eastAsia="仿宋" w:cs="仿宋"/>
                <w:color w:val="auto"/>
                <w:sz w:val="24"/>
                <w:szCs w:val="24"/>
                <w:highlight w:val="none"/>
              </w:rPr>
            </w:pPr>
          </w:p>
        </w:tc>
        <w:tc>
          <w:tcPr>
            <w:tcW w:w="2604" w:type="pct"/>
            <w:vAlign w:val="center"/>
          </w:tcPr>
          <w:p>
            <w:pPr>
              <w:pStyle w:val="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组织实施方案（包括是否具有比较完整的项目全过程实施措施，能否清晰简练地提出项目实施方式、工作程序、计划安排、相关建议、专项报告的撰写提纲等）科学合理的得3分，较科学合理的得2分，一般的得1分，无相关描述的得0分。</w:t>
            </w:r>
          </w:p>
        </w:tc>
        <w:tc>
          <w:tcPr>
            <w:tcW w:w="432" w:type="pct"/>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3</w:t>
            </w:r>
          </w:p>
        </w:tc>
        <w:tc>
          <w:tcPr>
            <w:tcW w:w="777" w:type="pct"/>
          </w:tcPr>
          <w:p>
            <w:pPr>
              <w:snapToGrid w:val="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99" w:type="pct"/>
            <w:vMerge w:val="continue"/>
            <w:vAlign w:val="center"/>
          </w:tcPr>
          <w:p>
            <w:pPr>
              <w:ind w:firstLine="240" w:firstLineChars="100"/>
              <w:rPr>
                <w:rFonts w:ascii="仿宋" w:hAnsi="仿宋" w:eastAsia="仿宋" w:cs="仿宋"/>
                <w:color w:val="auto"/>
                <w:sz w:val="24"/>
                <w:highlight w:val="none"/>
              </w:rPr>
            </w:pPr>
          </w:p>
        </w:tc>
        <w:tc>
          <w:tcPr>
            <w:tcW w:w="786" w:type="pct"/>
            <w:vMerge w:val="continue"/>
            <w:vAlign w:val="center"/>
          </w:tcPr>
          <w:p>
            <w:pPr>
              <w:pStyle w:val="6"/>
              <w:jc w:val="center"/>
              <w:rPr>
                <w:rFonts w:ascii="仿宋" w:hAnsi="仿宋" w:eastAsia="仿宋" w:cs="仿宋"/>
                <w:color w:val="auto"/>
                <w:sz w:val="24"/>
                <w:szCs w:val="24"/>
                <w:highlight w:val="none"/>
              </w:rPr>
            </w:pPr>
          </w:p>
        </w:tc>
        <w:tc>
          <w:tcPr>
            <w:tcW w:w="2604" w:type="pct"/>
            <w:vAlign w:val="center"/>
          </w:tcPr>
          <w:p>
            <w:pPr>
              <w:pStyle w:val="6"/>
              <w:rPr>
                <w:rFonts w:ascii="仿宋" w:hAnsi="仿宋" w:eastAsia="仿宋" w:cs="仿宋"/>
                <w:color w:val="auto"/>
                <w:sz w:val="24"/>
                <w:szCs w:val="24"/>
                <w:highlight w:val="none"/>
              </w:rPr>
            </w:pPr>
            <w:r>
              <w:rPr>
                <w:rFonts w:hint="eastAsia" w:ascii="仿宋" w:hAnsi="仿宋" w:eastAsia="仿宋" w:cs="仿宋"/>
                <w:bCs/>
                <w:color w:val="auto"/>
                <w:sz w:val="24"/>
                <w:highlight w:val="none"/>
              </w:rPr>
              <w:t>工程量清单及控制价编制进度安排、质量保证措施科学合理的</w:t>
            </w:r>
            <w:r>
              <w:rPr>
                <w:rFonts w:hint="eastAsia" w:ascii="仿宋_GB2312" w:hAnsi="仿宋" w:eastAsia="仿宋_GB2312" w:cs="仿宋_GB2312"/>
                <w:color w:val="auto"/>
                <w:sz w:val="24"/>
                <w:highlight w:val="none"/>
              </w:rPr>
              <w:t>得5分，</w:t>
            </w:r>
            <w:r>
              <w:rPr>
                <w:rFonts w:hint="eastAsia" w:ascii="仿宋" w:hAnsi="仿宋" w:eastAsia="仿宋" w:cs="仿宋"/>
                <w:color w:val="auto"/>
                <w:sz w:val="24"/>
                <w:szCs w:val="24"/>
                <w:highlight w:val="none"/>
              </w:rPr>
              <w:t>较科学合理的得3.5分，基本合理的得2分，一般的得1分，无相关描述的得0分。</w:t>
            </w:r>
          </w:p>
        </w:tc>
        <w:tc>
          <w:tcPr>
            <w:tcW w:w="432" w:type="pct"/>
            <w:vAlign w:val="center"/>
          </w:tcPr>
          <w:p>
            <w:pPr>
              <w:widowControl/>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5</w:t>
            </w:r>
          </w:p>
        </w:tc>
        <w:tc>
          <w:tcPr>
            <w:tcW w:w="777" w:type="pct"/>
          </w:tcPr>
          <w:p>
            <w:pPr>
              <w:snapToGrid w:val="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399" w:type="pct"/>
            <w:vMerge w:val="continue"/>
            <w:vAlign w:val="center"/>
          </w:tcPr>
          <w:p>
            <w:pPr>
              <w:ind w:firstLine="240" w:firstLineChars="100"/>
              <w:rPr>
                <w:rFonts w:ascii="仿宋" w:hAnsi="仿宋" w:eastAsia="仿宋" w:cs="仿宋"/>
                <w:color w:val="auto"/>
                <w:sz w:val="24"/>
                <w:highlight w:val="none"/>
              </w:rPr>
            </w:pPr>
          </w:p>
        </w:tc>
        <w:tc>
          <w:tcPr>
            <w:tcW w:w="786" w:type="pct"/>
            <w:vMerge w:val="continue"/>
            <w:vAlign w:val="center"/>
          </w:tcPr>
          <w:p>
            <w:pPr>
              <w:pStyle w:val="6"/>
              <w:jc w:val="center"/>
              <w:rPr>
                <w:rFonts w:ascii="仿宋" w:hAnsi="仿宋" w:eastAsia="仿宋" w:cs="仿宋"/>
                <w:color w:val="auto"/>
                <w:sz w:val="24"/>
                <w:szCs w:val="24"/>
                <w:highlight w:val="none"/>
              </w:rPr>
            </w:pPr>
          </w:p>
        </w:tc>
        <w:tc>
          <w:tcPr>
            <w:tcW w:w="2604" w:type="pct"/>
            <w:vAlign w:val="center"/>
          </w:tcPr>
          <w:p>
            <w:pPr>
              <w:pStyle w:val="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对相关人员的组织分工明确、合理的得3分，较明确、合理的得2分，一般的得1分，无相关描述的得0分。</w:t>
            </w:r>
          </w:p>
        </w:tc>
        <w:tc>
          <w:tcPr>
            <w:tcW w:w="432" w:type="pct"/>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3</w:t>
            </w:r>
          </w:p>
        </w:tc>
        <w:tc>
          <w:tcPr>
            <w:tcW w:w="777" w:type="pct"/>
          </w:tcPr>
          <w:p>
            <w:pPr>
              <w:snapToGrid w:val="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9" w:type="pct"/>
            <w:vMerge w:val="continue"/>
            <w:vAlign w:val="center"/>
          </w:tcPr>
          <w:p>
            <w:pPr>
              <w:ind w:firstLine="240" w:firstLineChars="100"/>
              <w:rPr>
                <w:rFonts w:ascii="仿宋" w:hAnsi="仿宋" w:eastAsia="仿宋" w:cs="仿宋"/>
                <w:color w:val="auto"/>
                <w:sz w:val="24"/>
                <w:highlight w:val="none"/>
              </w:rPr>
            </w:pPr>
          </w:p>
        </w:tc>
        <w:tc>
          <w:tcPr>
            <w:tcW w:w="786" w:type="pct"/>
            <w:vMerge w:val="continue"/>
            <w:vAlign w:val="center"/>
          </w:tcPr>
          <w:p>
            <w:pPr>
              <w:pStyle w:val="6"/>
              <w:jc w:val="center"/>
              <w:rPr>
                <w:rFonts w:ascii="仿宋" w:hAnsi="仿宋" w:eastAsia="仿宋" w:cs="仿宋"/>
                <w:color w:val="auto"/>
                <w:sz w:val="24"/>
                <w:szCs w:val="24"/>
                <w:highlight w:val="none"/>
              </w:rPr>
            </w:pPr>
          </w:p>
        </w:tc>
        <w:tc>
          <w:tcPr>
            <w:tcW w:w="2604" w:type="pct"/>
            <w:vAlign w:val="center"/>
          </w:tcPr>
          <w:p>
            <w:pPr>
              <w:pStyle w:val="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隐蔽工程、材料进出场、签证及变更事项、工程进度款支付、重大事项等痕迹管理方案的科学、全面的</w:t>
            </w:r>
            <w:r>
              <w:rPr>
                <w:rFonts w:hint="eastAsia" w:ascii="仿宋_GB2312" w:hAnsi="仿宋" w:eastAsia="仿宋_GB2312" w:cs="仿宋_GB2312"/>
                <w:color w:val="auto"/>
                <w:sz w:val="24"/>
                <w:highlight w:val="none"/>
              </w:rPr>
              <w:t>5分，</w:t>
            </w:r>
            <w:r>
              <w:rPr>
                <w:rFonts w:hint="eastAsia" w:ascii="仿宋" w:hAnsi="仿宋" w:eastAsia="仿宋" w:cs="仿宋"/>
                <w:color w:val="auto"/>
                <w:sz w:val="24"/>
                <w:szCs w:val="24"/>
                <w:highlight w:val="none"/>
              </w:rPr>
              <w:t>较科学、全面的得3.5分，基本合理的得2分，一般的得1分，无相关描述的得0分。</w:t>
            </w:r>
          </w:p>
        </w:tc>
        <w:tc>
          <w:tcPr>
            <w:tcW w:w="432" w:type="pct"/>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5</w:t>
            </w:r>
          </w:p>
        </w:tc>
        <w:tc>
          <w:tcPr>
            <w:tcW w:w="777" w:type="pct"/>
          </w:tcPr>
          <w:p>
            <w:pPr>
              <w:snapToGrid w:val="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399" w:type="pct"/>
            <w:vMerge w:val="continue"/>
            <w:vAlign w:val="center"/>
          </w:tcPr>
          <w:p>
            <w:pPr>
              <w:ind w:firstLine="240" w:firstLineChars="100"/>
              <w:rPr>
                <w:rFonts w:ascii="仿宋" w:hAnsi="仿宋" w:eastAsia="仿宋" w:cs="仿宋"/>
                <w:color w:val="auto"/>
                <w:sz w:val="24"/>
                <w:highlight w:val="none"/>
              </w:rPr>
            </w:pPr>
          </w:p>
        </w:tc>
        <w:tc>
          <w:tcPr>
            <w:tcW w:w="786" w:type="pct"/>
            <w:vMerge w:val="continue"/>
            <w:vAlign w:val="center"/>
          </w:tcPr>
          <w:p>
            <w:pPr>
              <w:pStyle w:val="6"/>
              <w:jc w:val="center"/>
              <w:rPr>
                <w:rFonts w:ascii="仿宋" w:hAnsi="仿宋" w:eastAsia="仿宋" w:cs="仿宋"/>
                <w:color w:val="auto"/>
                <w:sz w:val="24"/>
                <w:szCs w:val="24"/>
                <w:highlight w:val="none"/>
              </w:rPr>
            </w:pPr>
          </w:p>
        </w:tc>
        <w:tc>
          <w:tcPr>
            <w:tcW w:w="2604" w:type="pct"/>
            <w:vAlign w:val="center"/>
          </w:tcPr>
          <w:p>
            <w:pPr>
              <w:pStyle w:val="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拟驻场人数、驻场时间、各相关专业人员到工地的响应时间能保障项目顺利实施的得4分，较能保障项目顺利实施的得3分，基本能保障项目实施的得2分，一般的得1分，无相关描述的得0分。</w:t>
            </w:r>
          </w:p>
        </w:tc>
        <w:tc>
          <w:tcPr>
            <w:tcW w:w="432" w:type="pct"/>
            <w:vAlign w:val="center"/>
          </w:tcPr>
          <w:p>
            <w:pPr>
              <w:widowControl/>
              <w:jc w:val="center"/>
              <w:textAlignment w:val="center"/>
              <w:rPr>
                <w:rFonts w:ascii="仿宋" w:hAnsi="仿宋" w:eastAsia="仿宋" w:cs="仿宋"/>
                <w:color w:val="auto"/>
                <w:sz w:val="24"/>
                <w:highlight w:val="none"/>
              </w:rPr>
            </w:pPr>
            <w:r>
              <w:rPr>
                <w:rFonts w:ascii="仿宋" w:hAnsi="仿宋" w:eastAsia="仿宋" w:cs="仿宋"/>
                <w:color w:val="auto"/>
                <w:kern w:val="0"/>
                <w:sz w:val="24"/>
                <w:highlight w:val="none"/>
                <w:lang w:bidi="ar"/>
              </w:rPr>
              <w:t>4</w:t>
            </w:r>
          </w:p>
        </w:tc>
        <w:tc>
          <w:tcPr>
            <w:tcW w:w="777" w:type="pct"/>
          </w:tcPr>
          <w:p>
            <w:pPr>
              <w:snapToGrid w:val="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9" w:type="pct"/>
            <w:vMerge w:val="continue"/>
            <w:vAlign w:val="center"/>
          </w:tcPr>
          <w:p>
            <w:pPr>
              <w:ind w:firstLine="240" w:firstLineChars="100"/>
              <w:rPr>
                <w:rFonts w:ascii="仿宋" w:hAnsi="仿宋" w:eastAsia="仿宋" w:cs="仿宋"/>
                <w:color w:val="auto"/>
                <w:sz w:val="24"/>
                <w:highlight w:val="none"/>
              </w:rPr>
            </w:pPr>
          </w:p>
        </w:tc>
        <w:tc>
          <w:tcPr>
            <w:tcW w:w="786" w:type="pct"/>
            <w:vMerge w:val="continue"/>
            <w:vAlign w:val="center"/>
          </w:tcPr>
          <w:p>
            <w:pPr>
              <w:pStyle w:val="6"/>
              <w:jc w:val="center"/>
              <w:rPr>
                <w:rFonts w:ascii="仿宋" w:hAnsi="仿宋" w:eastAsia="仿宋" w:cs="仿宋"/>
                <w:color w:val="auto"/>
                <w:sz w:val="24"/>
                <w:szCs w:val="24"/>
                <w:highlight w:val="none"/>
              </w:rPr>
            </w:pPr>
          </w:p>
        </w:tc>
        <w:tc>
          <w:tcPr>
            <w:tcW w:w="2604" w:type="pct"/>
            <w:vAlign w:val="center"/>
          </w:tcPr>
          <w:p>
            <w:pPr>
              <w:pStyle w:val="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服务方案中有事前、事中、事后管理工作方案且编制的科学合理的得</w:t>
            </w:r>
            <w:r>
              <w:rPr>
                <w:rFonts w:hint="eastAsia" w:ascii="仿宋_GB2312" w:hAnsi="仿宋" w:eastAsia="仿宋_GB2312" w:cs="仿宋_GB2312"/>
                <w:color w:val="auto"/>
                <w:sz w:val="24"/>
                <w:highlight w:val="none"/>
              </w:rPr>
              <w:t>5分，</w:t>
            </w:r>
            <w:r>
              <w:rPr>
                <w:rFonts w:hint="eastAsia" w:ascii="仿宋" w:hAnsi="仿宋" w:eastAsia="仿宋" w:cs="仿宋"/>
                <w:color w:val="auto"/>
                <w:sz w:val="24"/>
                <w:szCs w:val="24"/>
                <w:highlight w:val="none"/>
              </w:rPr>
              <w:t>较科学合理的得3.5分，基本合理的得2分，一般的得1分，无相关描述的得0分。</w:t>
            </w:r>
          </w:p>
        </w:tc>
        <w:tc>
          <w:tcPr>
            <w:tcW w:w="432" w:type="pct"/>
            <w:vAlign w:val="center"/>
          </w:tcPr>
          <w:p>
            <w:pPr>
              <w:widowControl/>
              <w:jc w:val="center"/>
              <w:textAlignment w:val="center"/>
              <w:rPr>
                <w:rFonts w:ascii="仿宋" w:hAnsi="仿宋" w:eastAsia="仿宋" w:cs="仿宋"/>
                <w:color w:val="auto"/>
                <w:sz w:val="24"/>
                <w:highlight w:val="none"/>
              </w:rPr>
            </w:pPr>
            <w:r>
              <w:rPr>
                <w:rFonts w:ascii="仿宋" w:hAnsi="仿宋" w:eastAsia="仿宋" w:cs="仿宋"/>
                <w:color w:val="auto"/>
                <w:kern w:val="0"/>
                <w:sz w:val="24"/>
                <w:highlight w:val="none"/>
                <w:lang w:bidi="ar"/>
              </w:rPr>
              <w:t>5</w:t>
            </w:r>
          </w:p>
        </w:tc>
        <w:tc>
          <w:tcPr>
            <w:tcW w:w="777" w:type="pct"/>
          </w:tcPr>
          <w:p>
            <w:pPr>
              <w:snapToGrid w:val="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9" w:type="pct"/>
            <w:vMerge w:val="continue"/>
            <w:vAlign w:val="center"/>
          </w:tcPr>
          <w:p>
            <w:pPr>
              <w:ind w:firstLine="240" w:firstLineChars="100"/>
              <w:rPr>
                <w:rFonts w:ascii="仿宋" w:hAnsi="仿宋" w:eastAsia="仿宋" w:cs="仿宋"/>
                <w:color w:val="auto"/>
                <w:sz w:val="24"/>
                <w:highlight w:val="none"/>
              </w:rPr>
            </w:pPr>
          </w:p>
        </w:tc>
        <w:tc>
          <w:tcPr>
            <w:tcW w:w="786" w:type="pct"/>
            <w:vMerge w:val="continue"/>
            <w:vAlign w:val="center"/>
          </w:tcPr>
          <w:p>
            <w:pPr>
              <w:pStyle w:val="6"/>
              <w:jc w:val="center"/>
              <w:rPr>
                <w:rFonts w:ascii="仿宋" w:hAnsi="仿宋" w:eastAsia="仿宋" w:cs="仿宋"/>
                <w:color w:val="auto"/>
                <w:sz w:val="24"/>
                <w:szCs w:val="24"/>
                <w:highlight w:val="none"/>
              </w:rPr>
            </w:pPr>
          </w:p>
        </w:tc>
        <w:tc>
          <w:tcPr>
            <w:tcW w:w="2604" w:type="pct"/>
            <w:vAlign w:val="center"/>
          </w:tcPr>
          <w:p>
            <w:pPr>
              <w:pStyle w:val="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服务方案中服务成果文件编制深度和完整度描述合理、完善</w:t>
            </w:r>
            <w:r>
              <w:rPr>
                <w:rFonts w:hint="eastAsia" w:ascii="仿宋_GB2312" w:hAnsi="仿宋" w:eastAsia="仿宋_GB2312" w:cs="仿宋_GB2312"/>
                <w:color w:val="auto"/>
                <w:sz w:val="24"/>
                <w:highlight w:val="none"/>
              </w:rPr>
              <w:t>得4分，</w:t>
            </w:r>
            <w:r>
              <w:rPr>
                <w:rFonts w:hint="eastAsia" w:ascii="仿宋" w:hAnsi="仿宋" w:eastAsia="仿宋" w:cs="仿宋"/>
                <w:color w:val="auto"/>
                <w:sz w:val="24"/>
                <w:szCs w:val="24"/>
                <w:highlight w:val="none"/>
              </w:rPr>
              <w:t>较合理、完善的得3分，基本合理的得2分，一般的得1分，无相关描述的得0分。</w:t>
            </w:r>
          </w:p>
        </w:tc>
        <w:tc>
          <w:tcPr>
            <w:tcW w:w="432" w:type="pct"/>
            <w:vAlign w:val="center"/>
          </w:tcPr>
          <w:p>
            <w:pPr>
              <w:widowControl/>
              <w:jc w:val="center"/>
              <w:textAlignment w:val="center"/>
              <w:rPr>
                <w:rFonts w:ascii="仿宋" w:hAnsi="仿宋" w:eastAsia="仿宋" w:cs="仿宋"/>
                <w:color w:val="auto"/>
                <w:sz w:val="24"/>
                <w:highlight w:val="none"/>
              </w:rPr>
            </w:pPr>
            <w:r>
              <w:rPr>
                <w:rFonts w:ascii="仿宋" w:hAnsi="仿宋" w:eastAsia="仿宋" w:cs="仿宋"/>
                <w:color w:val="auto"/>
                <w:kern w:val="0"/>
                <w:sz w:val="24"/>
                <w:highlight w:val="none"/>
                <w:lang w:bidi="ar"/>
              </w:rPr>
              <w:t>4</w:t>
            </w:r>
          </w:p>
        </w:tc>
        <w:tc>
          <w:tcPr>
            <w:tcW w:w="777" w:type="pct"/>
          </w:tcPr>
          <w:p>
            <w:pPr>
              <w:snapToGrid w:val="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99" w:type="pct"/>
            <w:vMerge w:val="restart"/>
            <w:vAlign w:val="center"/>
          </w:tcPr>
          <w:p>
            <w:pPr>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786" w:type="pct"/>
            <w:vMerge w:val="restart"/>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全过程跟踪审计服务</w:t>
            </w:r>
            <w:r>
              <w:rPr>
                <w:rFonts w:hint="eastAsia" w:ascii="仿宋_GB2312" w:hAnsi="仿宋" w:eastAsia="仿宋_GB2312" w:cs="仿宋_GB2312"/>
                <w:color w:val="auto"/>
                <w:sz w:val="24"/>
                <w:highlight w:val="none"/>
              </w:rPr>
              <w:t>措施</w:t>
            </w:r>
          </w:p>
        </w:tc>
        <w:tc>
          <w:tcPr>
            <w:tcW w:w="2604" w:type="pct"/>
            <w:vAlign w:val="center"/>
          </w:tcPr>
          <w:p>
            <w:pPr>
              <w:pStyle w:val="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咨询服务工作流程及各环节主要工作内容描述科学合理的得5分，</w:t>
            </w:r>
            <w:r>
              <w:rPr>
                <w:rFonts w:hint="eastAsia" w:ascii="仿宋" w:hAnsi="仿宋" w:eastAsia="仿宋" w:cs="仿宋"/>
                <w:color w:val="auto"/>
                <w:sz w:val="24"/>
                <w:szCs w:val="24"/>
                <w:highlight w:val="none"/>
              </w:rPr>
              <w:t>较科学合理的得3.5分，基本合理的得2分，一般的得1分，无相关描述的得0分</w:t>
            </w:r>
            <w:r>
              <w:rPr>
                <w:rFonts w:hint="eastAsia" w:ascii="仿宋_GB2312" w:hAnsi="仿宋" w:eastAsia="仿宋_GB2312" w:cs="仿宋_GB2312"/>
                <w:color w:val="auto"/>
                <w:sz w:val="24"/>
                <w:highlight w:val="none"/>
              </w:rPr>
              <w:t>。</w:t>
            </w:r>
          </w:p>
        </w:tc>
        <w:tc>
          <w:tcPr>
            <w:tcW w:w="432" w:type="pct"/>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5</w:t>
            </w:r>
          </w:p>
        </w:tc>
        <w:tc>
          <w:tcPr>
            <w:tcW w:w="777" w:type="pct"/>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9" w:type="pct"/>
            <w:vMerge w:val="continue"/>
            <w:vAlign w:val="center"/>
          </w:tcPr>
          <w:p>
            <w:pPr>
              <w:ind w:firstLine="240" w:firstLineChars="100"/>
              <w:rPr>
                <w:rFonts w:ascii="仿宋" w:hAnsi="仿宋" w:eastAsia="仿宋" w:cs="仿宋"/>
                <w:color w:val="auto"/>
                <w:sz w:val="24"/>
                <w:highlight w:val="none"/>
              </w:rPr>
            </w:pPr>
          </w:p>
        </w:tc>
        <w:tc>
          <w:tcPr>
            <w:tcW w:w="786" w:type="pct"/>
            <w:vMerge w:val="continue"/>
            <w:vAlign w:val="center"/>
          </w:tcPr>
          <w:p>
            <w:pPr>
              <w:snapToGrid w:val="0"/>
              <w:jc w:val="center"/>
              <w:rPr>
                <w:rFonts w:ascii="仿宋" w:hAnsi="仿宋" w:eastAsia="仿宋" w:cs="仿宋"/>
                <w:color w:val="auto"/>
                <w:sz w:val="24"/>
                <w:highlight w:val="none"/>
              </w:rPr>
            </w:pPr>
          </w:p>
        </w:tc>
        <w:tc>
          <w:tcPr>
            <w:tcW w:w="2604" w:type="pct"/>
            <w:vAlign w:val="center"/>
          </w:tcPr>
          <w:p>
            <w:pPr>
              <w:pStyle w:val="6"/>
              <w:rPr>
                <w:rFonts w:ascii="仿宋" w:hAnsi="仿宋" w:eastAsia="仿宋" w:cs="仿宋"/>
                <w:color w:val="auto"/>
                <w:sz w:val="24"/>
                <w:szCs w:val="24"/>
                <w:highlight w:val="none"/>
              </w:rPr>
            </w:pPr>
            <w:r>
              <w:rPr>
                <w:rFonts w:hint="eastAsia" w:ascii="仿宋_GB2312" w:hAnsi="仿宋" w:eastAsia="仿宋_GB2312" w:cs="仿宋_GB2312"/>
                <w:color w:val="auto"/>
                <w:sz w:val="24"/>
                <w:highlight w:val="none"/>
              </w:rPr>
              <w:t>服务质量的保证措施可行合理的得5分，</w:t>
            </w:r>
            <w:r>
              <w:rPr>
                <w:rFonts w:hint="eastAsia" w:ascii="仿宋" w:hAnsi="仿宋" w:eastAsia="仿宋" w:cs="仿宋"/>
                <w:color w:val="auto"/>
                <w:sz w:val="24"/>
                <w:szCs w:val="24"/>
                <w:highlight w:val="none"/>
              </w:rPr>
              <w:t>较科学合理的得3.5分，基本合理的得2分，一般的得1分，无相关描述的得0分</w:t>
            </w:r>
            <w:r>
              <w:rPr>
                <w:rFonts w:hint="eastAsia" w:ascii="仿宋_GB2312" w:hAnsi="仿宋" w:eastAsia="仿宋_GB2312" w:cs="仿宋_GB2312"/>
                <w:color w:val="auto"/>
                <w:sz w:val="24"/>
                <w:highlight w:val="none"/>
              </w:rPr>
              <w:t>。</w:t>
            </w:r>
          </w:p>
        </w:tc>
        <w:tc>
          <w:tcPr>
            <w:tcW w:w="432" w:type="pct"/>
            <w:vAlign w:val="center"/>
          </w:tcPr>
          <w:p>
            <w:pPr>
              <w:widowControl/>
              <w:jc w:val="center"/>
              <w:textAlignment w:val="center"/>
              <w:rPr>
                <w:rFonts w:ascii="仿宋" w:hAnsi="仿宋" w:eastAsia="仿宋" w:cs="仿宋"/>
                <w:snapToGrid w:val="0"/>
                <w:color w:val="auto"/>
                <w:sz w:val="24"/>
                <w:highlight w:val="none"/>
              </w:rPr>
            </w:pPr>
            <w:r>
              <w:rPr>
                <w:rFonts w:hint="eastAsia" w:ascii="仿宋" w:hAnsi="仿宋" w:eastAsia="仿宋" w:cs="仿宋"/>
                <w:color w:val="auto"/>
                <w:kern w:val="0"/>
                <w:sz w:val="24"/>
                <w:highlight w:val="none"/>
                <w:lang w:bidi="ar"/>
              </w:rPr>
              <w:t>5</w:t>
            </w:r>
          </w:p>
        </w:tc>
        <w:tc>
          <w:tcPr>
            <w:tcW w:w="777" w:type="pct"/>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9" w:type="pct"/>
            <w:vMerge w:val="continue"/>
            <w:vAlign w:val="center"/>
          </w:tcPr>
          <w:p>
            <w:pPr>
              <w:ind w:firstLine="240" w:firstLineChars="100"/>
              <w:rPr>
                <w:rFonts w:ascii="仿宋" w:hAnsi="仿宋" w:eastAsia="仿宋" w:cs="仿宋"/>
                <w:color w:val="auto"/>
                <w:sz w:val="24"/>
                <w:highlight w:val="none"/>
              </w:rPr>
            </w:pPr>
          </w:p>
        </w:tc>
        <w:tc>
          <w:tcPr>
            <w:tcW w:w="786" w:type="pct"/>
            <w:vMerge w:val="continue"/>
            <w:vAlign w:val="center"/>
          </w:tcPr>
          <w:p>
            <w:pPr>
              <w:snapToGrid w:val="0"/>
              <w:jc w:val="center"/>
              <w:rPr>
                <w:rFonts w:ascii="仿宋" w:hAnsi="仿宋" w:eastAsia="仿宋" w:cs="仿宋"/>
                <w:color w:val="auto"/>
                <w:sz w:val="24"/>
                <w:highlight w:val="none"/>
              </w:rPr>
            </w:pPr>
          </w:p>
        </w:tc>
        <w:tc>
          <w:tcPr>
            <w:tcW w:w="2604" w:type="pct"/>
            <w:vAlign w:val="center"/>
          </w:tcPr>
          <w:p>
            <w:pPr>
              <w:pStyle w:val="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保证项目进度的有效措施科学合理的得5分，</w:t>
            </w:r>
            <w:r>
              <w:rPr>
                <w:rFonts w:hint="eastAsia" w:ascii="仿宋" w:hAnsi="仿宋" w:eastAsia="仿宋" w:cs="仿宋"/>
                <w:color w:val="auto"/>
                <w:sz w:val="24"/>
                <w:szCs w:val="24"/>
                <w:highlight w:val="none"/>
              </w:rPr>
              <w:t>较科学合理的得3.5分，基本合理的得2分，一般的得1分，无相关描述的得0分</w:t>
            </w:r>
            <w:r>
              <w:rPr>
                <w:rFonts w:hint="eastAsia" w:ascii="仿宋_GB2312" w:hAnsi="仿宋" w:eastAsia="仿宋_GB2312" w:cs="仿宋_GB2312"/>
                <w:color w:val="auto"/>
                <w:sz w:val="24"/>
                <w:highlight w:val="none"/>
              </w:rPr>
              <w:t>。</w:t>
            </w:r>
          </w:p>
        </w:tc>
        <w:tc>
          <w:tcPr>
            <w:tcW w:w="432" w:type="pct"/>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5</w:t>
            </w:r>
          </w:p>
        </w:tc>
        <w:tc>
          <w:tcPr>
            <w:tcW w:w="777" w:type="pct"/>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9" w:type="pct"/>
            <w:vMerge w:val="continue"/>
            <w:vAlign w:val="center"/>
          </w:tcPr>
          <w:p>
            <w:pPr>
              <w:ind w:firstLine="240" w:firstLineChars="100"/>
              <w:rPr>
                <w:rFonts w:ascii="仿宋" w:hAnsi="仿宋" w:eastAsia="仿宋" w:cs="仿宋"/>
                <w:color w:val="auto"/>
                <w:sz w:val="24"/>
                <w:highlight w:val="none"/>
              </w:rPr>
            </w:pPr>
          </w:p>
        </w:tc>
        <w:tc>
          <w:tcPr>
            <w:tcW w:w="786" w:type="pct"/>
            <w:vMerge w:val="continue"/>
            <w:vAlign w:val="center"/>
          </w:tcPr>
          <w:p>
            <w:pPr>
              <w:snapToGrid w:val="0"/>
              <w:jc w:val="center"/>
              <w:rPr>
                <w:rFonts w:ascii="仿宋" w:hAnsi="仿宋" w:eastAsia="仿宋" w:cs="仿宋"/>
                <w:color w:val="auto"/>
                <w:sz w:val="24"/>
                <w:highlight w:val="none"/>
              </w:rPr>
            </w:pPr>
          </w:p>
        </w:tc>
        <w:tc>
          <w:tcPr>
            <w:tcW w:w="2604" w:type="pct"/>
            <w:vAlign w:val="center"/>
          </w:tcPr>
          <w:p>
            <w:pPr>
              <w:pStyle w:val="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项目实施过程中突发事件处理机制与预案科学合理的得5分，</w:t>
            </w:r>
            <w:r>
              <w:rPr>
                <w:rFonts w:hint="eastAsia" w:ascii="仿宋" w:hAnsi="仿宋" w:eastAsia="仿宋" w:cs="仿宋"/>
                <w:color w:val="auto"/>
                <w:sz w:val="24"/>
                <w:szCs w:val="24"/>
                <w:highlight w:val="none"/>
              </w:rPr>
              <w:t>较科学合理的得3.5分，基本合理的得2分，一般的得1分，无相关描述的得0分</w:t>
            </w:r>
            <w:r>
              <w:rPr>
                <w:rFonts w:hint="eastAsia" w:ascii="仿宋_GB2312" w:hAnsi="仿宋" w:eastAsia="仿宋_GB2312" w:cs="仿宋_GB2312"/>
                <w:color w:val="auto"/>
                <w:sz w:val="24"/>
                <w:highlight w:val="none"/>
              </w:rPr>
              <w:t>。</w:t>
            </w:r>
          </w:p>
        </w:tc>
        <w:tc>
          <w:tcPr>
            <w:tcW w:w="432" w:type="pct"/>
            <w:vAlign w:val="center"/>
          </w:tcPr>
          <w:p>
            <w:pPr>
              <w:widowControl/>
              <w:jc w:val="center"/>
              <w:textAlignment w:val="center"/>
              <w:rPr>
                <w:rFonts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bidi="ar"/>
              </w:rPr>
              <w:t>5</w:t>
            </w:r>
          </w:p>
        </w:tc>
        <w:tc>
          <w:tcPr>
            <w:tcW w:w="777" w:type="pct"/>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9" w:type="pct"/>
            <w:vAlign w:val="center"/>
          </w:tcPr>
          <w:p>
            <w:pPr>
              <w:ind w:firstLine="240" w:firstLineChars="1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8</w:t>
            </w:r>
          </w:p>
        </w:tc>
        <w:tc>
          <w:tcPr>
            <w:tcW w:w="786" w:type="pct"/>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全过程跟踪审计服务的疑难点考虑</w:t>
            </w:r>
          </w:p>
        </w:tc>
        <w:tc>
          <w:tcPr>
            <w:tcW w:w="2604" w:type="pct"/>
            <w:vAlign w:val="center"/>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对本医院项目全过程跟踪审计服务的疑难点的认识准确，解决措施完整、合理、可行的得5分；认识较准确，解决措施较完整、合理、可行的得3.5分；认识基本准确，解决措基本完整、合理、可行的得2分；一般的得1分；无相关描述的得0分。</w:t>
            </w:r>
          </w:p>
        </w:tc>
        <w:tc>
          <w:tcPr>
            <w:tcW w:w="432" w:type="pct"/>
            <w:vAlign w:val="center"/>
          </w:tcPr>
          <w:p>
            <w:pPr>
              <w:widowControl/>
              <w:jc w:val="center"/>
              <w:textAlignment w:val="center"/>
              <w:rPr>
                <w:rFonts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bidi="ar"/>
              </w:rPr>
              <w:t>5</w:t>
            </w:r>
          </w:p>
        </w:tc>
        <w:tc>
          <w:tcPr>
            <w:tcW w:w="777" w:type="pct"/>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399" w:type="pct"/>
            <w:vAlign w:val="center"/>
          </w:tcPr>
          <w:p>
            <w:pPr>
              <w:ind w:firstLine="240" w:firstLineChars="1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9</w:t>
            </w:r>
          </w:p>
        </w:tc>
        <w:tc>
          <w:tcPr>
            <w:tcW w:w="786" w:type="pct"/>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合理化建议</w:t>
            </w:r>
          </w:p>
        </w:tc>
        <w:tc>
          <w:tcPr>
            <w:tcW w:w="2604" w:type="pct"/>
            <w:vAlign w:val="center"/>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全过程跟踪审计服务的合理化建议或其他合理化建议科学合理的得5分，较科学合理的得3.5分，基本合理的得2分，一般的得1分，无相关描述的得0分。</w:t>
            </w:r>
          </w:p>
        </w:tc>
        <w:tc>
          <w:tcPr>
            <w:tcW w:w="432" w:type="pct"/>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5</w:t>
            </w:r>
          </w:p>
        </w:tc>
        <w:tc>
          <w:tcPr>
            <w:tcW w:w="777" w:type="pct"/>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9" w:type="pct"/>
            <w:vAlign w:val="center"/>
          </w:tcPr>
          <w:p>
            <w:pPr>
              <w:ind w:left="239" w:leftChars="114"/>
              <w:outlineLvl w:val="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报价</w:t>
            </w:r>
          </w:p>
        </w:tc>
        <w:tc>
          <w:tcPr>
            <w:tcW w:w="3390" w:type="pct"/>
            <w:gridSpan w:val="2"/>
          </w:tcPr>
          <w:p>
            <w:pPr>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rPr>
              <w:t>有效投标报价的最低价作为评标基准价，其最低报价为满分；按［投标报价得分=（评标基准价/投标报价）*10］的计算公式计算。</w:t>
            </w:r>
          </w:p>
          <w:p>
            <w:pPr>
              <w:widowControl/>
              <w:shd w:val="clear" w:color="auto" w:fill="FFFFFF"/>
              <w:adjustRightInd/>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评标过程中，不得去掉报价中的最高报价和最低报价。</w:t>
            </w:r>
          </w:p>
          <w:p>
            <w:pPr>
              <w:widowControl/>
              <w:shd w:val="clear" w:color="auto" w:fill="FFFFFF"/>
              <w:adjustRightInd/>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因落实政府采购政策需要进行价格调整的，以调整后的价格计算评标基准价和投标报价。</w:t>
            </w:r>
          </w:p>
        </w:tc>
        <w:tc>
          <w:tcPr>
            <w:tcW w:w="432" w:type="pct"/>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10</w:t>
            </w:r>
          </w:p>
        </w:tc>
        <w:tc>
          <w:tcPr>
            <w:tcW w:w="777" w:type="pct"/>
            <w:vAlign w:val="center"/>
          </w:tcPr>
          <w:p>
            <w:pPr>
              <w:jc w:val="center"/>
              <w:outlineLvl w:val="0"/>
              <w:rPr>
                <w:rFonts w:ascii="仿宋" w:hAnsi="仿宋" w:eastAsia="仿宋" w:cs="仿宋"/>
                <w:color w:val="auto"/>
                <w:sz w:val="24"/>
                <w:highlight w:val="none"/>
              </w:rPr>
            </w:pPr>
            <w:r>
              <w:rPr>
                <w:rFonts w:hint="eastAsia" w:ascii="仿宋" w:hAnsi="仿宋" w:eastAsia="仿宋" w:cs="仿宋"/>
                <w:color w:val="auto"/>
                <w:sz w:val="24"/>
                <w:highlight w:val="none"/>
              </w:rPr>
              <w:t>/</w:t>
            </w:r>
          </w:p>
        </w:tc>
      </w:tr>
      <w:bookmarkEnd w:id="395"/>
    </w:tbl>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内容）提供评标标准相应的商务技术资料。</w:t>
      </w:r>
    </w:p>
    <w:p>
      <w:pPr>
        <w:snapToGrid w:val="0"/>
        <w:spacing w:line="360" w:lineRule="auto"/>
        <w:rPr>
          <w:rFonts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29"/>
        <w:spacing w:before="0"/>
        <w:ind w:firstLine="508" w:firstLineChars="212"/>
        <w:rPr>
          <w:rFonts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29"/>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29"/>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29"/>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29"/>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29"/>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29"/>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29"/>
        <w:spacing w:before="0"/>
        <w:ind w:firstLine="472" w:firstLineChars="196"/>
        <w:rPr>
          <w:rFonts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4.2.12投标人仅提交备份投标文件，没有在电子交易平台传输递交投标文件的，投标无效；</w:t>
      </w:r>
    </w:p>
    <w:p>
      <w:pPr>
        <w:pStyle w:val="2"/>
        <w:ind w:left="862" w:leftChars="205"/>
        <w:rPr>
          <w:rFonts w:ascii="仿宋" w:eastAsia="仿宋" w:cs="仿宋"/>
          <w:b w:val="0"/>
          <w:bCs w:val="0"/>
          <w:color w:val="auto"/>
          <w:kern w:val="0"/>
          <w:sz w:val="24"/>
          <w:szCs w:val="24"/>
          <w:highlight w:val="none"/>
          <w:lang w:val="en-US"/>
        </w:rPr>
      </w:pPr>
      <w:r>
        <w:rPr>
          <w:rFonts w:hint="eastAsia" w:ascii="仿宋" w:eastAsia="仿宋" w:cs="仿宋"/>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7"/>
        <w:snapToGrid w:val="0"/>
        <w:spacing w:line="360" w:lineRule="auto"/>
        <w:ind w:firstLine="472" w:firstLineChars="196"/>
        <w:rPr>
          <w:rFonts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7"/>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7"/>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7"/>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7"/>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7"/>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7"/>
        <w:snapToGrid w:val="0"/>
        <w:spacing w:line="360" w:lineRule="auto"/>
        <w:ind w:firstLine="590" w:firstLineChars="245"/>
        <w:rPr>
          <w:rFonts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7"/>
        <w:snapToGrid w:val="0"/>
        <w:spacing w:line="360" w:lineRule="auto"/>
        <w:ind w:firstLine="590" w:firstLineChars="245"/>
        <w:rPr>
          <w:rFonts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27"/>
        <w:snapToGrid w:val="0"/>
        <w:spacing w:line="360" w:lineRule="auto"/>
        <w:ind w:firstLine="600" w:firstLineChars="250"/>
        <w:rPr>
          <w:rFonts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27"/>
        <w:snapToGrid w:val="0"/>
        <w:spacing w:line="360" w:lineRule="auto"/>
        <w:ind w:firstLine="600" w:firstLineChars="250"/>
        <w:rPr>
          <w:rFonts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7"/>
        <w:snapToGrid w:val="0"/>
        <w:spacing w:line="360" w:lineRule="auto"/>
        <w:ind w:firstLine="600" w:firstLineChars="250"/>
        <w:rPr>
          <w:rFonts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7"/>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7"/>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p>
      <w:pPr>
        <w:pStyle w:val="27"/>
        <w:snapToGrid w:val="0"/>
        <w:spacing w:line="360" w:lineRule="auto"/>
        <w:ind w:firstLine="0" w:firstLineChars="0"/>
        <w:rPr>
          <w:rFonts w:ascii="仿宋" w:hAnsi="仿宋" w:eastAsia="仿宋" w:cs="仿宋"/>
          <w:color w:val="auto"/>
          <w:highlight w:val="none"/>
        </w:rPr>
      </w:pPr>
    </w:p>
    <w:bookmarkEnd w:id="26"/>
    <w:p>
      <w:pPr>
        <w:spacing w:line="360" w:lineRule="auto"/>
        <w:ind w:left="720" w:leftChars="343" w:firstLine="1084" w:firstLineChars="300"/>
        <w:outlineLvl w:val="0"/>
        <w:rPr>
          <w:rFonts w:ascii="仿宋" w:hAnsi="仿宋" w:eastAsia="仿宋" w:cs="仿宋"/>
          <w:b/>
          <w:color w:val="auto"/>
          <w:sz w:val="36"/>
          <w:szCs w:val="36"/>
          <w:highlight w:val="none"/>
        </w:rPr>
      </w:pPr>
      <w:bookmarkStart w:id="396" w:name="第五部分"/>
      <w:bookmarkStart w:id="397" w:name="_Toc86217003"/>
    </w:p>
    <w:p>
      <w:pPr>
        <w:spacing w:line="360" w:lineRule="auto"/>
        <w:ind w:left="720" w:leftChars="343" w:firstLine="1084" w:firstLineChars="300"/>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360" w:lineRule="auto"/>
        <w:ind w:left="720" w:leftChars="343" w:firstLine="1084" w:firstLineChars="300"/>
        <w:outlineLvl w:val="0"/>
        <w:rPr>
          <w:rFonts w:ascii="仿宋" w:hAnsi="仿宋" w:eastAsia="仿宋" w:cs="仿宋"/>
          <w:b/>
          <w:color w:val="auto"/>
          <w:sz w:val="36"/>
          <w:szCs w:val="36"/>
          <w:highlight w:val="none"/>
        </w:rPr>
      </w:pPr>
    </w:p>
    <w:p>
      <w:pPr>
        <w:spacing w:line="360" w:lineRule="auto"/>
        <w:ind w:left="720" w:leftChars="343" w:firstLine="1084" w:firstLineChars="300"/>
        <w:outlineLvl w:val="0"/>
        <w:rPr>
          <w:rFonts w:ascii="仿宋" w:hAnsi="仿宋" w:eastAsia="仿宋" w:cs="仿宋"/>
          <w:b/>
          <w:color w:val="auto"/>
          <w:sz w:val="36"/>
          <w:szCs w:val="36"/>
          <w:highlight w:val="none"/>
        </w:rPr>
      </w:pPr>
    </w:p>
    <w:p>
      <w:pPr>
        <w:spacing w:line="360" w:lineRule="auto"/>
        <w:jc w:val="center"/>
        <w:outlineLvl w:val="0"/>
        <w:rPr>
          <w:rFonts w:ascii="仿宋" w:hAnsi="仿宋" w:eastAsia="仿宋" w:cs="仿宋"/>
          <w:b/>
          <w:color w:val="auto"/>
          <w:sz w:val="36"/>
          <w:szCs w:val="36"/>
          <w:highlight w:val="none"/>
        </w:rPr>
        <w:sectPr>
          <w:footerReference r:id="rId8" w:type="default"/>
          <w:pgSz w:w="11911" w:h="16838"/>
          <w:pgMar w:top="1502" w:right="1378" w:bottom="1780" w:left="1582" w:header="0" w:footer="1378" w:gutter="0"/>
          <w:cols w:space="720" w:num="1"/>
        </w:sectPr>
      </w:pPr>
    </w:p>
    <w:p>
      <w:pPr>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（以最终合同为准）</w:t>
      </w:r>
    </w:p>
    <w:p>
      <w:pPr>
        <w:ind w:firstLine="600" w:firstLineChars="200"/>
        <w:rPr>
          <w:rFonts w:ascii="仿宋" w:hAnsi="仿宋" w:eastAsia="仿宋" w:cs="仿宋"/>
          <w:b/>
          <w:color w:val="auto"/>
          <w:sz w:val="30"/>
          <w:szCs w:val="30"/>
          <w:highlight w:val="none"/>
          <w:u w:val="single"/>
        </w:rPr>
      </w:pPr>
      <w:r>
        <w:rPr>
          <w:rFonts w:hint="eastAsia" w:ascii="仿宋" w:hAnsi="仿宋" w:eastAsia="仿宋" w:cs="仿宋"/>
          <w:bCs/>
          <w:color w:val="auto"/>
          <w:sz w:val="30"/>
          <w:szCs w:val="30"/>
          <w:highlight w:val="none"/>
        </w:rPr>
        <w:t xml:space="preserve">GF—2015—0212                       </w:t>
      </w:r>
      <w:r>
        <w:rPr>
          <w:rFonts w:hint="eastAsia" w:ascii="仿宋" w:hAnsi="仿宋" w:eastAsia="仿宋" w:cs="仿宋"/>
          <w:b/>
          <w:color w:val="auto"/>
          <w:sz w:val="30"/>
          <w:szCs w:val="30"/>
          <w:highlight w:val="none"/>
        </w:rPr>
        <w:t>合同编号：</w:t>
      </w:r>
      <w:r>
        <w:rPr>
          <w:rFonts w:hint="eastAsia" w:ascii="仿宋" w:hAnsi="仿宋" w:eastAsia="仿宋" w:cs="仿宋"/>
          <w:b/>
          <w:color w:val="auto"/>
          <w:sz w:val="30"/>
          <w:szCs w:val="30"/>
          <w:highlight w:val="none"/>
          <w:u w:val="single"/>
        </w:rPr>
        <w:t xml:space="preserve">          </w:t>
      </w:r>
    </w:p>
    <w:p>
      <w:pPr>
        <w:rPr>
          <w:rFonts w:ascii="仿宋" w:hAnsi="仿宋" w:eastAsia="仿宋" w:cs="仿宋"/>
          <w:color w:val="auto"/>
          <w:highlight w:val="none"/>
        </w:rPr>
      </w:pPr>
    </w:p>
    <w:p>
      <w:pPr>
        <w:pStyle w:val="6"/>
        <w:rPr>
          <w:color w:val="auto"/>
          <w:highlight w:val="none"/>
        </w:rPr>
      </w:pPr>
    </w:p>
    <w:p>
      <w:pPr>
        <w:pStyle w:val="6"/>
        <w:rPr>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spacing w:line="360" w:lineRule="auto"/>
        <w:jc w:val="center"/>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建设工程造价控制</w:t>
      </w:r>
    </w:p>
    <w:p>
      <w:pPr>
        <w:spacing w:line="360" w:lineRule="auto"/>
        <w:jc w:val="center"/>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咨询合同</w:t>
      </w:r>
    </w:p>
    <w:p>
      <w:pPr>
        <w:pStyle w:val="6"/>
        <w:rPr>
          <w:color w:val="auto"/>
          <w:highlight w:val="none"/>
        </w:rPr>
      </w:pPr>
    </w:p>
    <w:p>
      <w:pPr>
        <w:pStyle w:val="6"/>
        <w:rPr>
          <w:color w:val="auto"/>
          <w:highlight w:val="none"/>
        </w:rPr>
      </w:pPr>
    </w:p>
    <w:p>
      <w:pPr>
        <w:rPr>
          <w:rFonts w:ascii="仿宋" w:hAnsi="仿宋" w:eastAsia="仿宋" w:cs="仿宋"/>
          <w:color w:val="auto"/>
          <w:highlight w:val="none"/>
        </w:rPr>
      </w:pPr>
    </w:p>
    <w:p>
      <w:pPr>
        <w:pStyle w:val="967"/>
        <w:jc w:val="center"/>
        <w:rPr>
          <w:rFonts w:ascii="仿宋" w:hAnsi="仿宋" w:eastAsia="仿宋" w:cs="仿宋"/>
          <w:color w:val="auto"/>
          <w:highlight w:val="none"/>
        </w:rPr>
      </w:pPr>
    </w:p>
    <w:p>
      <w:pPr>
        <w:pStyle w:val="967"/>
        <w:jc w:val="center"/>
        <w:rPr>
          <w:rFonts w:ascii="仿宋" w:hAnsi="仿宋" w:eastAsia="仿宋" w:cs="仿宋"/>
          <w:color w:val="auto"/>
          <w:highlight w:val="none"/>
        </w:rPr>
      </w:pPr>
    </w:p>
    <w:p>
      <w:pPr>
        <w:pStyle w:val="967"/>
        <w:jc w:val="center"/>
        <w:rPr>
          <w:rFonts w:ascii="仿宋" w:hAnsi="仿宋" w:eastAsia="仿宋" w:cs="仿宋"/>
          <w:color w:val="auto"/>
          <w:highlight w:val="none"/>
        </w:rPr>
      </w:pPr>
    </w:p>
    <w:p>
      <w:pPr>
        <w:pStyle w:val="967"/>
        <w:jc w:val="center"/>
        <w:rPr>
          <w:rFonts w:ascii="仿宋" w:hAnsi="仿宋" w:eastAsia="仿宋" w:cs="仿宋"/>
          <w:color w:val="auto"/>
          <w:highlight w:val="none"/>
        </w:rPr>
      </w:pPr>
    </w:p>
    <w:p>
      <w:pPr>
        <w:pStyle w:val="967"/>
        <w:jc w:val="center"/>
        <w:rPr>
          <w:rFonts w:ascii="仿宋" w:hAnsi="仿宋" w:eastAsia="仿宋" w:cs="仿宋"/>
          <w:color w:val="auto"/>
          <w:highlight w:val="none"/>
        </w:rPr>
      </w:pPr>
    </w:p>
    <w:p>
      <w:pPr>
        <w:pStyle w:val="967"/>
        <w:jc w:val="center"/>
        <w:rPr>
          <w:rFonts w:ascii="仿宋" w:hAnsi="仿宋" w:eastAsia="仿宋" w:cs="仿宋"/>
          <w:color w:val="auto"/>
          <w:highlight w:val="none"/>
        </w:rPr>
      </w:pPr>
    </w:p>
    <w:p>
      <w:pPr>
        <w:pStyle w:val="967"/>
        <w:jc w:val="center"/>
        <w:rPr>
          <w:rFonts w:ascii="仿宋" w:hAnsi="仿宋" w:eastAsia="仿宋" w:cs="仿宋"/>
          <w:color w:val="auto"/>
          <w:highlight w:val="none"/>
        </w:rPr>
      </w:pPr>
    </w:p>
    <w:p>
      <w:pPr>
        <w:pStyle w:val="967"/>
        <w:jc w:val="center"/>
        <w:rPr>
          <w:rFonts w:ascii="仿宋" w:hAnsi="仿宋" w:eastAsia="仿宋" w:cs="仿宋"/>
          <w:color w:val="auto"/>
          <w:highlight w:val="none"/>
        </w:rPr>
      </w:pPr>
    </w:p>
    <w:p>
      <w:pPr>
        <w:pStyle w:val="967"/>
        <w:rPr>
          <w:rFonts w:ascii="仿宋" w:hAnsi="仿宋" w:eastAsia="仿宋" w:cs="仿宋"/>
          <w:color w:val="auto"/>
          <w:sz w:val="32"/>
          <w:szCs w:val="32"/>
          <w:highlight w:val="none"/>
        </w:rPr>
      </w:pPr>
      <w:r>
        <w:rPr>
          <w:rFonts w:hint="eastAsia" w:ascii="仿宋" w:hAnsi="仿宋" w:eastAsia="仿宋" w:cs="仿宋"/>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3761105</wp:posOffset>
                </wp:positionH>
                <wp:positionV relativeFrom="paragraph">
                  <wp:posOffset>180975</wp:posOffset>
                </wp:positionV>
                <wp:extent cx="2239010" cy="354965"/>
                <wp:effectExtent l="5080" t="4445" r="22860" b="2159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39010" cy="354965"/>
                        </a:xfrm>
                        <a:prstGeom prst="rect">
                          <a:avLst/>
                        </a:prstGeom>
                        <a:solidFill>
                          <a:srgbClr val="FFFFFF"/>
                        </a:solidFill>
                        <a:ln w="0">
                          <a:solidFill>
                            <a:srgbClr val="FFFFFF"/>
                          </a:solidFill>
                          <a:miter lim="800000"/>
                        </a:ln>
                        <a:effectLst/>
                      </wps:spPr>
                      <wps:txbx>
                        <w:txbxContent>
                          <w:p>
                            <w:pPr>
                              <w:ind w:firstLine="321" w:firstLineChars="100"/>
                              <w:rPr>
                                <w:b/>
                                <w:sz w:val="32"/>
                                <w:szCs w:val="32"/>
                              </w:rPr>
                            </w:pPr>
                            <w:r>
                              <w:rPr>
                                <w:rFonts w:hint="eastAsia"/>
                                <w:b/>
                                <w:sz w:val="32"/>
                                <w:szCs w:val="32"/>
                              </w:rPr>
                              <w:t>制定</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296.15pt;margin-top:14.25pt;height:27.95pt;width:176.3pt;z-index:251662336;mso-width-relative:page;mso-height-relative:page;" fillcolor="#FFFFFF" filled="t" stroked="t" coordsize="21600,21600" o:gfxdata="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n2g7w2AAAAAkBAAAPAAAAAAAAAAEAIAAAACIAAABk&#10;cnMvZG93bnJldi54bWxQSwECFAAUAAAACACHTuJA2nxbAz8CAACSBAAADgAAAAAAAAABACAAAAAn&#10;AQAAZHJzL2Uyb0RvYy54bWxQSwUGAAAAAAYABgBZAQAA2AUAAAAA&#10;">
                <v:fill on="t" focussize="0,0"/>
                <v:stroke weight="0pt" color="#FFFFFF" miterlimit="8" joinstyle="miter"/>
                <v:imagedata o:title=""/>
                <o:lock v:ext="edit" aspectratio="f"/>
                <v:textbox style="mso-fit-shape-to-text:t;">
                  <w:txbxContent>
                    <w:p>
                      <w:pPr>
                        <w:ind w:firstLine="321" w:firstLineChars="100"/>
                        <w:rPr>
                          <w:b/>
                          <w:sz w:val="32"/>
                          <w:szCs w:val="32"/>
                        </w:rPr>
                      </w:pPr>
                      <w:r>
                        <w:rPr>
                          <w:rFonts w:hint="eastAsia"/>
                          <w:b/>
                          <w:sz w:val="32"/>
                          <w:szCs w:val="32"/>
                        </w:rPr>
                        <w:t>制定</w:t>
                      </w:r>
                    </w:p>
                  </w:txbxContent>
                </v:textbox>
              </v:shape>
            </w:pict>
          </mc:Fallback>
        </mc:AlternateContent>
      </w:r>
      <w:r>
        <w:rPr>
          <w:rFonts w:hint="eastAsia" w:ascii="仿宋" w:hAnsi="仿宋" w:eastAsia="仿宋" w:cs="仿宋"/>
          <w:color w:val="auto"/>
          <w:sz w:val="32"/>
          <w:szCs w:val="32"/>
          <w:highlight w:val="none"/>
        </w:rPr>
        <w:t xml:space="preserve">                  住 房 和 城 乡 建 设 部</w:t>
      </w:r>
    </w:p>
    <w:p>
      <w:pPr>
        <w:pStyle w:val="967"/>
        <w:ind w:firstLine="2570" w:firstLineChars="80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国家工商行政管理总局</w:t>
      </w:r>
    </w:p>
    <w:p>
      <w:pPr>
        <w:spacing w:line="360" w:lineRule="auto"/>
        <w:ind w:firstLine="482" w:firstLineChars="200"/>
        <w:jc w:val="center"/>
        <w:outlineLvl w:val="2"/>
        <w:rPr>
          <w:rFonts w:ascii="仿宋" w:hAnsi="仿宋" w:eastAsia="仿宋" w:cs="仿宋"/>
          <w:b/>
          <w:bCs/>
          <w:color w:val="auto"/>
          <w:sz w:val="24"/>
          <w:highlight w:val="none"/>
        </w:rPr>
      </w:pPr>
      <w:bookmarkStart w:id="398" w:name="_Toc35366002"/>
    </w:p>
    <w:p>
      <w:pPr>
        <w:spacing w:line="360" w:lineRule="auto"/>
        <w:ind w:firstLine="482" w:firstLineChars="200"/>
        <w:jc w:val="center"/>
        <w:outlineLvl w:val="2"/>
        <w:rPr>
          <w:rFonts w:hint="eastAsia" w:ascii="仿宋" w:hAnsi="仿宋" w:eastAsia="仿宋" w:cs="仿宋"/>
          <w:b/>
          <w:bCs/>
          <w:color w:val="auto"/>
          <w:sz w:val="24"/>
          <w:highlight w:val="none"/>
        </w:rPr>
      </w:pPr>
    </w:p>
    <w:p>
      <w:pPr>
        <w:spacing w:line="360" w:lineRule="auto"/>
        <w:ind w:firstLine="482" w:firstLineChars="200"/>
        <w:jc w:val="center"/>
        <w:outlineLvl w:val="2"/>
        <w:rPr>
          <w:rFonts w:ascii="仿宋" w:hAnsi="仿宋" w:eastAsia="仿宋" w:cs="仿宋"/>
          <w:b/>
          <w:bCs/>
          <w:color w:val="auto"/>
          <w:sz w:val="24"/>
          <w:highlight w:val="none"/>
        </w:rPr>
      </w:pPr>
      <w:r>
        <w:rPr>
          <w:rFonts w:hint="eastAsia" w:ascii="仿宋" w:hAnsi="仿宋" w:eastAsia="仿宋" w:cs="仿宋"/>
          <w:b/>
          <w:bCs/>
          <w:color w:val="auto"/>
          <w:sz w:val="24"/>
          <w:highlight w:val="none"/>
        </w:rPr>
        <w:t>第一部分：协议书</w:t>
      </w:r>
      <w:bookmarkEnd w:id="398"/>
    </w:p>
    <w:p>
      <w:pPr>
        <w:spacing w:line="440" w:lineRule="exact"/>
        <w:ind w:firstLine="480" w:firstLineChars="200"/>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委托人（全称）：</w:t>
      </w:r>
      <w:r>
        <w:rPr>
          <w:rFonts w:hint="eastAsia" w:ascii="仿宋" w:hAnsi="仿宋" w:eastAsia="仿宋" w:cs="仿宋"/>
          <w:bCs/>
          <w:color w:val="auto"/>
          <w:sz w:val="24"/>
          <w:highlight w:val="none"/>
          <w:u w:val="single"/>
        </w:rPr>
        <w:t xml:space="preserve">杭州市卫生健康事业发展中心  </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咨询人（全称）：</w:t>
      </w:r>
      <w:r>
        <w:rPr>
          <w:rFonts w:hint="eastAsia" w:ascii="仿宋" w:hAnsi="仿宋" w:eastAsia="仿宋" w:cs="仿宋"/>
          <w:bCs/>
          <w:color w:val="auto"/>
          <w:sz w:val="24"/>
          <w:highlight w:val="none"/>
          <w:u w:val="single"/>
        </w:rPr>
        <w:t xml:space="preserve">                    </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根据《民法典》及其他有关法律、法规，遵循平等、自愿、公平和诚实信用的原则，双方就下述建设工程委托造价控制咨询与其他服务事项协商一致，订立本合同。</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一、工程概况</w:t>
      </w:r>
    </w:p>
    <w:p>
      <w:pPr>
        <w:spacing w:line="440" w:lineRule="exact"/>
        <w:ind w:firstLine="480" w:firstLineChars="200"/>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1、工程名称：</w:t>
      </w:r>
      <w:r>
        <w:rPr>
          <w:rFonts w:hint="eastAsia" w:ascii="仿宋" w:hAnsi="仿宋" w:eastAsia="仿宋" w:cs="仿宋"/>
          <w:bCs/>
          <w:color w:val="auto"/>
          <w:sz w:val="24"/>
          <w:highlight w:val="none"/>
          <w:u w:val="single"/>
        </w:rPr>
        <w:t>杭州市第一人民医院新院区建设工程全过程跟踪审计服务项目。</w:t>
      </w:r>
    </w:p>
    <w:p>
      <w:pPr>
        <w:autoSpaceDE w:val="0"/>
        <w:autoSpaceDN w:val="0"/>
        <w:spacing w:line="360" w:lineRule="auto"/>
        <w:ind w:firstLine="480" w:firstLineChars="200"/>
        <w:jc w:val="left"/>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2、工程地点：</w:t>
      </w:r>
      <w:r>
        <w:rPr>
          <w:rFonts w:hint="eastAsia" w:ascii="仿宋" w:hAnsi="仿宋" w:eastAsia="仿宋" w:cs="仿宋"/>
          <w:bCs/>
          <w:color w:val="auto"/>
          <w:sz w:val="24"/>
          <w:highlight w:val="none"/>
          <w:u w:val="single"/>
        </w:rPr>
        <w:t>杭州市艮北新区单元，四至范围：东至红普路、西至园区路、北至红建路、南至艮山东路。</w:t>
      </w:r>
    </w:p>
    <w:p>
      <w:pPr>
        <w:spacing w:line="440" w:lineRule="exact"/>
        <w:ind w:firstLine="480" w:firstLineChars="200"/>
        <w:rPr>
          <w:rFonts w:ascii="仿宋" w:hAnsi="仿宋" w:eastAsia="仿宋" w:cs="仿宋"/>
          <w:color w:val="auto"/>
          <w:kern w:val="0"/>
          <w:sz w:val="24"/>
          <w:highlight w:val="none"/>
          <w:lang w:bidi="ar"/>
        </w:rPr>
      </w:pPr>
      <w:r>
        <w:rPr>
          <w:rFonts w:hint="eastAsia" w:ascii="仿宋" w:hAnsi="仿宋" w:eastAsia="仿宋" w:cs="仿宋"/>
          <w:bCs/>
          <w:color w:val="auto"/>
          <w:sz w:val="24"/>
          <w:highlight w:val="none"/>
        </w:rPr>
        <w:t>3、工程规模：</w:t>
      </w:r>
      <w:r>
        <w:rPr>
          <w:rFonts w:hint="eastAsia" w:ascii="仿宋" w:hAnsi="仿宋" w:eastAsia="仿宋" w:cs="仿宋"/>
          <w:color w:val="auto"/>
          <w:kern w:val="0"/>
          <w:sz w:val="24"/>
          <w:highlight w:val="none"/>
          <w:lang w:bidi="ar"/>
        </w:rPr>
        <w:t>总建筑面积暂定为312000平方米，地上建筑面积约177050平方米，地下建筑面积约134950平方米。</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4、总投资额：</w:t>
      </w:r>
      <w:r>
        <w:rPr>
          <w:rFonts w:hint="eastAsia" w:ascii="仿宋" w:hAnsi="仿宋" w:eastAsia="仿宋" w:cs="仿宋"/>
          <w:color w:val="auto"/>
          <w:kern w:val="0"/>
          <w:sz w:val="24"/>
          <w:highlight w:val="none"/>
          <w:lang w:bidi="ar"/>
        </w:rPr>
        <w:t>274119万元（不含土地费及医疗设备费）</w:t>
      </w:r>
      <w:r>
        <w:rPr>
          <w:rFonts w:hint="eastAsia" w:ascii="仿宋" w:hAnsi="仿宋" w:eastAsia="仿宋" w:cs="仿宋"/>
          <w:bCs/>
          <w:color w:val="auto"/>
          <w:sz w:val="24"/>
          <w:highlight w:val="none"/>
        </w:rPr>
        <w:t>。</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5、资金来源：财政资金。</w:t>
      </w:r>
    </w:p>
    <w:p>
      <w:pPr>
        <w:spacing w:line="440" w:lineRule="exact"/>
        <w:ind w:firstLine="480" w:firstLineChars="200"/>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6、建设工期或周期：</w:t>
      </w:r>
      <w:r>
        <w:rPr>
          <w:rFonts w:hint="eastAsia" w:ascii="仿宋" w:hAnsi="仿宋" w:eastAsia="仿宋" w:cs="仿宋"/>
          <w:bCs/>
          <w:color w:val="auto"/>
          <w:sz w:val="24"/>
          <w:highlight w:val="none"/>
          <w:u w:val="single"/>
        </w:rPr>
        <w:t>根据实际建设工期。</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7、其他：</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u w:val="single"/>
        </w:rPr>
        <w:t>。</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二、服务范围及工作内容：</w:t>
      </w:r>
    </w:p>
    <w:p>
      <w:pPr>
        <w:spacing w:line="440" w:lineRule="exact"/>
        <w:ind w:firstLine="480" w:firstLineChars="200"/>
        <w:rPr>
          <w:rFonts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预算</w:t>
      </w:r>
      <w:r>
        <w:rPr>
          <w:rFonts w:hint="eastAsia" w:ascii="仿宋" w:hAnsi="仿宋" w:eastAsia="仿宋" w:cs="仿宋"/>
          <w:color w:val="auto"/>
          <w:kern w:val="0"/>
          <w:sz w:val="24"/>
          <w:highlight w:val="none"/>
        </w:rPr>
        <w:t>编制及</w:t>
      </w:r>
      <w:r>
        <w:rPr>
          <w:rFonts w:hint="eastAsia" w:ascii="仿宋" w:hAnsi="仿宋" w:eastAsia="仿宋" w:cs="仿宋"/>
          <w:bCs/>
          <w:color w:val="auto"/>
          <w:sz w:val="24"/>
          <w:highlight w:val="none"/>
          <w:u w:val="single"/>
        </w:rPr>
        <w:t>审核、制定造价控制、资金使用计划的实施方案，合同价款审核（包括合同分析、合同交底、合同变更管理工作），施工阶段造价风险分析，审核工程预付款和完成期中结算（初审）及其价款支付，工程变更、签证及索赔管理，材料、设备的询价，</w:t>
      </w:r>
      <w:r>
        <w:rPr>
          <w:rFonts w:hint="eastAsia" w:ascii="仿宋" w:hAnsi="仿宋" w:eastAsia="仿宋" w:cs="仿宋"/>
          <w:bCs/>
          <w:color w:val="auto"/>
          <w:sz w:val="24"/>
          <w:highlight w:val="none"/>
          <w:u w:val="single"/>
        </w:rPr>
        <w:t>提供核价建议，工程造价动态管理，过程分阶段工程结算初审审核及汇总</w:t>
      </w:r>
      <w:r>
        <w:rPr>
          <w:rFonts w:hint="eastAsia" w:ascii="仿宋" w:hAnsi="仿宋" w:eastAsia="仿宋" w:cs="仿宋"/>
          <w:color w:val="auto"/>
          <w:kern w:val="0"/>
          <w:sz w:val="24"/>
          <w:highlight w:val="none"/>
          <w:u w:val="single"/>
        </w:rPr>
        <w:t>（根据委托人需求）</w:t>
      </w:r>
      <w:r>
        <w:rPr>
          <w:rFonts w:hint="eastAsia" w:ascii="仿宋" w:hAnsi="仿宋" w:eastAsia="仿宋" w:cs="仿宋"/>
          <w:bCs/>
          <w:color w:val="auto"/>
          <w:sz w:val="24"/>
          <w:highlight w:val="none"/>
          <w:u w:val="single"/>
        </w:rPr>
        <w:t>，完成竣工结算初审</w:t>
      </w:r>
      <w:r>
        <w:rPr>
          <w:rFonts w:hint="eastAsia" w:ascii="仿宋" w:hAnsi="仿宋" w:eastAsia="仿宋" w:cs="仿宋"/>
          <w:color w:val="auto"/>
          <w:kern w:val="0"/>
          <w:sz w:val="24"/>
          <w:highlight w:val="none"/>
          <w:u w:val="single"/>
        </w:rPr>
        <w:t>（核增核减追加费包含在合同总价中，不再额外支付）</w:t>
      </w:r>
      <w:r>
        <w:rPr>
          <w:rFonts w:hint="eastAsia" w:ascii="仿宋" w:hAnsi="仿宋" w:eastAsia="仿宋" w:cs="仿宋"/>
          <w:bCs/>
          <w:color w:val="auto"/>
          <w:sz w:val="24"/>
          <w:highlight w:val="none"/>
          <w:u w:val="single"/>
        </w:rPr>
        <w:t>，项目</w:t>
      </w:r>
      <w:r>
        <w:rPr>
          <w:rFonts w:hint="eastAsia" w:ascii="仿宋" w:hAnsi="仿宋" w:eastAsia="仿宋" w:cs="仿宋"/>
          <w:color w:val="auto"/>
          <w:kern w:val="0"/>
          <w:sz w:val="24"/>
          <w:highlight w:val="none"/>
          <w:u w:val="single"/>
        </w:rPr>
        <w:t>竣工财务决算编制</w:t>
      </w:r>
      <w:r>
        <w:rPr>
          <w:rFonts w:hint="eastAsia" w:ascii="仿宋" w:hAnsi="仿宋" w:eastAsia="仿宋" w:cs="仿宋"/>
          <w:bCs/>
          <w:color w:val="auto"/>
          <w:sz w:val="24"/>
          <w:highlight w:val="none"/>
          <w:u w:val="single"/>
        </w:rPr>
        <w:t>工作，工程技术经济指标分析等所有与全过程跟踪审计服务相关的工作。</w:t>
      </w:r>
    </w:p>
    <w:p>
      <w:pPr>
        <w:spacing w:line="440" w:lineRule="exact"/>
        <w:ind w:firstLine="480" w:firstLineChars="200"/>
        <w:rPr>
          <w:rFonts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如：工程量清单及招标控制价编制审核并出具审核报告，招标文件及合同的审核，工程联系单审核，工程款支付审核，竣工结算初审，</w:t>
      </w:r>
      <w:r>
        <w:rPr>
          <w:rFonts w:hint="eastAsia" w:ascii="仿宋" w:hAnsi="仿宋" w:eastAsia="仿宋" w:cs="仿宋"/>
          <w:bCs/>
          <w:color w:val="auto"/>
          <w:sz w:val="24"/>
          <w:highlight w:val="none"/>
          <w:u w:val="single"/>
        </w:rPr>
        <w:t>项目</w:t>
      </w:r>
      <w:r>
        <w:rPr>
          <w:rFonts w:hint="eastAsia" w:ascii="仿宋" w:hAnsi="仿宋" w:eastAsia="仿宋" w:cs="仿宋"/>
          <w:color w:val="auto"/>
          <w:kern w:val="0"/>
          <w:sz w:val="24"/>
          <w:highlight w:val="none"/>
          <w:u w:val="single"/>
        </w:rPr>
        <w:t>竣工财务决算编制，</w:t>
      </w:r>
      <w:r>
        <w:rPr>
          <w:rFonts w:hint="eastAsia" w:ascii="仿宋" w:hAnsi="仿宋" w:eastAsia="仿宋" w:cs="仿宋"/>
          <w:bCs/>
          <w:color w:val="auto"/>
          <w:sz w:val="24"/>
          <w:highlight w:val="none"/>
          <w:u w:val="single"/>
        </w:rPr>
        <w:t>成果交付，售后服务等所有与全过程跟踪审计服务相关的工作。</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三、服务期限</w:t>
      </w:r>
    </w:p>
    <w:p>
      <w:pPr>
        <w:spacing w:line="440" w:lineRule="exact"/>
        <w:ind w:firstLine="480" w:firstLineChars="200"/>
        <w:rPr>
          <w:rFonts w:ascii="仿宋" w:hAnsi="仿宋" w:eastAsia="仿宋" w:cs="仿宋"/>
          <w:color w:val="auto"/>
          <w:sz w:val="24"/>
          <w:highlight w:val="none"/>
          <w:u w:val="single"/>
        </w:rPr>
      </w:pPr>
      <w:r>
        <w:rPr>
          <w:rFonts w:hint="eastAsia" w:ascii="仿宋" w:hAnsi="仿宋" w:eastAsia="仿宋" w:cs="仿宋"/>
          <w:bCs/>
          <w:color w:val="auto"/>
          <w:sz w:val="24"/>
          <w:highlight w:val="none"/>
        </w:rPr>
        <w:t>本合同约定的建设工程造价控制咨询服务期：</w:t>
      </w:r>
      <w:r>
        <w:rPr>
          <w:rFonts w:hint="eastAsia" w:ascii="仿宋" w:hAnsi="仿宋" w:eastAsia="仿宋" w:cs="仿宋"/>
          <w:color w:val="auto"/>
          <w:kern w:val="0"/>
          <w:sz w:val="24"/>
          <w:highlight w:val="none"/>
          <w:u w:val="single"/>
        </w:rPr>
        <w:t>合同签订之日起至整体项目竣工财务决算批复完成并归档。</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四、质量标准</w:t>
      </w:r>
    </w:p>
    <w:p>
      <w:pPr>
        <w:spacing w:line="440" w:lineRule="exact"/>
        <w:ind w:firstLine="480" w:firstLineChars="200"/>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工程造价咨询成果文件应符合：</w:t>
      </w:r>
      <w:r>
        <w:rPr>
          <w:rFonts w:hint="eastAsia" w:ascii="仿宋" w:hAnsi="仿宋" w:eastAsia="仿宋" w:cs="仿宋"/>
          <w:bCs/>
          <w:color w:val="auto"/>
          <w:sz w:val="24"/>
          <w:highlight w:val="none"/>
          <w:u w:val="single"/>
        </w:rPr>
        <w:t xml:space="preserve">    合格     </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五、酬金或计取方式</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bCs/>
          <w:color w:val="auto"/>
          <w:sz w:val="24"/>
          <w:highlight w:val="none"/>
        </w:rPr>
        <w:t>1、酬金：</w:t>
      </w:r>
      <w:r>
        <w:rPr>
          <w:rFonts w:hint="eastAsia" w:ascii="仿宋" w:hAnsi="仿宋" w:eastAsia="仿宋" w:cs="仿宋"/>
          <w:color w:val="auto"/>
          <w:sz w:val="24"/>
          <w:highlight w:val="none"/>
        </w:rPr>
        <w:t>本项目全过程跟踪审计费用含税总价为人民币（大写）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元整（￥  元），不含税总价为人民币（大写）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元），税率</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40" w:lineRule="exact"/>
        <w:ind w:left="420"/>
        <w:rPr>
          <w:rFonts w:ascii="仿宋" w:hAnsi="仿宋" w:eastAsia="仿宋" w:cs="仿宋"/>
          <w:bCs/>
          <w:color w:val="auto"/>
          <w:sz w:val="24"/>
          <w:highlight w:val="none"/>
        </w:rPr>
      </w:pPr>
      <w:r>
        <w:rPr>
          <w:rFonts w:hint="eastAsia" w:ascii="仿宋" w:hAnsi="仿宋" w:eastAsia="仿宋" w:cs="仿宋"/>
          <w:bCs/>
          <w:color w:val="auto"/>
          <w:sz w:val="24"/>
          <w:highlight w:val="none"/>
        </w:rPr>
        <w:t>2、合同形式：固定总价，投标报价一次性包干，不做调整。</w:t>
      </w:r>
    </w:p>
    <w:p>
      <w:pPr>
        <w:spacing w:line="440" w:lineRule="exact"/>
        <w:ind w:left="420"/>
        <w:rPr>
          <w:rFonts w:ascii="仿宋" w:hAnsi="仿宋" w:eastAsia="仿宋" w:cs="仿宋"/>
          <w:bCs/>
          <w:color w:val="auto"/>
          <w:sz w:val="24"/>
          <w:highlight w:val="none"/>
        </w:rPr>
      </w:pPr>
      <w:r>
        <w:rPr>
          <w:rFonts w:hint="eastAsia" w:ascii="仿宋" w:hAnsi="仿宋" w:eastAsia="仿宋" w:cs="仿宋"/>
          <w:bCs/>
          <w:color w:val="auto"/>
          <w:sz w:val="24"/>
          <w:highlight w:val="none"/>
        </w:rPr>
        <w:t>六、合同文件的构成</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本协议书与下列文件一起构成合同文件:</w:t>
      </w:r>
    </w:p>
    <w:p>
      <w:pPr>
        <w:numPr>
          <w:ilvl w:val="0"/>
          <w:numId w:val="11"/>
        </w:numPr>
        <w:spacing w:line="44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中标通知书或委托书（如果有）；</w:t>
      </w:r>
    </w:p>
    <w:p>
      <w:pPr>
        <w:numPr>
          <w:ilvl w:val="0"/>
          <w:numId w:val="11"/>
        </w:numPr>
        <w:spacing w:line="44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询标纪要（如有）；</w:t>
      </w:r>
    </w:p>
    <w:p>
      <w:pPr>
        <w:numPr>
          <w:ilvl w:val="0"/>
          <w:numId w:val="11"/>
        </w:numPr>
        <w:spacing w:line="44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投标函及投标函附录或造价咨询服务建议书（如果有）；</w:t>
      </w:r>
    </w:p>
    <w:p>
      <w:pPr>
        <w:numPr>
          <w:ilvl w:val="0"/>
          <w:numId w:val="11"/>
        </w:numPr>
        <w:spacing w:line="44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专用条件及附录；</w:t>
      </w:r>
    </w:p>
    <w:p>
      <w:pPr>
        <w:numPr>
          <w:ilvl w:val="0"/>
          <w:numId w:val="11"/>
        </w:numPr>
        <w:spacing w:line="44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通用条件；</w:t>
      </w:r>
    </w:p>
    <w:p>
      <w:pPr>
        <w:numPr>
          <w:ilvl w:val="0"/>
          <w:numId w:val="11"/>
        </w:numPr>
        <w:spacing w:line="440" w:lineRule="exact"/>
        <w:rPr>
          <w:rFonts w:ascii="仿宋" w:hAnsi="仿宋" w:eastAsia="仿宋" w:cs="仿宋"/>
          <w:bCs/>
          <w:color w:val="auto"/>
          <w:sz w:val="24"/>
          <w:highlight w:val="none"/>
        </w:rPr>
      </w:pPr>
      <w:r>
        <w:rPr>
          <w:rFonts w:hint="eastAsia" w:ascii="仿宋" w:hAnsi="仿宋" w:eastAsia="仿宋" w:cs="仿宋"/>
          <w:bCs/>
          <w:color w:val="auto"/>
          <w:sz w:val="24"/>
          <w:highlight w:val="none"/>
        </w:rPr>
        <w:t>其他合同文件。</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上述各项合同文件包括合同当事人就该项合同文件所作出的补充和修改， 属于同一类内容的文件，应以最新签署的为准。</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在合同订立及履行过程中形成的与合同有关的文件（包括补充协议）均构成合同文件的组成部分。</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七、词语定义</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协议书中相关词语的含义与通用条件中的定义与解释相同。</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八、合同订立</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1.订立时间： 2022年 </w:t>
      </w:r>
      <w:r>
        <w:rPr>
          <w:rFonts w:hint="eastAsia" w:ascii="仿宋" w:hAnsi="仿宋" w:eastAsia="仿宋" w:cs="仿宋"/>
          <w:bCs/>
          <w:color w:val="auto"/>
          <w:sz w:val="24"/>
          <w:highlight w:val="none"/>
        </w:rPr>
        <w:tab/>
      </w:r>
      <w:r>
        <w:rPr>
          <w:rFonts w:hint="eastAsia" w:ascii="仿宋" w:hAnsi="仿宋" w:eastAsia="仿宋" w:cs="仿宋"/>
          <w:bCs/>
          <w:color w:val="auto"/>
          <w:sz w:val="24"/>
          <w:highlight w:val="none"/>
        </w:rPr>
        <w:t xml:space="preserve">月  </w:t>
      </w:r>
      <w:r>
        <w:rPr>
          <w:rFonts w:hint="eastAsia" w:ascii="仿宋" w:hAnsi="仿宋" w:eastAsia="仿宋" w:cs="仿宋"/>
          <w:bCs/>
          <w:color w:val="auto"/>
          <w:sz w:val="24"/>
          <w:highlight w:val="none"/>
        </w:rPr>
        <w:tab/>
      </w:r>
      <w:r>
        <w:rPr>
          <w:rFonts w:hint="eastAsia" w:ascii="仿宋" w:hAnsi="仿宋" w:eastAsia="仿宋" w:cs="仿宋"/>
          <w:bCs/>
          <w:color w:val="auto"/>
          <w:sz w:val="24"/>
          <w:highlight w:val="none"/>
        </w:rPr>
        <w:t>日。</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2.订立地点：杭州市上城区 。</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九、合同履行形式</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  书面文件及委托人要求或认可的其他形式。</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十、合同生效</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本合同自签订且递交</w:t>
      </w:r>
      <w:r>
        <w:rPr>
          <w:rFonts w:hint="eastAsia" w:ascii="仿宋" w:hAnsi="仿宋" w:eastAsia="仿宋" w:cs="仿宋"/>
          <w:color w:val="auto"/>
          <w:sz w:val="24"/>
          <w:highlight w:val="none"/>
        </w:rPr>
        <w:t>履约保证金</w:t>
      </w:r>
      <w:r>
        <w:rPr>
          <w:rFonts w:hint="eastAsia" w:ascii="仿宋" w:hAnsi="仿宋" w:eastAsia="仿宋" w:cs="仿宋"/>
          <w:bCs/>
          <w:color w:val="auto"/>
          <w:sz w:val="24"/>
          <w:highlight w:val="none"/>
        </w:rPr>
        <w:t>后生效。</w:t>
      </w:r>
    </w:p>
    <w:p>
      <w:pPr>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十一、合同份数</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bCs/>
          <w:color w:val="auto"/>
          <w:sz w:val="24"/>
          <w:highlight w:val="none"/>
        </w:rPr>
        <w:t>本合同一式</w:t>
      </w:r>
      <w:r>
        <w:rPr>
          <w:rFonts w:hint="eastAsia" w:ascii="仿宋" w:hAnsi="仿宋" w:eastAsia="仿宋" w:cs="仿宋"/>
          <w:bCs/>
          <w:color w:val="auto"/>
          <w:sz w:val="24"/>
          <w:highlight w:val="none"/>
          <w:u w:val="single"/>
        </w:rPr>
        <w:t>玖份</w:t>
      </w:r>
      <w:r>
        <w:rPr>
          <w:rFonts w:hint="eastAsia" w:ascii="仿宋" w:hAnsi="仿宋" w:eastAsia="仿宋" w:cs="仿宋"/>
          <w:bCs/>
          <w:color w:val="auto"/>
          <w:sz w:val="24"/>
          <w:highlight w:val="none"/>
        </w:rPr>
        <w:t>，包含</w:t>
      </w:r>
      <w:r>
        <w:rPr>
          <w:rFonts w:hint="eastAsia" w:ascii="仿宋" w:hAnsi="仿宋" w:eastAsia="仿宋" w:cs="仿宋"/>
          <w:bCs/>
          <w:color w:val="auto"/>
          <w:sz w:val="24"/>
          <w:highlight w:val="none"/>
          <w:u w:val="single"/>
        </w:rPr>
        <w:t>贰份</w:t>
      </w:r>
      <w:r>
        <w:rPr>
          <w:rFonts w:hint="eastAsia" w:ascii="仿宋" w:hAnsi="仿宋" w:eastAsia="仿宋" w:cs="仿宋"/>
          <w:bCs/>
          <w:color w:val="auto"/>
          <w:sz w:val="24"/>
          <w:highlight w:val="none"/>
        </w:rPr>
        <w:t>正本及</w:t>
      </w:r>
      <w:r>
        <w:rPr>
          <w:rFonts w:hint="eastAsia" w:ascii="仿宋" w:hAnsi="仿宋" w:eastAsia="仿宋" w:cs="仿宋"/>
          <w:bCs/>
          <w:color w:val="auto"/>
          <w:sz w:val="24"/>
          <w:highlight w:val="none"/>
          <w:u w:val="single"/>
        </w:rPr>
        <w:t>柒份</w:t>
      </w:r>
      <w:r>
        <w:rPr>
          <w:rFonts w:hint="eastAsia" w:ascii="仿宋" w:hAnsi="仿宋" w:eastAsia="仿宋" w:cs="仿宋"/>
          <w:bCs/>
          <w:color w:val="auto"/>
          <w:sz w:val="24"/>
          <w:highlight w:val="none"/>
        </w:rPr>
        <w:t>副本。其中委托人执正本</w:t>
      </w:r>
      <w:r>
        <w:rPr>
          <w:rFonts w:hint="eastAsia" w:ascii="仿宋" w:hAnsi="仿宋" w:eastAsia="仿宋" w:cs="仿宋"/>
          <w:bCs/>
          <w:color w:val="auto"/>
          <w:sz w:val="24"/>
          <w:highlight w:val="none"/>
          <w:u w:val="single"/>
        </w:rPr>
        <w:t>壹份</w:t>
      </w:r>
      <w:r>
        <w:rPr>
          <w:rFonts w:hint="eastAsia" w:ascii="仿宋" w:hAnsi="仿宋" w:eastAsia="仿宋" w:cs="仿宋"/>
          <w:bCs/>
          <w:color w:val="auto"/>
          <w:sz w:val="24"/>
          <w:highlight w:val="none"/>
        </w:rPr>
        <w:t>，副本</w:t>
      </w:r>
      <w:r>
        <w:rPr>
          <w:rFonts w:hint="eastAsia" w:ascii="仿宋" w:hAnsi="仿宋" w:eastAsia="仿宋" w:cs="仿宋"/>
          <w:bCs/>
          <w:color w:val="auto"/>
          <w:sz w:val="24"/>
          <w:highlight w:val="none"/>
          <w:u w:val="single"/>
        </w:rPr>
        <w:t>伍份</w:t>
      </w:r>
      <w:r>
        <w:rPr>
          <w:rFonts w:hint="eastAsia" w:ascii="仿宋" w:hAnsi="仿宋" w:eastAsia="仿宋" w:cs="仿宋"/>
          <w:bCs/>
          <w:color w:val="auto"/>
          <w:sz w:val="24"/>
          <w:highlight w:val="none"/>
        </w:rPr>
        <w:t>；咨询人执正本</w:t>
      </w:r>
      <w:r>
        <w:rPr>
          <w:rFonts w:hint="eastAsia" w:ascii="仿宋" w:hAnsi="仿宋" w:eastAsia="仿宋" w:cs="仿宋"/>
          <w:bCs/>
          <w:color w:val="auto"/>
          <w:sz w:val="24"/>
          <w:highlight w:val="none"/>
          <w:u w:val="single"/>
        </w:rPr>
        <w:t>壹份</w:t>
      </w:r>
      <w:r>
        <w:rPr>
          <w:rFonts w:hint="eastAsia" w:ascii="仿宋" w:hAnsi="仿宋" w:eastAsia="仿宋" w:cs="仿宋"/>
          <w:bCs/>
          <w:color w:val="auto"/>
          <w:sz w:val="24"/>
          <w:highlight w:val="none"/>
        </w:rPr>
        <w:t>，副本</w:t>
      </w:r>
      <w:r>
        <w:rPr>
          <w:rFonts w:hint="eastAsia" w:ascii="仿宋" w:hAnsi="仿宋" w:eastAsia="仿宋" w:cs="仿宋"/>
          <w:bCs/>
          <w:color w:val="auto"/>
          <w:sz w:val="24"/>
          <w:highlight w:val="none"/>
          <w:u w:val="single"/>
        </w:rPr>
        <w:t>贰份</w:t>
      </w:r>
      <w:r>
        <w:rPr>
          <w:rFonts w:hint="eastAsia" w:ascii="仿宋" w:hAnsi="仿宋" w:eastAsia="仿宋" w:cs="仿宋"/>
          <w:bCs/>
          <w:color w:val="auto"/>
          <w:sz w:val="24"/>
          <w:highlight w:val="none"/>
        </w:rPr>
        <w:t>。</w:t>
      </w:r>
    </w:p>
    <w:p>
      <w:pPr>
        <w:pStyle w:val="24"/>
        <w:tabs>
          <w:tab w:val="left" w:pos="3384"/>
          <w:tab w:val="left" w:pos="5179"/>
          <w:tab w:val="left" w:pos="7723"/>
        </w:tabs>
        <w:spacing w:line="320" w:lineRule="exact"/>
        <w:ind w:left="862" w:right="417"/>
        <w:rPr>
          <w:rFonts w:ascii="仿宋" w:hAnsi="仿宋" w:eastAsia="仿宋" w:cs="仿宋"/>
          <w:color w:val="auto"/>
          <w:highlight w:val="none"/>
        </w:rPr>
      </w:pPr>
      <w:r>
        <w:rPr>
          <w:rFonts w:hint="eastAsia" w:ascii="仿宋" w:hAnsi="仿宋" w:eastAsia="仿宋" w:cs="仿宋"/>
          <w:color w:val="auto"/>
          <w:highlight w:val="none"/>
        </w:rPr>
        <w:t>委 托</w:t>
      </w:r>
      <w:r>
        <w:rPr>
          <w:rFonts w:hint="eastAsia" w:ascii="仿宋" w:hAnsi="仿宋" w:eastAsia="仿宋" w:cs="仿宋"/>
          <w:color w:val="auto"/>
          <w:spacing w:val="3"/>
          <w:highlight w:val="none"/>
        </w:rPr>
        <w:t xml:space="preserve"> </w:t>
      </w:r>
      <w:r>
        <w:rPr>
          <w:rFonts w:hint="eastAsia" w:ascii="仿宋" w:hAnsi="仿宋" w:eastAsia="仿宋" w:cs="仿宋"/>
          <w:color w:val="auto"/>
          <w:highlight w:val="none"/>
        </w:rPr>
        <w:t>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rPr>
        <w:tab/>
      </w:r>
      <w:r>
        <w:rPr>
          <w:rFonts w:hint="eastAsia" w:ascii="仿宋" w:hAnsi="仿宋" w:eastAsia="仿宋" w:cs="仿宋"/>
          <w:color w:val="auto"/>
          <w:highlight w:val="none"/>
        </w:rPr>
        <w:t>（盖章）</w:t>
      </w:r>
      <w:r>
        <w:rPr>
          <w:rFonts w:hint="eastAsia" w:ascii="仿宋" w:hAnsi="仿宋" w:eastAsia="仿宋" w:cs="仿宋"/>
          <w:color w:val="auto"/>
          <w:highlight w:val="none"/>
        </w:rPr>
        <w:tab/>
      </w:r>
      <w:r>
        <w:rPr>
          <w:rFonts w:hint="eastAsia" w:ascii="仿宋" w:hAnsi="仿宋" w:eastAsia="仿宋" w:cs="仿宋"/>
          <w:color w:val="auto"/>
          <w:highlight w:val="none"/>
        </w:rPr>
        <w:t>咨 询</w:t>
      </w:r>
      <w:r>
        <w:rPr>
          <w:rFonts w:hint="eastAsia" w:ascii="仿宋" w:hAnsi="仿宋" w:eastAsia="仿宋" w:cs="仿宋"/>
          <w:color w:val="auto"/>
          <w:spacing w:val="3"/>
          <w:highlight w:val="none"/>
        </w:rPr>
        <w:t xml:space="preserve"> </w:t>
      </w:r>
      <w:r>
        <w:rPr>
          <w:rFonts w:hint="eastAsia" w:ascii="仿宋" w:hAnsi="仿宋" w:eastAsia="仿宋" w:cs="仿宋"/>
          <w:color w:val="auto"/>
          <w:highlight w:val="none"/>
        </w:rPr>
        <w:t>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rPr>
        <w:tab/>
      </w:r>
      <w:r>
        <w:rPr>
          <w:rFonts w:hint="eastAsia" w:ascii="仿宋" w:hAnsi="仿宋" w:eastAsia="仿宋" w:cs="仿宋"/>
          <w:color w:val="auto"/>
          <w:highlight w:val="none"/>
        </w:rPr>
        <w:t>（盖章</w:t>
      </w:r>
      <w:r>
        <w:rPr>
          <w:rFonts w:hint="eastAsia" w:ascii="仿宋" w:hAnsi="仿宋" w:eastAsia="仿宋" w:cs="仿宋"/>
          <w:color w:val="auto"/>
          <w:spacing w:val="-16"/>
          <w:highlight w:val="none"/>
        </w:rPr>
        <w:t xml:space="preserve">） </w:t>
      </w:r>
      <w:r>
        <w:rPr>
          <w:rFonts w:hint="eastAsia" w:ascii="仿宋" w:hAnsi="仿宋" w:eastAsia="仿宋" w:cs="仿宋"/>
          <w:color w:val="auto"/>
          <w:highlight w:val="none"/>
        </w:rPr>
        <w:t>法定代表人或其授权的</w:t>
      </w:r>
      <w:r>
        <w:rPr>
          <w:rFonts w:hint="eastAsia" w:ascii="仿宋" w:hAnsi="仿宋" w:eastAsia="仿宋" w:cs="仿宋"/>
          <w:color w:val="auto"/>
          <w:highlight w:val="none"/>
        </w:rPr>
        <w:tab/>
      </w:r>
      <w:r>
        <w:rPr>
          <w:rFonts w:hint="eastAsia" w:ascii="仿宋" w:hAnsi="仿宋" w:eastAsia="仿宋" w:cs="仿宋"/>
          <w:color w:val="auto"/>
          <w:highlight w:val="none"/>
        </w:rPr>
        <w:tab/>
      </w:r>
      <w:r>
        <w:rPr>
          <w:rFonts w:hint="eastAsia" w:ascii="仿宋" w:hAnsi="仿宋" w:eastAsia="仿宋" w:cs="仿宋"/>
          <w:color w:val="auto"/>
          <w:highlight w:val="none"/>
        </w:rPr>
        <w:t>法定代表人或其授权的</w:t>
      </w:r>
    </w:p>
    <w:p>
      <w:pPr>
        <w:pStyle w:val="24"/>
        <w:tabs>
          <w:tab w:val="left" w:pos="3216"/>
          <w:tab w:val="left" w:pos="5172"/>
          <w:tab w:val="left" w:pos="7529"/>
        </w:tabs>
        <w:spacing w:line="320" w:lineRule="exact"/>
        <w:ind w:left="862" w:right="420"/>
        <w:rPr>
          <w:rFonts w:ascii="仿宋" w:hAnsi="仿宋" w:eastAsia="仿宋" w:cs="仿宋"/>
          <w:color w:val="auto"/>
          <w:highlight w:val="none"/>
        </w:rPr>
      </w:pPr>
      <w:r>
        <w:rPr>
          <w:rFonts w:hint="eastAsia" w:ascii="仿宋" w:hAnsi="仿宋" w:eastAsia="仿宋" w:cs="仿宋"/>
          <w:color w:val="auto"/>
          <w:highlight w:val="none"/>
        </w:rPr>
        <w:t>代</w:t>
      </w:r>
      <w:r>
        <w:rPr>
          <w:rFonts w:hint="eastAsia" w:ascii="仿宋" w:hAnsi="仿宋" w:eastAsia="仿宋" w:cs="仿宋"/>
          <w:color w:val="auto"/>
          <w:spacing w:val="-56"/>
          <w:highlight w:val="none"/>
        </w:rPr>
        <w:t xml:space="preserve"> </w:t>
      </w:r>
      <w:r>
        <w:rPr>
          <w:rFonts w:hint="eastAsia" w:ascii="仿宋" w:hAnsi="仿宋" w:eastAsia="仿宋" w:cs="仿宋"/>
          <w:color w:val="auto"/>
          <w:highlight w:val="none"/>
        </w:rPr>
        <w:t>理</w:t>
      </w:r>
      <w:r>
        <w:rPr>
          <w:rFonts w:hint="eastAsia" w:ascii="仿宋" w:hAnsi="仿宋" w:eastAsia="仿宋" w:cs="仿宋"/>
          <w:color w:val="auto"/>
          <w:spacing w:val="-58"/>
          <w:highlight w:val="none"/>
        </w:rPr>
        <w:t xml:space="preserve"> </w:t>
      </w:r>
      <w:r>
        <w:rPr>
          <w:rFonts w:hint="eastAsia" w:ascii="仿宋" w:hAnsi="仿宋" w:eastAsia="仿宋" w:cs="仿宋"/>
          <w:color w:val="auto"/>
          <w:highlight w:val="none"/>
        </w:rPr>
        <w:t>人</w:t>
      </w:r>
      <w:r>
        <w:rPr>
          <w:rFonts w:hint="eastAsia" w:ascii="仿宋" w:hAnsi="仿宋" w:eastAsia="仿宋" w:cs="仿宋"/>
          <w:color w:val="auto"/>
          <w:spacing w:val="-56"/>
          <w:highlight w:val="non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rPr>
        <w:tab/>
      </w:r>
      <w:r>
        <w:rPr>
          <w:rFonts w:hint="eastAsia" w:ascii="仿宋" w:hAnsi="仿宋" w:eastAsia="仿宋" w:cs="仿宋"/>
          <w:color w:val="auto"/>
          <w:highlight w:val="none"/>
        </w:rPr>
        <w:t>（</w:t>
      </w:r>
      <w:r>
        <w:rPr>
          <w:rFonts w:hint="eastAsia" w:ascii="仿宋" w:hAnsi="仿宋" w:eastAsia="仿宋" w:cs="仿宋"/>
          <w:color w:val="auto"/>
          <w:spacing w:val="-56"/>
          <w:highlight w:val="none"/>
        </w:rPr>
        <w:t xml:space="preserve"> </w:t>
      </w:r>
      <w:r>
        <w:rPr>
          <w:rFonts w:hint="eastAsia" w:ascii="仿宋" w:hAnsi="仿宋" w:eastAsia="仿宋" w:cs="仿宋"/>
          <w:color w:val="auto"/>
          <w:highlight w:val="none"/>
        </w:rPr>
        <w:t>签</w:t>
      </w:r>
      <w:r>
        <w:rPr>
          <w:rFonts w:hint="eastAsia" w:ascii="仿宋" w:hAnsi="仿宋" w:eastAsia="仿宋" w:cs="仿宋"/>
          <w:color w:val="auto"/>
          <w:spacing w:val="-58"/>
          <w:highlight w:val="none"/>
        </w:rPr>
        <w:t xml:space="preserve"> </w:t>
      </w:r>
      <w:r>
        <w:rPr>
          <w:rFonts w:hint="eastAsia" w:ascii="仿宋" w:hAnsi="仿宋" w:eastAsia="仿宋" w:cs="仿宋"/>
          <w:color w:val="auto"/>
          <w:highlight w:val="none"/>
        </w:rPr>
        <w:t>字</w:t>
      </w:r>
      <w:r>
        <w:rPr>
          <w:rFonts w:hint="eastAsia" w:ascii="仿宋" w:hAnsi="仿宋" w:eastAsia="仿宋" w:cs="仿宋"/>
          <w:color w:val="auto"/>
          <w:spacing w:val="-56"/>
          <w:highlight w:val="non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rPr>
        <w:tab/>
      </w:r>
      <w:r>
        <w:rPr>
          <w:rFonts w:hint="eastAsia" w:ascii="仿宋" w:hAnsi="仿宋" w:eastAsia="仿宋" w:cs="仿宋"/>
          <w:color w:val="auto"/>
          <w:highlight w:val="none"/>
        </w:rPr>
        <w:t>代</w:t>
      </w:r>
      <w:r>
        <w:rPr>
          <w:rFonts w:hint="eastAsia" w:ascii="仿宋" w:hAnsi="仿宋" w:eastAsia="仿宋" w:cs="仿宋"/>
          <w:color w:val="auto"/>
          <w:spacing w:val="-56"/>
          <w:highlight w:val="none"/>
        </w:rPr>
        <w:t xml:space="preserve"> </w:t>
      </w:r>
      <w:r>
        <w:rPr>
          <w:rFonts w:hint="eastAsia" w:ascii="仿宋" w:hAnsi="仿宋" w:eastAsia="仿宋" w:cs="仿宋"/>
          <w:color w:val="auto"/>
          <w:highlight w:val="none"/>
        </w:rPr>
        <w:t>理</w:t>
      </w:r>
      <w:r>
        <w:rPr>
          <w:rFonts w:hint="eastAsia" w:ascii="仿宋" w:hAnsi="仿宋" w:eastAsia="仿宋" w:cs="仿宋"/>
          <w:color w:val="auto"/>
          <w:spacing w:val="-58"/>
          <w:highlight w:val="none"/>
        </w:rPr>
        <w:t xml:space="preserve"> </w:t>
      </w:r>
      <w:r>
        <w:rPr>
          <w:rFonts w:hint="eastAsia" w:ascii="仿宋" w:hAnsi="仿宋" w:eastAsia="仿宋" w:cs="仿宋"/>
          <w:color w:val="auto"/>
          <w:highlight w:val="none"/>
        </w:rPr>
        <w:t>人</w:t>
      </w:r>
      <w:r>
        <w:rPr>
          <w:rFonts w:hint="eastAsia" w:ascii="仿宋" w:hAnsi="仿宋" w:eastAsia="仿宋" w:cs="仿宋"/>
          <w:color w:val="auto"/>
          <w:spacing w:val="-56"/>
          <w:highlight w:val="non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rPr>
        <w:tab/>
      </w:r>
      <w:r>
        <w:rPr>
          <w:rFonts w:hint="eastAsia" w:ascii="仿宋" w:hAnsi="仿宋" w:eastAsia="仿宋" w:cs="仿宋"/>
          <w:color w:val="auto"/>
          <w:highlight w:val="none"/>
        </w:rPr>
        <w:t>（</w:t>
      </w:r>
      <w:r>
        <w:rPr>
          <w:rFonts w:hint="eastAsia" w:ascii="仿宋" w:hAnsi="仿宋" w:eastAsia="仿宋" w:cs="仿宋"/>
          <w:color w:val="auto"/>
          <w:spacing w:val="-56"/>
          <w:highlight w:val="none"/>
        </w:rPr>
        <w:t xml:space="preserve"> </w:t>
      </w:r>
      <w:r>
        <w:rPr>
          <w:rFonts w:hint="eastAsia" w:ascii="仿宋" w:hAnsi="仿宋" w:eastAsia="仿宋" w:cs="仿宋"/>
          <w:color w:val="auto"/>
          <w:highlight w:val="none"/>
        </w:rPr>
        <w:t>签</w:t>
      </w:r>
      <w:r>
        <w:rPr>
          <w:rFonts w:hint="eastAsia" w:ascii="仿宋" w:hAnsi="仿宋" w:eastAsia="仿宋" w:cs="仿宋"/>
          <w:color w:val="auto"/>
          <w:spacing w:val="-58"/>
          <w:highlight w:val="none"/>
        </w:rPr>
        <w:t xml:space="preserve"> </w:t>
      </w:r>
      <w:r>
        <w:rPr>
          <w:rFonts w:hint="eastAsia" w:ascii="仿宋" w:hAnsi="仿宋" w:eastAsia="仿宋" w:cs="仿宋"/>
          <w:color w:val="auto"/>
          <w:highlight w:val="none"/>
        </w:rPr>
        <w:t>字</w:t>
      </w:r>
      <w:r>
        <w:rPr>
          <w:rFonts w:hint="eastAsia" w:ascii="仿宋" w:hAnsi="仿宋" w:eastAsia="仿宋" w:cs="仿宋"/>
          <w:color w:val="auto"/>
          <w:spacing w:val="-56"/>
          <w:highlight w:val="none"/>
        </w:rPr>
        <w:t xml:space="preserve"> </w:t>
      </w:r>
      <w:r>
        <w:rPr>
          <w:rFonts w:hint="eastAsia" w:ascii="仿宋" w:hAnsi="仿宋" w:eastAsia="仿宋" w:cs="仿宋"/>
          <w:color w:val="auto"/>
          <w:spacing w:val="-13"/>
          <w:highlight w:val="none"/>
        </w:rPr>
        <w:t xml:space="preserve">） </w:t>
      </w:r>
      <w:r>
        <w:rPr>
          <w:rFonts w:hint="eastAsia" w:ascii="仿宋" w:hAnsi="仿宋" w:eastAsia="仿宋" w:cs="仿宋"/>
          <w:color w:val="auto"/>
          <w:highlight w:val="none"/>
        </w:rPr>
        <w:t>组织机构代码：</w:t>
      </w:r>
      <w:r>
        <w:rPr>
          <w:rFonts w:hint="eastAsia" w:ascii="仿宋" w:hAnsi="仿宋" w:eastAsia="仿宋" w:cs="仿宋"/>
          <w:color w:val="auto"/>
          <w:highlight w:val="none"/>
        </w:rPr>
        <w:tab/>
      </w:r>
      <w:r>
        <w:rPr>
          <w:rFonts w:hint="eastAsia" w:ascii="仿宋" w:hAnsi="仿宋" w:eastAsia="仿宋" w:cs="仿宋"/>
          <w:color w:val="auto"/>
          <w:highlight w:val="none"/>
        </w:rPr>
        <w:tab/>
      </w:r>
      <w:r>
        <w:rPr>
          <w:rFonts w:hint="eastAsia" w:ascii="仿宋" w:hAnsi="仿宋" w:eastAsia="仿宋" w:cs="仿宋"/>
          <w:color w:val="auto"/>
          <w:highlight w:val="none"/>
        </w:rPr>
        <w:t>组织机构代码：</w:t>
      </w:r>
    </w:p>
    <w:p>
      <w:pPr>
        <w:pStyle w:val="24"/>
        <w:tabs>
          <w:tab w:val="left" w:pos="5179"/>
        </w:tabs>
        <w:spacing w:line="320" w:lineRule="exact"/>
        <w:ind w:left="862"/>
        <w:rPr>
          <w:rFonts w:ascii="仿宋" w:hAnsi="仿宋" w:eastAsia="仿宋" w:cs="仿宋"/>
          <w:color w:val="auto"/>
          <w:highlight w:val="none"/>
        </w:rPr>
      </w:pPr>
      <w:r>
        <w:rPr>
          <w:rFonts w:hint="eastAsia" w:ascii="仿宋" w:hAnsi="仿宋" w:eastAsia="仿宋" w:cs="仿宋"/>
          <w:color w:val="auto"/>
          <w:highlight w:val="none"/>
        </w:rPr>
        <w:t>纳税人识别码：</w:t>
      </w:r>
      <w:r>
        <w:rPr>
          <w:rFonts w:hint="eastAsia" w:ascii="仿宋" w:hAnsi="仿宋" w:eastAsia="仿宋" w:cs="仿宋"/>
          <w:color w:val="auto"/>
          <w:highlight w:val="none"/>
        </w:rPr>
        <w:tab/>
      </w:r>
      <w:r>
        <w:rPr>
          <w:rFonts w:hint="eastAsia" w:ascii="仿宋" w:hAnsi="仿宋" w:eastAsia="仿宋" w:cs="仿宋"/>
          <w:color w:val="auto"/>
          <w:highlight w:val="none"/>
        </w:rPr>
        <w:t>纳税人识别码：</w:t>
      </w:r>
    </w:p>
    <w:p>
      <w:pPr>
        <w:pStyle w:val="24"/>
        <w:tabs>
          <w:tab w:val="left" w:pos="1579"/>
          <w:tab w:val="left" w:pos="5179"/>
          <w:tab w:val="left" w:pos="5899"/>
        </w:tabs>
        <w:spacing w:line="320" w:lineRule="exact"/>
        <w:ind w:left="862"/>
        <w:rPr>
          <w:rFonts w:ascii="仿宋" w:hAnsi="仿宋" w:eastAsia="仿宋" w:cs="仿宋"/>
          <w:color w:val="auto"/>
          <w:highlight w:val="none"/>
        </w:rPr>
      </w:pPr>
      <w:r>
        <w:rPr>
          <w:rFonts w:hint="eastAsia" w:ascii="仿宋" w:hAnsi="仿宋" w:eastAsia="仿宋" w:cs="仿宋"/>
          <w:color w:val="auto"/>
          <w:highlight w:val="none"/>
        </w:rPr>
        <w:t>住</w:t>
      </w:r>
      <w:r>
        <w:rPr>
          <w:rFonts w:hint="eastAsia" w:ascii="仿宋" w:hAnsi="仿宋" w:eastAsia="仿宋" w:cs="仿宋"/>
          <w:color w:val="auto"/>
          <w:highlight w:val="none"/>
        </w:rPr>
        <w:tab/>
      </w:r>
      <w:r>
        <w:rPr>
          <w:rFonts w:hint="eastAsia" w:ascii="仿宋" w:hAnsi="仿宋" w:eastAsia="仿宋" w:cs="仿宋"/>
          <w:color w:val="auto"/>
          <w:highlight w:val="none"/>
        </w:rPr>
        <w:t>所：</w:t>
      </w:r>
      <w:r>
        <w:rPr>
          <w:rFonts w:hint="eastAsia" w:ascii="仿宋" w:hAnsi="仿宋" w:eastAsia="仿宋" w:cs="仿宋"/>
          <w:color w:val="auto"/>
          <w:highlight w:val="none"/>
        </w:rPr>
        <w:tab/>
      </w:r>
      <w:r>
        <w:rPr>
          <w:rFonts w:hint="eastAsia" w:ascii="仿宋" w:hAnsi="仿宋" w:eastAsia="仿宋" w:cs="仿宋"/>
          <w:color w:val="auto"/>
          <w:highlight w:val="none"/>
        </w:rPr>
        <w:t>住</w:t>
      </w:r>
      <w:r>
        <w:rPr>
          <w:rFonts w:hint="eastAsia" w:ascii="仿宋" w:hAnsi="仿宋" w:eastAsia="仿宋" w:cs="仿宋"/>
          <w:color w:val="auto"/>
          <w:highlight w:val="none"/>
        </w:rPr>
        <w:tab/>
      </w:r>
      <w:r>
        <w:rPr>
          <w:rFonts w:hint="eastAsia" w:ascii="仿宋" w:hAnsi="仿宋" w:eastAsia="仿宋" w:cs="仿宋"/>
          <w:color w:val="auto"/>
          <w:highlight w:val="none"/>
        </w:rPr>
        <w:t>所：</w:t>
      </w:r>
    </w:p>
    <w:p>
      <w:pPr>
        <w:pStyle w:val="24"/>
        <w:tabs>
          <w:tab w:val="left" w:pos="1579"/>
          <w:tab w:val="left" w:pos="5179"/>
          <w:tab w:val="left" w:pos="5899"/>
        </w:tabs>
        <w:spacing w:line="320" w:lineRule="exact"/>
        <w:ind w:left="862"/>
        <w:rPr>
          <w:rFonts w:ascii="仿宋" w:hAnsi="仿宋" w:eastAsia="仿宋" w:cs="仿宋"/>
          <w:color w:val="auto"/>
          <w:highlight w:val="none"/>
        </w:rPr>
      </w:pPr>
      <w:r>
        <w:rPr>
          <w:rFonts w:hint="eastAsia" w:ascii="仿宋" w:hAnsi="仿宋" w:eastAsia="仿宋" w:cs="仿宋"/>
          <w:color w:val="auto"/>
          <w:highlight w:val="none"/>
        </w:rPr>
        <w:t>账</w:t>
      </w:r>
      <w:r>
        <w:rPr>
          <w:rFonts w:hint="eastAsia" w:ascii="仿宋" w:hAnsi="仿宋" w:eastAsia="仿宋" w:cs="仿宋"/>
          <w:color w:val="auto"/>
          <w:highlight w:val="none"/>
        </w:rPr>
        <w:tab/>
      </w:r>
      <w:r>
        <w:rPr>
          <w:rFonts w:hint="eastAsia" w:ascii="仿宋" w:hAnsi="仿宋" w:eastAsia="仿宋" w:cs="仿宋"/>
          <w:color w:val="auto"/>
          <w:highlight w:val="none"/>
        </w:rPr>
        <w:t>号：</w:t>
      </w:r>
      <w:r>
        <w:rPr>
          <w:rFonts w:hint="eastAsia" w:ascii="仿宋" w:hAnsi="仿宋" w:eastAsia="仿宋" w:cs="仿宋"/>
          <w:color w:val="auto"/>
          <w:highlight w:val="none"/>
        </w:rPr>
        <w:tab/>
      </w:r>
      <w:r>
        <w:rPr>
          <w:rFonts w:hint="eastAsia" w:ascii="仿宋" w:hAnsi="仿宋" w:eastAsia="仿宋" w:cs="仿宋"/>
          <w:color w:val="auto"/>
          <w:highlight w:val="none"/>
        </w:rPr>
        <w:t>账</w:t>
      </w:r>
      <w:r>
        <w:rPr>
          <w:rFonts w:hint="eastAsia" w:ascii="仿宋" w:hAnsi="仿宋" w:eastAsia="仿宋" w:cs="仿宋"/>
          <w:color w:val="auto"/>
          <w:highlight w:val="none"/>
        </w:rPr>
        <w:tab/>
      </w:r>
      <w:r>
        <w:rPr>
          <w:rFonts w:hint="eastAsia" w:ascii="仿宋" w:hAnsi="仿宋" w:eastAsia="仿宋" w:cs="仿宋"/>
          <w:color w:val="auto"/>
          <w:highlight w:val="none"/>
        </w:rPr>
        <w:t>号：</w:t>
      </w:r>
    </w:p>
    <w:p>
      <w:pPr>
        <w:pStyle w:val="24"/>
        <w:tabs>
          <w:tab w:val="left" w:pos="5179"/>
        </w:tabs>
        <w:spacing w:line="320" w:lineRule="exact"/>
        <w:ind w:left="862"/>
        <w:rPr>
          <w:rFonts w:ascii="仿宋" w:hAnsi="仿宋" w:eastAsia="仿宋" w:cs="仿宋"/>
          <w:color w:val="auto"/>
          <w:highlight w:val="none"/>
        </w:rPr>
      </w:pPr>
      <w:r>
        <w:rPr>
          <w:rFonts w:hint="eastAsia" w:ascii="仿宋" w:hAnsi="仿宋" w:eastAsia="仿宋" w:cs="仿宋"/>
          <w:color w:val="auto"/>
          <w:highlight w:val="none"/>
        </w:rPr>
        <w:t>开户银行：</w:t>
      </w:r>
      <w:r>
        <w:rPr>
          <w:rFonts w:hint="eastAsia" w:ascii="仿宋" w:hAnsi="仿宋" w:eastAsia="仿宋" w:cs="仿宋"/>
          <w:color w:val="auto"/>
          <w:highlight w:val="none"/>
        </w:rPr>
        <w:tab/>
      </w:r>
      <w:bookmarkStart w:id="399" w:name="_bookmark4"/>
      <w:bookmarkEnd w:id="399"/>
      <w:r>
        <w:rPr>
          <w:rFonts w:hint="eastAsia" w:ascii="仿宋" w:hAnsi="仿宋" w:eastAsia="仿宋" w:cs="仿宋"/>
          <w:color w:val="auto"/>
          <w:highlight w:val="none"/>
        </w:rPr>
        <w:t>开户银行：</w:t>
      </w:r>
    </w:p>
    <w:p>
      <w:pPr>
        <w:pStyle w:val="24"/>
        <w:tabs>
          <w:tab w:val="left" w:pos="5179"/>
        </w:tabs>
        <w:spacing w:line="320" w:lineRule="exact"/>
        <w:ind w:left="862"/>
        <w:rPr>
          <w:rFonts w:ascii="仿宋" w:hAnsi="仿宋" w:eastAsia="仿宋" w:cs="仿宋"/>
          <w:color w:val="auto"/>
          <w:highlight w:val="none"/>
        </w:rPr>
      </w:pPr>
      <w:r>
        <w:rPr>
          <w:rFonts w:hint="eastAsia" w:ascii="仿宋" w:hAnsi="仿宋" w:eastAsia="仿宋" w:cs="仿宋"/>
          <w:color w:val="auto"/>
          <w:highlight w:val="none"/>
        </w:rPr>
        <w:t>邮政编码：</w:t>
      </w:r>
      <w:r>
        <w:rPr>
          <w:rFonts w:hint="eastAsia" w:ascii="仿宋" w:hAnsi="仿宋" w:eastAsia="仿宋" w:cs="仿宋"/>
          <w:color w:val="auto"/>
          <w:highlight w:val="none"/>
        </w:rPr>
        <w:tab/>
      </w:r>
      <w:r>
        <w:rPr>
          <w:rFonts w:hint="eastAsia" w:ascii="仿宋" w:hAnsi="仿宋" w:eastAsia="仿宋" w:cs="仿宋"/>
          <w:color w:val="auto"/>
          <w:highlight w:val="none"/>
        </w:rPr>
        <w:t>邮政编码：</w:t>
      </w:r>
    </w:p>
    <w:p>
      <w:pPr>
        <w:pStyle w:val="24"/>
        <w:tabs>
          <w:tab w:val="left" w:pos="1579"/>
          <w:tab w:val="left" w:pos="5179"/>
          <w:tab w:val="left" w:pos="5899"/>
        </w:tabs>
        <w:spacing w:line="320" w:lineRule="exact"/>
        <w:ind w:left="862"/>
        <w:rPr>
          <w:rFonts w:ascii="仿宋" w:hAnsi="仿宋" w:eastAsia="仿宋" w:cs="仿宋"/>
          <w:color w:val="auto"/>
          <w:highlight w:val="none"/>
        </w:rPr>
      </w:pPr>
      <w:r>
        <w:rPr>
          <w:rFonts w:hint="eastAsia" w:ascii="仿宋" w:hAnsi="仿宋" w:eastAsia="仿宋" w:cs="仿宋"/>
          <w:color w:val="auto"/>
          <w:highlight w:val="none"/>
        </w:rPr>
        <w:t>电</w:t>
      </w:r>
      <w:r>
        <w:rPr>
          <w:rFonts w:hint="eastAsia" w:ascii="仿宋" w:hAnsi="仿宋" w:eastAsia="仿宋" w:cs="仿宋"/>
          <w:color w:val="auto"/>
          <w:highlight w:val="none"/>
        </w:rPr>
        <w:tab/>
      </w:r>
      <w:r>
        <w:rPr>
          <w:rFonts w:hint="eastAsia" w:ascii="仿宋" w:hAnsi="仿宋" w:eastAsia="仿宋" w:cs="仿宋"/>
          <w:color w:val="auto"/>
          <w:highlight w:val="none"/>
        </w:rPr>
        <w:t>话：</w:t>
      </w:r>
      <w:r>
        <w:rPr>
          <w:rFonts w:hint="eastAsia" w:ascii="仿宋" w:hAnsi="仿宋" w:eastAsia="仿宋" w:cs="仿宋"/>
          <w:color w:val="auto"/>
          <w:highlight w:val="none"/>
        </w:rPr>
        <w:tab/>
      </w:r>
      <w:r>
        <w:rPr>
          <w:rFonts w:hint="eastAsia" w:ascii="仿宋" w:hAnsi="仿宋" w:eastAsia="仿宋" w:cs="仿宋"/>
          <w:color w:val="auto"/>
          <w:highlight w:val="none"/>
        </w:rPr>
        <w:t>电</w:t>
      </w:r>
      <w:r>
        <w:rPr>
          <w:rFonts w:hint="eastAsia" w:ascii="仿宋" w:hAnsi="仿宋" w:eastAsia="仿宋" w:cs="仿宋"/>
          <w:color w:val="auto"/>
          <w:highlight w:val="none"/>
        </w:rPr>
        <w:tab/>
      </w:r>
      <w:r>
        <w:rPr>
          <w:rFonts w:hint="eastAsia" w:ascii="仿宋" w:hAnsi="仿宋" w:eastAsia="仿宋" w:cs="仿宋"/>
          <w:color w:val="auto"/>
          <w:highlight w:val="none"/>
        </w:rPr>
        <w:t>话：</w:t>
      </w:r>
    </w:p>
    <w:p>
      <w:pPr>
        <w:pStyle w:val="24"/>
        <w:tabs>
          <w:tab w:val="left" w:pos="1579"/>
          <w:tab w:val="left" w:pos="5179"/>
          <w:tab w:val="left" w:pos="5899"/>
        </w:tabs>
        <w:spacing w:line="320" w:lineRule="exact"/>
        <w:ind w:left="862"/>
        <w:rPr>
          <w:rFonts w:ascii="仿宋" w:hAnsi="仿宋" w:eastAsia="仿宋" w:cs="仿宋"/>
          <w:color w:val="auto"/>
          <w:highlight w:val="none"/>
        </w:rPr>
      </w:pPr>
      <w:r>
        <w:rPr>
          <w:rFonts w:hint="eastAsia" w:ascii="仿宋" w:hAnsi="仿宋" w:eastAsia="仿宋" w:cs="仿宋"/>
          <w:color w:val="auto"/>
          <w:highlight w:val="none"/>
        </w:rPr>
        <w:t>传</w:t>
      </w:r>
      <w:r>
        <w:rPr>
          <w:rFonts w:hint="eastAsia" w:ascii="仿宋" w:hAnsi="仿宋" w:eastAsia="仿宋" w:cs="仿宋"/>
          <w:color w:val="auto"/>
          <w:highlight w:val="none"/>
        </w:rPr>
        <w:tab/>
      </w:r>
      <w:r>
        <w:rPr>
          <w:rFonts w:hint="eastAsia" w:ascii="仿宋" w:hAnsi="仿宋" w:eastAsia="仿宋" w:cs="仿宋"/>
          <w:color w:val="auto"/>
          <w:highlight w:val="none"/>
        </w:rPr>
        <w:t>真：</w:t>
      </w:r>
      <w:r>
        <w:rPr>
          <w:rFonts w:hint="eastAsia" w:ascii="仿宋" w:hAnsi="仿宋" w:eastAsia="仿宋" w:cs="仿宋"/>
          <w:color w:val="auto"/>
          <w:highlight w:val="none"/>
        </w:rPr>
        <w:tab/>
      </w:r>
      <w:r>
        <w:rPr>
          <w:rFonts w:hint="eastAsia" w:ascii="仿宋" w:hAnsi="仿宋" w:eastAsia="仿宋" w:cs="仿宋"/>
          <w:color w:val="auto"/>
          <w:highlight w:val="none"/>
        </w:rPr>
        <w:t>传</w:t>
      </w:r>
      <w:r>
        <w:rPr>
          <w:rFonts w:hint="eastAsia" w:ascii="仿宋" w:hAnsi="仿宋" w:eastAsia="仿宋" w:cs="仿宋"/>
          <w:color w:val="auto"/>
          <w:highlight w:val="none"/>
        </w:rPr>
        <w:tab/>
      </w:r>
      <w:r>
        <w:rPr>
          <w:rFonts w:hint="eastAsia" w:ascii="仿宋" w:hAnsi="仿宋" w:eastAsia="仿宋" w:cs="仿宋"/>
          <w:color w:val="auto"/>
          <w:highlight w:val="none"/>
        </w:rPr>
        <w:t>真：</w:t>
      </w:r>
    </w:p>
    <w:p>
      <w:pPr>
        <w:pStyle w:val="24"/>
        <w:tabs>
          <w:tab w:val="left" w:pos="5179"/>
        </w:tabs>
        <w:spacing w:line="320" w:lineRule="exact"/>
        <w:ind w:left="862"/>
        <w:rPr>
          <w:rFonts w:ascii="仿宋" w:hAnsi="仿宋" w:eastAsia="仿宋" w:cs="仿宋"/>
          <w:color w:val="auto"/>
          <w:highlight w:val="none"/>
        </w:rPr>
      </w:pPr>
      <w:r>
        <w:rPr>
          <w:rFonts w:hint="eastAsia" w:ascii="仿宋" w:hAnsi="仿宋" w:eastAsia="仿宋" w:cs="仿宋"/>
          <w:color w:val="auto"/>
          <w:highlight w:val="none"/>
        </w:rPr>
        <w:t>电子信箱：</w:t>
      </w:r>
      <w:r>
        <w:rPr>
          <w:rFonts w:hint="eastAsia" w:ascii="仿宋" w:hAnsi="仿宋" w:eastAsia="仿宋" w:cs="仿宋"/>
          <w:color w:val="auto"/>
          <w:highlight w:val="none"/>
        </w:rPr>
        <w:tab/>
      </w:r>
      <w:r>
        <w:rPr>
          <w:rFonts w:hint="eastAsia" w:ascii="仿宋" w:hAnsi="仿宋" w:eastAsia="仿宋" w:cs="仿宋"/>
          <w:color w:val="auto"/>
          <w:highlight w:val="none"/>
        </w:rPr>
        <w:t>电子信箱：</w:t>
      </w:r>
    </w:p>
    <w:p>
      <w:pPr>
        <w:spacing w:line="360" w:lineRule="auto"/>
        <w:ind w:firstLine="120" w:firstLineChars="50"/>
        <w:jc w:val="center"/>
        <w:outlineLvl w:val="2"/>
        <w:rPr>
          <w:rFonts w:ascii="仿宋" w:hAnsi="仿宋" w:eastAsia="仿宋" w:cs="仿宋"/>
          <w:b/>
          <w:bCs/>
          <w:color w:val="auto"/>
          <w:sz w:val="24"/>
          <w:highlight w:val="none"/>
        </w:rPr>
      </w:pPr>
      <w:bookmarkStart w:id="400" w:name="_bookmark5"/>
      <w:bookmarkEnd w:id="400"/>
      <w:bookmarkStart w:id="401" w:name="_bookmark6"/>
      <w:bookmarkEnd w:id="401"/>
      <w:bookmarkStart w:id="402" w:name="_Toc35366003"/>
      <w:r>
        <w:rPr>
          <w:rFonts w:hint="eastAsia" w:ascii="仿宋" w:hAnsi="仿宋" w:eastAsia="仿宋" w:cs="仿宋"/>
          <w:b/>
          <w:bCs/>
          <w:color w:val="auto"/>
          <w:sz w:val="24"/>
          <w:highlight w:val="none"/>
        </w:rPr>
        <w:br w:type="page"/>
      </w:r>
      <w:r>
        <w:rPr>
          <w:rFonts w:hint="eastAsia" w:ascii="仿宋" w:hAnsi="仿宋" w:eastAsia="仿宋" w:cs="仿宋"/>
          <w:b/>
          <w:bCs/>
          <w:color w:val="auto"/>
          <w:sz w:val="24"/>
          <w:highlight w:val="none"/>
        </w:rPr>
        <w:t>第二部分：通用条件</w:t>
      </w:r>
      <w:bookmarkEnd w:id="402"/>
    </w:p>
    <w:p>
      <w:pPr>
        <w:spacing w:line="360" w:lineRule="auto"/>
        <w:ind w:firstLine="960" w:firstLineChars="400"/>
        <w:rPr>
          <w:rFonts w:ascii="仿宋" w:hAnsi="仿宋" w:eastAsia="仿宋" w:cs="仿宋"/>
          <w:bCs/>
          <w:color w:val="auto"/>
          <w:sz w:val="24"/>
          <w:highlight w:val="none"/>
        </w:rPr>
      </w:pPr>
      <w:r>
        <w:rPr>
          <w:rFonts w:hint="eastAsia" w:ascii="仿宋" w:hAnsi="仿宋" w:eastAsia="仿宋" w:cs="仿宋"/>
          <w:bCs/>
          <w:color w:val="auto"/>
          <w:sz w:val="24"/>
          <w:highlight w:val="none"/>
        </w:rPr>
        <w:t>适用住房城乡建设部和国家工商行政管理总局联合制定的《建设工程造价咨询合同</w:t>
      </w:r>
      <w:bookmarkStart w:id="403" w:name="_Toc35366004"/>
      <w:r>
        <w:rPr>
          <w:rFonts w:hint="eastAsia" w:ascii="仿宋" w:hAnsi="仿宋" w:eastAsia="仿宋" w:cs="仿宋"/>
          <w:bCs/>
          <w:color w:val="auto"/>
          <w:sz w:val="24"/>
          <w:highlight w:val="none"/>
        </w:rPr>
        <w:t>（示范文本）》（GF—2015—0212）第二部分通用条件的规定。</w:t>
      </w:r>
      <w:bookmarkEnd w:id="403"/>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 xml:space="preserve"> </w:t>
      </w:r>
      <w:bookmarkStart w:id="404" w:name="_Toc419045067"/>
      <w:bookmarkStart w:id="405" w:name="_Toc422322482"/>
      <w:r>
        <w:rPr>
          <w:rFonts w:hint="eastAsia" w:ascii="仿宋" w:hAnsi="仿宋" w:eastAsia="仿宋" w:cs="仿宋"/>
          <w:b/>
          <w:color w:val="auto"/>
          <w:sz w:val="24"/>
          <w:highlight w:val="none"/>
        </w:rPr>
        <w:t>1.词语定义、语言、解释顺序与适用法律</w:t>
      </w:r>
      <w:bookmarkEnd w:id="404"/>
      <w:bookmarkEnd w:id="405"/>
    </w:p>
    <w:p>
      <w:pPr>
        <w:pStyle w:val="48"/>
        <w:spacing w:after="120" w:line="360" w:lineRule="auto"/>
        <w:ind w:firstLine="482" w:firstLineChars="200"/>
        <w:jc w:val="left"/>
        <w:rPr>
          <w:rFonts w:ascii="仿宋" w:hAnsi="仿宋" w:eastAsia="仿宋" w:cs="仿宋"/>
          <w:color w:val="auto"/>
          <w:sz w:val="24"/>
          <w:szCs w:val="24"/>
          <w:highlight w:val="none"/>
        </w:rPr>
      </w:pPr>
      <w:bookmarkStart w:id="406" w:name="_Toc419045068"/>
      <w:bookmarkStart w:id="407" w:name="_Toc422322483"/>
      <w:r>
        <w:rPr>
          <w:rFonts w:hint="eastAsia" w:ascii="仿宋" w:hAnsi="仿宋" w:eastAsia="仿宋" w:cs="仿宋"/>
          <w:color w:val="auto"/>
          <w:sz w:val="24"/>
          <w:szCs w:val="24"/>
          <w:highlight w:val="none"/>
        </w:rPr>
        <w:t>1.1词语定义</w:t>
      </w:r>
      <w:bookmarkEnd w:id="406"/>
      <w:bookmarkEnd w:id="407"/>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组成本合同的全部文件中的下列名词和用语应具有本款所赋予的含义：</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1.1.1“工程”是指按照本合同约定实施造价咨询与其他服务的建设工程。    </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1.1.2“工程造价”是指工程项目建设过程中预计或实际支出的全部费用。</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1.1.3“委托人”是指本合同中委托造价咨询与其他服务的一方，及其合法的继承人或受让人。</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1.1.4“咨询人”是指本合同中提供造价咨询与其他服务的一方</w:t>
      </w:r>
      <w:r>
        <w:rPr>
          <w:rFonts w:hint="eastAsia" w:ascii="仿宋" w:hAnsi="仿宋" w:eastAsia="仿宋" w:cs="仿宋"/>
          <w:b/>
          <w:bCs/>
          <w:color w:val="auto"/>
          <w:szCs w:val="24"/>
          <w:highlight w:val="none"/>
        </w:rPr>
        <w:t>，</w:t>
      </w:r>
      <w:r>
        <w:rPr>
          <w:rFonts w:hint="eastAsia" w:ascii="仿宋" w:hAnsi="仿宋" w:eastAsia="仿宋" w:cs="仿宋"/>
          <w:color w:val="auto"/>
          <w:szCs w:val="24"/>
          <w:highlight w:val="none"/>
        </w:rPr>
        <w:t>及其合法的继承人。</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    1.1.5“第三人”是指除委托人、咨询人以外与本咨询业务有关的当事人。</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1.1.6“正常工作”是指本合同订立时通用条件和专用条件中约定的咨询人的工作。</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1.1.7“附加工作”是指咨询人根据合同条件完成的正常工作以外的工作。</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1.1.8“项目咨询团队”是指咨询人指派负责履行本合同的团队，其团队成员为本合同的项目咨询人员。</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1.1.9“项目负责人”是指由咨询人的法定代表人书面授权，在授权范围内负责履行本合同、主持项目咨询团队工作的负责人。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1.1.10“委托人代表”是指由委托人的法定代表人书面授权，在授权范围内行使委托人权利的人。</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1.1.11“酬金”是指咨询人履行本合同义务，委托人按照本合同约定给付咨询人的金额。</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1.1.12“正常工作酬金”是指在协议书中载明的，咨询人完成正常工作，委托人应给付咨询人的酬金。</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    1.1.13“附加工作酬金”是指咨询人完成附加工作，委托人应给付咨询人的酬金。</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1.1.14 “书面形式”是指合同书、信件和数据电文（包括电报、电传、传真、电子数据交换和电子邮件）等可以有形地表现所载内容的形式。</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1.1.15 “不可抗力”是指委托人和咨询人在订立本合同时不可预见，在合同履行过程中不可避免并不能克服的自然灾害和社会性突发事件，如地震、海啸、瘟疫、水灾、骚乱、暴动、战争等情形。</w:t>
      </w:r>
    </w:p>
    <w:p>
      <w:pPr>
        <w:pStyle w:val="48"/>
        <w:spacing w:after="120" w:line="360" w:lineRule="auto"/>
        <w:ind w:firstLine="482" w:firstLineChars="200"/>
        <w:jc w:val="left"/>
        <w:rPr>
          <w:rFonts w:ascii="仿宋" w:hAnsi="仿宋" w:eastAsia="仿宋" w:cs="仿宋"/>
          <w:color w:val="auto"/>
          <w:sz w:val="24"/>
          <w:szCs w:val="24"/>
          <w:highlight w:val="none"/>
        </w:rPr>
      </w:pPr>
      <w:bookmarkStart w:id="408" w:name="_Toc419045069"/>
      <w:bookmarkStart w:id="409" w:name="_Toc422322484"/>
      <w:r>
        <w:rPr>
          <w:rFonts w:hint="eastAsia" w:ascii="仿宋" w:hAnsi="仿宋" w:eastAsia="仿宋" w:cs="仿宋"/>
          <w:color w:val="auto"/>
          <w:sz w:val="24"/>
          <w:szCs w:val="24"/>
          <w:highlight w:val="none"/>
        </w:rPr>
        <w:t>1.2语言</w:t>
      </w:r>
      <w:bookmarkEnd w:id="408"/>
      <w:bookmarkEnd w:id="409"/>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本合同使用中文书写、解释和说明。如专用条件约定使用两种及以上语言文字时，应以中文为准。</w:t>
      </w:r>
    </w:p>
    <w:p>
      <w:pPr>
        <w:pStyle w:val="48"/>
        <w:spacing w:after="120" w:line="360" w:lineRule="auto"/>
        <w:ind w:firstLine="482" w:firstLineChars="200"/>
        <w:jc w:val="left"/>
        <w:rPr>
          <w:rFonts w:ascii="仿宋" w:hAnsi="仿宋" w:eastAsia="仿宋" w:cs="仿宋"/>
          <w:color w:val="auto"/>
          <w:sz w:val="24"/>
          <w:szCs w:val="24"/>
          <w:highlight w:val="none"/>
        </w:rPr>
      </w:pPr>
      <w:bookmarkStart w:id="410" w:name="_Toc422322485"/>
      <w:bookmarkStart w:id="411" w:name="_Toc419045070"/>
      <w:r>
        <w:rPr>
          <w:rFonts w:hint="eastAsia" w:ascii="仿宋" w:hAnsi="仿宋" w:eastAsia="仿宋" w:cs="仿宋"/>
          <w:color w:val="auto"/>
          <w:sz w:val="24"/>
          <w:szCs w:val="24"/>
          <w:highlight w:val="none"/>
        </w:rPr>
        <w:t>1.3合同文件的优先顺序</w:t>
      </w:r>
      <w:bookmarkEnd w:id="410"/>
      <w:bookmarkEnd w:id="411"/>
    </w:p>
    <w:p>
      <w:pPr>
        <w:pStyle w:val="781"/>
        <w:spacing w:line="360" w:lineRule="auto"/>
        <w:ind w:firstLine="420" w:firstLineChars="200"/>
        <w:rPr>
          <w:rFonts w:ascii="仿宋" w:hAnsi="仿宋" w:eastAsia="仿宋" w:cs="仿宋"/>
          <w:bCs/>
          <w:color w:val="auto"/>
          <w:szCs w:val="24"/>
          <w:highlight w:val="none"/>
        </w:rPr>
      </w:pPr>
      <w:r>
        <w:rPr>
          <w:rFonts w:hint="eastAsia" w:ascii="仿宋" w:hAnsi="仿宋" w:eastAsia="仿宋" w:cs="仿宋"/>
          <w:bCs/>
          <w:color w:val="auto"/>
          <w:szCs w:val="24"/>
          <w:highlight w:val="none"/>
        </w:rPr>
        <w:t>组成本合同的下列文件彼此应能相互解释、互为说明。除专用条件另有约定外，本合同文件的解释顺序如下：</w:t>
      </w:r>
    </w:p>
    <w:p>
      <w:pPr>
        <w:pStyle w:val="781"/>
        <w:spacing w:line="360" w:lineRule="auto"/>
        <w:ind w:firstLine="420" w:firstLineChars="200"/>
        <w:rPr>
          <w:rFonts w:ascii="仿宋" w:hAnsi="仿宋" w:eastAsia="仿宋" w:cs="仿宋"/>
          <w:bCs/>
          <w:color w:val="auto"/>
          <w:szCs w:val="24"/>
          <w:highlight w:val="none"/>
        </w:rPr>
      </w:pPr>
      <w:r>
        <w:rPr>
          <w:rFonts w:hint="eastAsia" w:ascii="仿宋" w:hAnsi="仿宋" w:eastAsia="仿宋" w:cs="仿宋"/>
          <w:bCs/>
          <w:color w:val="auto"/>
          <w:szCs w:val="24"/>
          <w:highlight w:val="none"/>
        </w:rPr>
        <w:t>1.协议书</w:t>
      </w:r>
    </w:p>
    <w:p>
      <w:pPr>
        <w:pStyle w:val="781"/>
        <w:spacing w:line="360" w:lineRule="auto"/>
        <w:ind w:firstLine="420" w:firstLineChars="200"/>
        <w:rPr>
          <w:rFonts w:ascii="仿宋" w:hAnsi="仿宋" w:eastAsia="仿宋" w:cs="仿宋"/>
          <w:bCs/>
          <w:color w:val="auto"/>
          <w:szCs w:val="24"/>
          <w:highlight w:val="none"/>
        </w:rPr>
      </w:pPr>
      <w:r>
        <w:rPr>
          <w:rFonts w:hint="eastAsia" w:ascii="仿宋" w:hAnsi="仿宋" w:eastAsia="仿宋" w:cs="仿宋"/>
          <w:bCs/>
          <w:color w:val="auto"/>
          <w:szCs w:val="24"/>
          <w:highlight w:val="none"/>
        </w:rPr>
        <w:t>2.中标通知书或委托书（如果有）；</w:t>
      </w:r>
    </w:p>
    <w:p>
      <w:pPr>
        <w:pStyle w:val="781"/>
        <w:spacing w:line="360" w:lineRule="auto"/>
        <w:ind w:firstLine="420" w:firstLineChars="200"/>
        <w:rPr>
          <w:rFonts w:ascii="仿宋" w:hAnsi="仿宋" w:eastAsia="仿宋" w:cs="仿宋"/>
          <w:bCs/>
          <w:color w:val="auto"/>
          <w:szCs w:val="24"/>
          <w:highlight w:val="none"/>
        </w:rPr>
      </w:pPr>
      <w:r>
        <w:rPr>
          <w:rFonts w:hint="eastAsia" w:ascii="仿宋" w:hAnsi="仿宋" w:eastAsia="仿宋" w:cs="仿宋"/>
          <w:bCs/>
          <w:color w:val="auto"/>
          <w:szCs w:val="24"/>
          <w:highlight w:val="none"/>
        </w:rPr>
        <w:t>3.专用条件及附录；</w:t>
      </w:r>
    </w:p>
    <w:p>
      <w:pPr>
        <w:pStyle w:val="781"/>
        <w:spacing w:line="360" w:lineRule="auto"/>
        <w:ind w:firstLine="420" w:firstLineChars="200"/>
        <w:rPr>
          <w:rFonts w:ascii="仿宋" w:hAnsi="仿宋" w:eastAsia="仿宋" w:cs="仿宋"/>
          <w:bCs/>
          <w:color w:val="auto"/>
          <w:szCs w:val="24"/>
          <w:highlight w:val="none"/>
        </w:rPr>
      </w:pPr>
      <w:r>
        <w:rPr>
          <w:rFonts w:hint="eastAsia" w:ascii="仿宋" w:hAnsi="仿宋" w:eastAsia="仿宋" w:cs="仿宋"/>
          <w:bCs/>
          <w:color w:val="auto"/>
          <w:szCs w:val="24"/>
          <w:highlight w:val="none"/>
        </w:rPr>
        <w:t>4.通用条件；</w:t>
      </w:r>
    </w:p>
    <w:p>
      <w:pPr>
        <w:pStyle w:val="781"/>
        <w:spacing w:line="360" w:lineRule="auto"/>
        <w:ind w:firstLine="420" w:firstLineChars="200"/>
        <w:rPr>
          <w:rFonts w:ascii="仿宋" w:hAnsi="仿宋" w:eastAsia="仿宋" w:cs="仿宋"/>
          <w:bCs/>
          <w:color w:val="auto"/>
          <w:szCs w:val="24"/>
          <w:highlight w:val="none"/>
        </w:rPr>
      </w:pPr>
      <w:r>
        <w:rPr>
          <w:rFonts w:hint="eastAsia" w:ascii="仿宋" w:hAnsi="仿宋" w:eastAsia="仿宋" w:cs="仿宋"/>
          <w:bCs/>
          <w:color w:val="auto"/>
          <w:szCs w:val="24"/>
          <w:highlight w:val="none"/>
        </w:rPr>
        <w:t>5.投标函及投标函附录或造价咨询服务建议书（如果有）；</w:t>
      </w:r>
    </w:p>
    <w:p>
      <w:pPr>
        <w:spacing w:line="360" w:lineRule="auto"/>
        <w:ind w:firstLine="468"/>
        <w:rPr>
          <w:rFonts w:ascii="仿宋" w:hAnsi="仿宋" w:eastAsia="仿宋" w:cs="仿宋"/>
          <w:bCs/>
          <w:color w:val="auto"/>
          <w:sz w:val="24"/>
          <w:highlight w:val="none"/>
        </w:rPr>
      </w:pPr>
      <w:r>
        <w:rPr>
          <w:rFonts w:hint="eastAsia" w:ascii="仿宋" w:hAnsi="仿宋" w:eastAsia="仿宋" w:cs="仿宋"/>
          <w:bCs/>
          <w:color w:val="auto"/>
          <w:sz w:val="24"/>
          <w:highlight w:val="none"/>
        </w:rPr>
        <w:t>6.其他合同文件。</w:t>
      </w:r>
    </w:p>
    <w:p>
      <w:pPr>
        <w:pStyle w:val="781"/>
        <w:spacing w:line="360" w:lineRule="auto"/>
        <w:ind w:firstLine="420" w:firstLineChars="200"/>
        <w:rPr>
          <w:rFonts w:ascii="仿宋" w:hAnsi="仿宋" w:eastAsia="仿宋" w:cs="仿宋"/>
          <w:bCs/>
          <w:color w:val="auto"/>
          <w:szCs w:val="24"/>
          <w:highlight w:val="none"/>
        </w:rPr>
      </w:pPr>
      <w:r>
        <w:rPr>
          <w:rFonts w:hint="eastAsia" w:ascii="仿宋" w:hAnsi="仿宋" w:eastAsia="仿宋" w:cs="仿宋"/>
          <w:bCs/>
          <w:color w:val="auto"/>
          <w:szCs w:val="24"/>
          <w:highlight w:val="none"/>
        </w:rPr>
        <w:t>上述各项合同文件包括合同当事人就该项合同文件所作出的补充和修改，属于同一类内容的文件，应以最新签署的为准。</w:t>
      </w:r>
    </w:p>
    <w:p>
      <w:pPr>
        <w:spacing w:line="360" w:lineRule="auto"/>
        <w:ind w:firstLine="468"/>
        <w:rPr>
          <w:rFonts w:ascii="仿宋" w:hAnsi="仿宋" w:eastAsia="仿宋" w:cs="仿宋"/>
          <w:bCs/>
          <w:color w:val="auto"/>
          <w:sz w:val="24"/>
          <w:highlight w:val="none"/>
        </w:rPr>
      </w:pPr>
      <w:r>
        <w:rPr>
          <w:rFonts w:hint="eastAsia" w:ascii="仿宋" w:hAnsi="仿宋" w:eastAsia="仿宋" w:cs="仿宋"/>
          <w:bCs/>
          <w:color w:val="auto"/>
          <w:sz w:val="24"/>
          <w:highlight w:val="none"/>
        </w:rPr>
        <w:t>在合同订立及履行过程中形成的与合同有关的文件均构成合同文件的组成部分。</w:t>
      </w:r>
    </w:p>
    <w:p>
      <w:pPr>
        <w:pStyle w:val="48"/>
        <w:spacing w:after="120" w:line="360" w:lineRule="auto"/>
        <w:ind w:firstLine="482" w:firstLineChars="200"/>
        <w:jc w:val="left"/>
        <w:rPr>
          <w:rFonts w:ascii="仿宋" w:hAnsi="仿宋" w:eastAsia="仿宋" w:cs="仿宋"/>
          <w:color w:val="auto"/>
          <w:sz w:val="24"/>
          <w:szCs w:val="24"/>
          <w:highlight w:val="none"/>
        </w:rPr>
      </w:pPr>
      <w:bookmarkStart w:id="412" w:name="_Toc419045071"/>
      <w:bookmarkStart w:id="413" w:name="_Toc422322486"/>
      <w:r>
        <w:rPr>
          <w:rFonts w:hint="eastAsia" w:ascii="仿宋" w:hAnsi="仿宋" w:eastAsia="仿宋" w:cs="仿宋"/>
          <w:color w:val="auto"/>
          <w:sz w:val="24"/>
          <w:szCs w:val="24"/>
          <w:highlight w:val="none"/>
        </w:rPr>
        <w:t>1.4适用法律</w:t>
      </w:r>
      <w:bookmarkEnd w:id="412"/>
      <w:bookmarkEnd w:id="413"/>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本合同适用中华人民共和国法律、行政法规、部门规章以及工程所在地的地方性法规、自治条例、单行条例和地方政府规章等。</w:t>
      </w:r>
    </w:p>
    <w:p>
      <w:pPr>
        <w:spacing w:line="360" w:lineRule="auto"/>
        <w:ind w:firstLine="480" w:firstLineChars="200"/>
        <w:rPr>
          <w:rStyle w:val="334"/>
          <w:rFonts w:ascii="仿宋" w:hAnsi="仿宋" w:eastAsia="仿宋" w:cs="仿宋"/>
          <w:color w:val="auto"/>
          <w:highlight w:val="none"/>
        </w:rPr>
      </w:pPr>
      <w:r>
        <w:rPr>
          <w:rFonts w:hint="eastAsia" w:ascii="仿宋" w:hAnsi="仿宋" w:eastAsia="仿宋" w:cs="仿宋"/>
          <w:color w:val="auto"/>
          <w:sz w:val="24"/>
          <w:highlight w:val="none"/>
        </w:rPr>
        <w:t>合同当事人可以在专用条件中约定本合同适用的其他规范、规程、定额、技术标准等规范性文件。</w:t>
      </w:r>
    </w:p>
    <w:p>
      <w:pPr>
        <w:pStyle w:val="59"/>
        <w:spacing w:line="360" w:lineRule="auto"/>
        <w:ind w:firstLine="482" w:firstLineChars="200"/>
        <w:jc w:val="left"/>
        <w:rPr>
          <w:rFonts w:ascii="仿宋" w:hAnsi="仿宋" w:eastAsia="仿宋" w:cs="仿宋"/>
          <w:color w:val="auto"/>
          <w:szCs w:val="24"/>
          <w:highlight w:val="none"/>
        </w:rPr>
      </w:pPr>
      <w:bookmarkStart w:id="414" w:name="_Toc422322487"/>
      <w:r>
        <w:rPr>
          <w:rFonts w:hint="eastAsia" w:ascii="仿宋" w:hAnsi="仿宋" w:eastAsia="仿宋" w:cs="仿宋"/>
          <w:color w:val="auto"/>
          <w:szCs w:val="24"/>
          <w:highlight w:val="none"/>
        </w:rPr>
        <w:t>2.委托人的义务</w:t>
      </w:r>
      <w:bookmarkEnd w:id="414"/>
    </w:p>
    <w:p>
      <w:pPr>
        <w:pStyle w:val="48"/>
        <w:spacing w:after="120" w:line="360" w:lineRule="auto"/>
        <w:ind w:firstLine="482" w:firstLineChars="200"/>
        <w:jc w:val="left"/>
        <w:rPr>
          <w:rFonts w:ascii="仿宋" w:hAnsi="仿宋" w:eastAsia="仿宋" w:cs="仿宋"/>
          <w:color w:val="auto"/>
          <w:sz w:val="24"/>
          <w:szCs w:val="24"/>
          <w:highlight w:val="none"/>
        </w:rPr>
      </w:pPr>
      <w:bookmarkStart w:id="415" w:name="_Toc422322488"/>
      <w:bookmarkStart w:id="416" w:name="_Toc419045072"/>
      <w:r>
        <w:rPr>
          <w:rFonts w:hint="eastAsia" w:ascii="仿宋" w:hAnsi="仿宋" w:eastAsia="仿宋" w:cs="仿宋"/>
          <w:color w:val="auto"/>
          <w:sz w:val="24"/>
          <w:szCs w:val="24"/>
          <w:highlight w:val="none"/>
        </w:rPr>
        <w:t>2.1提供资料</w:t>
      </w:r>
      <w:bookmarkEnd w:id="415"/>
      <w:bookmarkEnd w:id="416"/>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委托人应当在专用条件约定的时间内，按照附录C的约定无偿向咨询人提供与本合同咨询业务有关的资料。在本合同履行过程中，委托人应及时向咨询人提供最新的与本合同咨询业务有关的资料。委托人应对所提供资料的真实性、准确性、合法性与完整性负责。</w:t>
      </w:r>
    </w:p>
    <w:p>
      <w:pPr>
        <w:pStyle w:val="48"/>
        <w:spacing w:after="120" w:line="360" w:lineRule="auto"/>
        <w:ind w:firstLine="482" w:firstLineChars="200"/>
        <w:jc w:val="left"/>
        <w:rPr>
          <w:rFonts w:ascii="仿宋" w:hAnsi="仿宋" w:eastAsia="仿宋" w:cs="仿宋"/>
          <w:color w:val="auto"/>
          <w:sz w:val="24"/>
          <w:szCs w:val="24"/>
          <w:highlight w:val="none"/>
        </w:rPr>
      </w:pPr>
      <w:bookmarkStart w:id="417" w:name="_Toc419045073"/>
      <w:bookmarkStart w:id="418" w:name="_Toc422322489"/>
      <w:r>
        <w:rPr>
          <w:rFonts w:hint="eastAsia" w:ascii="仿宋" w:hAnsi="仿宋" w:eastAsia="仿宋" w:cs="仿宋"/>
          <w:color w:val="auto"/>
          <w:sz w:val="24"/>
          <w:szCs w:val="24"/>
          <w:highlight w:val="none"/>
        </w:rPr>
        <w:t>2.2提供工作条件</w:t>
      </w:r>
      <w:bookmarkEnd w:id="417"/>
      <w:bookmarkEnd w:id="418"/>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委托人应为咨询人完成造价咨询提供必要的条件。</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2.2.1委托人需要咨询人派驻项目现场咨询人员的，除专用条件另有约定外，项目咨询人员有权无偿使用附录D中由委托人提供的房屋及设备。</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2.2.2委托人应负责与本工程造价咨询业务有关的所有外部关系的协调，为咨询人履行本合同提供必要的外部条件。</w:t>
      </w:r>
    </w:p>
    <w:p>
      <w:pPr>
        <w:pStyle w:val="48"/>
        <w:spacing w:after="120" w:line="360" w:lineRule="auto"/>
        <w:ind w:firstLine="482" w:firstLineChars="200"/>
        <w:jc w:val="left"/>
        <w:rPr>
          <w:rFonts w:ascii="仿宋" w:hAnsi="仿宋" w:eastAsia="仿宋" w:cs="仿宋"/>
          <w:color w:val="auto"/>
          <w:sz w:val="24"/>
          <w:szCs w:val="24"/>
          <w:highlight w:val="none"/>
        </w:rPr>
      </w:pPr>
      <w:bookmarkStart w:id="419" w:name="_Toc422322490"/>
      <w:bookmarkStart w:id="420" w:name="_Toc419045074"/>
      <w:r>
        <w:rPr>
          <w:rFonts w:hint="eastAsia" w:ascii="仿宋" w:hAnsi="仿宋" w:eastAsia="仿宋" w:cs="仿宋"/>
          <w:color w:val="auto"/>
          <w:sz w:val="24"/>
          <w:szCs w:val="24"/>
          <w:highlight w:val="none"/>
        </w:rPr>
        <w:t>2.3合理工作时限</w:t>
      </w:r>
      <w:bookmarkEnd w:id="419"/>
      <w:bookmarkEnd w:id="420"/>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委托人应当为咨询人完成其咨询工作，设定合理的工作时限。</w:t>
      </w:r>
    </w:p>
    <w:p>
      <w:pPr>
        <w:pStyle w:val="48"/>
        <w:spacing w:after="120" w:line="360" w:lineRule="auto"/>
        <w:ind w:firstLine="482" w:firstLineChars="200"/>
        <w:jc w:val="left"/>
        <w:rPr>
          <w:rFonts w:ascii="仿宋" w:hAnsi="仿宋" w:eastAsia="仿宋" w:cs="仿宋"/>
          <w:color w:val="auto"/>
          <w:sz w:val="24"/>
          <w:szCs w:val="24"/>
          <w:highlight w:val="none"/>
        </w:rPr>
      </w:pPr>
      <w:bookmarkStart w:id="421" w:name="_Toc422322491"/>
      <w:bookmarkStart w:id="422" w:name="_Toc419045075"/>
      <w:r>
        <w:rPr>
          <w:rFonts w:hint="eastAsia" w:ascii="仿宋" w:hAnsi="仿宋" w:eastAsia="仿宋" w:cs="仿宋"/>
          <w:color w:val="auto"/>
          <w:sz w:val="24"/>
          <w:szCs w:val="24"/>
          <w:highlight w:val="none"/>
        </w:rPr>
        <w:t>2.4委托人代表</w:t>
      </w:r>
      <w:bookmarkEnd w:id="421"/>
      <w:bookmarkEnd w:id="422"/>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委托人应授权一名代表负责本合同的履行。委托人应在双方签订本合同7日内，将委托人代表的姓名和权限范围书面告知咨询人。委托人更换委托人代表时，应提前7日书面通知咨询人。</w:t>
      </w:r>
    </w:p>
    <w:p>
      <w:pPr>
        <w:pStyle w:val="48"/>
        <w:spacing w:after="120" w:line="360" w:lineRule="auto"/>
        <w:ind w:firstLine="482" w:firstLineChars="200"/>
        <w:jc w:val="left"/>
        <w:rPr>
          <w:rFonts w:ascii="仿宋" w:hAnsi="仿宋" w:eastAsia="仿宋" w:cs="仿宋"/>
          <w:color w:val="auto"/>
          <w:sz w:val="24"/>
          <w:szCs w:val="24"/>
          <w:highlight w:val="none"/>
        </w:rPr>
      </w:pPr>
      <w:bookmarkStart w:id="423" w:name="_Toc419045076"/>
      <w:bookmarkStart w:id="424" w:name="_Toc422322492"/>
      <w:r>
        <w:rPr>
          <w:rFonts w:hint="eastAsia" w:ascii="仿宋" w:hAnsi="仿宋" w:eastAsia="仿宋" w:cs="仿宋"/>
          <w:color w:val="auto"/>
          <w:sz w:val="24"/>
          <w:szCs w:val="24"/>
          <w:highlight w:val="none"/>
        </w:rPr>
        <w:t>2.5答复</w:t>
      </w:r>
      <w:bookmarkEnd w:id="423"/>
      <w:bookmarkEnd w:id="424"/>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委托人应当在专用条件约定的时间内就咨询人以书面形式提交并要求做出答复的事宜给予书面答复。逾期未答复的，由此造成的工作延误和损失由委托人承担。</w:t>
      </w:r>
    </w:p>
    <w:p>
      <w:pPr>
        <w:pStyle w:val="48"/>
        <w:spacing w:after="120" w:line="360" w:lineRule="auto"/>
        <w:ind w:firstLine="482" w:firstLineChars="200"/>
        <w:jc w:val="left"/>
        <w:rPr>
          <w:rFonts w:ascii="仿宋" w:hAnsi="仿宋" w:eastAsia="仿宋" w:cs="仿宋"/>
          <w:color w:val="auto"/>
          <w:sz w:val="24"/>
          <w:szCs w:val="24"/>
          <w:highlight w:val="none"/>
        </w:rPr>
      </w:pPr>
      <w:bookmarkStart w:id="425" w:name="_Toc419045077"/>
      <w:bookmarkStart w:id="426" w:name="_Toc422322493"/>
      <w:r>
        <w:rPr>
          <w:rFonts w:hint="eastAsia" w:ascii="仿宋" w:hAnsi="仿宋" w:eastAsia="仿宋" w:cs="仿宋"/>
          <w:color w:val="auto"/>
          <w:sz w:val="24"/>
          <w:szCs w:val="24"/>
          <w:highlight w:val="none"/>
        </w:rPr>
        <w:t>2.6支付</w:t>
      </w:r>
      <w:bookmarkEnd w:id="425"/>
      <w:bookmarkEnd w:id="426"/>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委托人应当按照合同的约定，向咨询人支付酬金。</w:t>
      </w:r>
    </w:p>
    <w:p>
      <w:pPr>
        <w:pStyle w:val="59"/>
        <w:spacing w:line="360" w:lineRule="auto"/>
        <w:ind w:firstLine="482" w:firstLineChars="200"/>
        <w:jc w:val="left"/>
        <w:rPr>
          <w:rFonts w:ascii="仿宋" w:hAnsi="仿宋" w:eastAsia="仿宋" w:cs="仿宋"/>
          <w:color w:val="auto"/>
          <w:szCs w:val="24"/>
          <w:highlight w:val="none"/>
        </w:rPr>
      </w:pPr>
      <w:bookmarkStart w:id="427" w:name="_Toc422322494"/>
      <w:bookmarkStart w:id="428" w:name="_Toc419045078"/>
      <w:r>
        <w:rPr>
          <w:rFonts w:hint="eastAsia" w:ascii="仿宋" w:hAnsi="仿宋" w:eastAsia="仿宋" w:cs="仿宋"/>
          <w:color w:val="auto"/>
          <w:szCs w:val="24"/>
          <w:highlight w:val="none"/>
        </w:rPr>
        <w:t>3.咨询人的义务</w:t>
      </w:r>
      <w:bookmarkEnd w:id="427"/>
      <w:bookmarkEnd w:id="428"/>
    </w:p>
    <w:p>
      <w:pPr>
        <w:pStyle w:val="48"/>
        <w:spacing w:after="120" w:line="360" w:lineRule="auto"/>
        <w:ind w:firstLine="482" w:firstLineChars="200"/>
        <w:jc w:val="left"/>
        <w:rPr>
          <w:rFonts w:ascii="仿宋" w:hAnsi="仿宋" w:eastAsia="仿宋" w:cs="仿宋"/>
          <w:color w:val="auto"/>
          <w:sz w:val="24"/>
          <w:szCs w:val="24"/>
          <w:highlight w:val="none"/>
        </w:rPr>
      </w:pPr>
      <w:bookmarkStart w:id="429" w:name="_Toc419045080"/>
      <w:bookmarkStart w:id="430" w:name="_Toc422322495"/>
      <w:bookmarkStart w:id="431" w:name="16"/>
      <w:r>
        <w:rPr>
          <w:rFonts w:hint="eastAsia" w:ascii="仿宋" w:hAnsi="仿宋" w:eastAsia="仿宋" w:cs="仿宋"/>
          <w:color w:val="auto"/>
          <w:sz w:val="24"/>
          <w:szCs w:val="24"/>
          <w:highlight w:val="none"/>
        </w:rPr>
        <w:t>3.1 项目咨询团队及人员</w:t>
      </w:r>
      <w:bookmarkEnd w:id="429"/>
      <w:bookmarkEnd w:id="430"/>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3.1.1项目咨询团队的主要人员应具有专用条件约定的资格条件，团队人员的数量应符合专用条件的约定。</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3.1.2项目负责人</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咨询人应以书面形式授权一名项目负责人负责履行本合同、主持项目咨询团队工作。采用招标程序签署本合同的，项目负责人应当与投标文件载明的一致。</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3.1.3在本合同履行过程中，咨询人员应保持相对稳定，以保证咨询工作正常进行。</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咨询人可根据工程进展和工作需要等情形调整项目咨询团队人员。咨询人更换项目负责人时，应提前7日向委托人书面报告，经委托人同意后方可更换。除专用条件另有约定外，咨询人更换项目咨询团队其他咨询人员，应提前3日向委托人书面报告，经委托人同意后以相当资格与能力的人员替换。</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3.1.4咨询人员有下列情形之一，委托人要求咨询人更换的，咨询人应当更换：</w:t>
      </w:r>
    </w:p>
    <w:p>
      <w:pPr>
        <w:pStyle w:val="781"/>
        <w:spacing w:line="360" w:lineRule="auto"/>
        <w:ind w:firstLine="336"/>
        <w:rPr>
          <w:rFonts w:ascii="仿宋" w:hAnsi="仿宋" w:eastAsia="仿宋" w:cs="仿宋"/>
          <w:color w:val="auto"/>
          <w:szCs w:val="24"/>
          <w:highlight w:val="none"/>
        </w:rPr>
      </w:pPr>
      <w:r>
        <w:rPr>
          <w:rFonts w:hint="eastAsia" w:ascii="仿宋" w:hAnsi="仿宋" w:eastAsia="仿宋" w:cs="仿宋"/>
          <w:color w:val="auto"/>
          <w:szCs w:val="24"/>
          <w:highlight w:val="none"/>
        </w:rPr>
        <w:t>（1）存在严重过失行为的；</w:t>
      </w:r>
    </w:p>
    <w:p>
      <w:pPr>
        <w:pStyle w:val="781"/>
        <w:spacing w:line="360" w:lineRule="auto"/>
        <w:ind w:firstLine="336"/>
        <w:rPr>
          <w:rFonts w:ascii="仿宋" w:hAnsi="仿宋" w:eastAsia="仿宋" w:cs="仿宋"/>
          <w:color w:val="auto"/>
          <w:szCs w:val="24"/>
          <w:highlight w:val="none"/>
        </w:rPr>
      </w:pPr>
      <w:r>
        <w:rPr>
          <w:rFonts w:hint="eastAsia" w:ascii="仿宋" w:hAnsi="仿宋" w:eastAsia="仿宋" w:cs="仿宋"/>
          <w:color w:val="auto"/>
          <w:szCs w:val="24"/>
          <w:highlight w:val="none"/>
        </w:rPr>
        <w:t>（2）存在违法行为不能履行职责的；</w:t>
      </w:r>
    </w:p>
    <w:p>
      <w:pPr>
        <w:pStyle w:val="781"/>
        <w:spacing w:line="360" w:lineRule="auto"/>
        <w:ind w:firstLine="336"/>
        <w:rPr>
          <w:rFonts w:ascii="仿宋" w:hAnsi="仿宋" w:eastAsia="仿宋" w:cs="仿宋"/>
          <w:color w:val="auto"/>
          <w:szCs w:val="24"/>
          <w:highlight w:val="none"/>
        </w:rPr>
      </w:pPr>
      <w:r>
        <w:rPr>
          <w:rFonts w:hint="eastAsia" w:ascii="仿宋" w:hAnsi="仿宋" w:eastAsia="仿宋" w:cs="仿宋"/>
          <w:color w:val="auto"/>
          <w:szCs w:val="24"/>
          <w:highlight w:val="none"/>
        </w:rPr>
        <w:t>（3）涉嫌犯罪的；</w:t>
      </w:r>
    </w:p>
    <w:p>
      <w:pPr>
        <w:pStyle w:val="781"/>
        <w:spacing w:line="360" w:lineRule="auto"/>
        <w:ind w:firstLine="336"/>
        <w:rPr>
          <w:rFonts w:ascii="仿宋" w:hAnsi="仿宋" w:eastAsia="仿宋" w:cs="仿宋"/>
          <w:color w:val="auto"/>
          <w:szCs w:val="24"/>
          <w:highlight w:val="none"/>
        </w:rPr>
      </w:pPr>
      <w:r>
        <w:rPr>
          <w:rFonts w:hint="eastAsia" w:ascii="仿宋" w:hAnsi="仿宋" w:eastAsia="仿宋" w:cs="仿宋"/>
          <w:color w:val="auto"/>
          <w:szCs w:val="24"/>
          <w:highlight w:val="none"/>
        </w:rPr>
        <w:t>（4）不能胜任岗位职责的；</w:t>
      </w:r>
    </w:p>
    <w:p>
      <w:pPr>
        <w:pStyle w:val="781"/>
        <w:spacing w:line="360" w:lineRule="auto"/>
        <w:ind w:firstLine="336"/>
        <w:rPr>
          <w:rFonts w:ascii="仿宋" w:hAnsi="仿宋" w:eastAsia="仿宋" w:cs="仿宋"/>
          <w:color w:val="auto"/>
          <w:szCs w:val="24"/>
          <w:highlight w:val="none"/>
        </w:rPr>
      </w:pPr>
      <w:r>
        <w:rPr>
          <w:rFonts w:hint="eastAsia" w:ascii="仿宋" w:hAnsi="仿宋" w:eastAsia="仿宋" w:cs="仿宋"/>
          <w:color w:val="auto"/>
          <w:szCs w:val="24"/>
          <w:highlight w:val="none"/>
        </w:rPr>
        <w:t>（5）严重违反职业道德的；</w:t>
      </w:r>
    </w:p>
    <w:p>
      <w:pPr>
        <w:pStyle w:val="781"/>
        <w:spacing w:line="360" w:lineRule="auto"/>
        <w:ind w:firstLine="336"/>
        <w:rPr>
          <w:rStyle w:val="968"/>
          <w:rFonts w:ascii="仿宋" w:hAnsi="仿宋" w:eastAsia="仿宋" w:cs="仿宋"/>
          <w:color w:val="auto"/>
          <w:sz w:val="24"/>
          <w:szCs w:val="24"/>
          <w:highlight w:val="none"/>
        </w:rPr>
      </w:pPr>
      <w:r>
        <w:rPr>
          <w:rFonts w:hint="eastAsia" w:ascii="仿宋" w:hAnsi="仿宋" w:eastAsia="仿宋" w:cs="仿宋"/>
          <w:color w:val="auto"/>
          <w:szCs w:val="24"/>
          <w:highlight w:val="none"/>
        </w:rPr>
        <w:t>（6）专用条件约定的其他情形。</w:t>
      </w:r>
    </w:p>
    <w:p>
      <w:pPr>
        <w:pStyle w:val="48"/>
        <w:spacing w:after="120" w:line="360" w:lineRule="auto"/>
        <w:ind w:firstLine="482" w:firstLineChars="200"/>
        <w:jc w:val="left"/>
        <w:rPr>
          <w:rFonts w:ascii="仿宋" w:hAnsi="仿宋" w:eastAsia="仿宋" w:cs="仿宋"/>
          <w:color w:val="auto"/>
          <w:sz w:val="24"/>
          <w:szCs w:val="24"/>
          <w:highlight w:val="none"/>
        </w:rPr>
      </w:pPr>
      <w:bookmarkStart w:id="432" w:name="_Toc422322496"/>
      <w:r>
        <w:rPr>
          <w:rFonts w:hint="eastAsia" w:ascii="仿宋" w:hAnsi="仿宋" w:eastAsia="仿宋" w:cs="仿宋"/>
          <w:color w:val="auto"/>
          <w:sz w:val="24"/>
          <w:szCs w:val="24"/>
          <w:highlight w:val="none"/>
        </w:rPr>
        <w:t>3.2 咨询人的工作要求</w:t>
      </w:r>
      <w:bookmarkEnd w:id="432"/>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3.2.1咨询人应当按照专用条件约定的时间等要求向委托人提供与工程造价咨询业务有关的资料，包括工程造价咨询企业的资质证书及承担本合同业务的团队人员名单及执业（从业）资格证书、咨询工作大纲等，并按合同约定的服务范围和工作内容实施咨询业务。</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3.2.2咨询人应当在专用条件约定的时间内，按照专用条件约定的份数、组成向委托人提交咨询成果文件。</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咨询人提供造价咨询服务以及出具工程造价咨询成果文件应符合现行国家或行业有关规定、标准、规范的要求。委托人要求的工程造价咨询成果文件质量标准高于现行国家或行业标准的，应在专用条件中约定具体的质量标准，并相应增加服务酬金。</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3.2.3咨询人提交的工程造价咨询成果文件，除加盖咨询人单位公章、工程造价咨询企业执业印章外，还必须按要求加盖参加咨询工作人员的执业（从业）资格印章。</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3.2.4咨询人应在专用条件约定的时间内，对委托人以书面形式提出的建议或者异议给予书面答复。</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3.2.5咨询人从事工程造价咨询活动，应当遵循独立、客观、公正、诚实信用的原则，不得损害社会公共利益和他人的合法权益。</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3.2.6咨询人承诺按照法律规定及合同约定，完成合同范围内的建设工程造价咨询服务，不转包承接的造价咨询服务业务。</w:t>
      </w:r>
    </w:p>
    <w:p>
      <w:pPr>
        <w:pStyle w:val="48"/>
        <w:spacing w:after="120" w:line="360" w:lineRule="auto"/>
        <w:ind w:firstLine="482" w:firstLineChars="200"/>
        <w:jc w:val="left"/>
        <w:rPr>
          <w:rFonts w:ascii="仿宋" w:hAnsi="仿宋" w:eastAsia="仿宋" w:cs="仿宋"/>
          <w:color w:val="auto"/>
          <w:sz w:val="24"/>
          <w:szCs w:val="24"/>
          <w:highlight w:val="none"/>
        </w:rPr>
      </w:pPr>
      <w:bookmarkStart w:id="433" w:name="_Toc419045081"/>
      <w:bookmarkStart w:id="434" w:name="_Toc422322497"/>
      <w:r>
        <w:rPr>
          <w:rFonts w:hint="eastAsia" w:ascii="仿宋" w:hAnsi="仿宋" w:eastAsia="仿宋" w:cs="仿宋"/>
          <w:color w:val="auto"/>
          <w:sz w:val="24"/>
          <w:szCs w:val="24"/>
          <w:highlight w:val="none"/>
        </w:rPr>
        <w:t>3.3咨询人的工作依据</w:t>
      </w:r>
      <w:bookmarkEnd w:id="433"/>
      <w:bookmarkEnd w:id="434"/>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咨询人应在专用条件内与委托人协商明确履行本合同约定的咨询服务需要适用的技术标准、规范、定额等工作依据，但不得违反国家及工程所在地的强制性标准、规范。</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咨询人应自行配备本条所述的技术标准、规范、定额等相关资料。必须由委托人提供的资料，应在附录C中载明。需要委托人协助才能获得的资料，委托人应予以协助。</w:t>
      </w:r>
    </w:p>
    <w:p>
      <w:pPr>
        <w:pStyle w:val="48"/>
        <w:spacing w:after="120" w:line="360" w:lineRule="auto"/>
        <w:ind w:firstLine="482" w:firstLineChars="200"/>
        <w:jc w:val="left"/>
        <w:rPr>
          <w:rFonts w:ascii="仿宋" w:hAnsi="仿宋" w:eastAsia="仿宋" w:cs="仿宋"/>
          <w:color w:val="auto"/>
          <w:sz w:val="24"/>
          <w:szCs w:val="24"/>
          <w:highlight w:val="none"/>
        </w:rPr>
      </w:pPr>
      <w:bookmarkStart w:id="435" w:name="_Toc419045082"/>
      <w:bookmarkStart w:id="436" w:name="_Toc422322498"/>
      <w:r>
        <w:rPr>
          <w:rFonts w:hint="eastAsia" w:ascii="仿宋" w:hAnsi="仿宋" w:eastAsia="仿宋" w:cs="仿宋"/>
          <w:color w:val="auto"/>
          <w:sz w:val="24"/>
          <w:szCs w:val="24"/>
          <w:highlight w:val="none"/>
        </w:rPr>
        <w:t>3.4使用委托人房屋及设备的返还</w:t>
      </w:r>
      <w:bookmarkEnd w:id="435"/>
      <w:bookmarkEnd w:id="436"/>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项目咨询人员使用委托人提供的房屋及设备的，咨询人应妥善使用和保管，在本合同终止时将上述房屋及设备按专用条件约定的时间和方式返还委托人。</w:t>
      </w:r>
    </w:p>
    <w:bookmarkEnd w:id="431"/>
    <w:p>
      <w:pPr>
        <w:spacing w:line="360" w:lineRule="auto"/>
        <w:ind w:firstLine="482" w:firstLineChars="200"/>
        <w:rPr>
          <w:rStyle w:val="334"/>
          <w:rFonts w:ascii="仿宋" w:hAnsi="仿宋" w:eastAsia="仿宋" w:cs="仿宋"/>
          <w:color w:val="auto"/>
          <w:highlight w:val="none"/>
        </w:rPr>
      </w:pPr>
      <w:bookmarkStart w:id="437" w:name="_Toc419045083"/>
      <w:bookmarkStart w:id="438" w:name="_Toc422322499"/>
      <w:bookmarkStart w:id="439" w:name="19"/>
      <w:r>
        <w:rPr>
          <w:rStyle w:val="334"/>
          <w:rFonts w:hint="eastAsia" w:ascii="仿宋" w:hAnsi="仿宋" w:eastAsia="仿宋" w:cs="仿宋"/>
          <w:color w:val="auto"/>
          <w:highlight w:val="none"/>
        </w:rPr>
        <w:t>4.违约责任</w:t>
      </w:r>
      <w:bookmarkEnd w:id="437"/>
      <w:bookmarkEnd w:id="438"/>
    </w:p>
    <w:p>
      <w:pPr>
        <w:pStyle w:val="48"/>
        <w:spacing w:after="120" w:line="360" w:lineRule="auto"/>
        <w:ind w:firstLine="482" w:firstLineChars="200"/>
        <w:jc w:val="left"/>
        <w:rPr>
          <w:rFonts w:ascii="仿宋" w:hAnsi="仿宋" w:eastAsia="仿宋" w:cs="仿宋"/>
          <w:color w:val="auto"/>
          <w:sz w:val="24"/>
          <w:szCs w:val="24"/>
          <w:highlight w:val="none"/>
        </w:rPr>
      </w:pPr>
      <w:bookmarkStart w:id="440" w:name="_Toc422322500"/>
      <w:r>
        <w:rPr>
          <w:rFonts w:hint="eastAsia" w:ascii="仿宋" w:hAnsi="仿宋" w:eastAsia="仿宋" w:cs="仿宋"/>
          <w:color w:val="auto"/>
          <w:sz w:val="24"/>
          <w:szCs w:val="24"/>
          <w:highlight w:val="none"/>
        </w:rPr>
        <w:t>4.1委托人的违约责任</w:t>
      </w:r>
      <w:bookmarkEnd w:id="440"/>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4.1.1委托人不履行本合同义务或者履行义务不符合本合同约定的，应承担违约责任。双方可在专用条件中约定违约金的计算及支付方法。</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4.1.2委托人违反本合同约定造成咨询人损失的，委托人应予以赔偿。双方可在专用条件中约定赔偿金额的确定及支付方法。</w:t>
      </w:r>
    </w:p>
    <w:p>
      <w:pPr>
        <w:pStyle w:val="781"/>
        <w:spacing w:line="360" w:lineRule="auto"/>
        <w:ind w:firstLine="420" w:firstLineChars="200"/>
        <w:rPr>
          <w:rStyle w:val="334"/>
          <w:rFonts w:ascii="仿宋" w:hAnsi="仿宋" w:eastAsia="仿宋" w:cs="仿宋"/>
          <w:b w:val="0"/>
          <w:color w:val="auto"/>
          <w:szCs w:val="24"/>
          <w:highlight w:val="none"/>
        </w:rPr>
      </w:pPr>
      <w:r>
        <w:rPr>
          <w:rFonts w:hint="eastAsia" w:ascii="仿宋" w:hAnsi="仿宋" w:eastAsia="仿宋" w:cs="仿宋"/>
          <w:color w:val="auto"/>
          <w:szCs w:val="24"/>
          <w:highlight w:val="none"/>
        </w:rPr>
        <w:t>4.1.3委托人未能按期支付酬金超过14天，应按下列方法计算并支付逾期付款利息。逾期付款利息=当期应付款总额×中国人民银行发布的同期贷款基准利率×逾期支付天数（自逾期之日起计算）。双方也可在专用条件中另行约定逾期付款利息的计算及支付方法。</w:t>
      </w:r>
    </w:p>
    <w:p>
      <w:pPr>
        <w:pStyle w:val="48"/>
        <w:spacing w:after="120" w:line="360" w:lineRule="auto"/>
        <w:ind w:firstLine="482" w:firstLineChars="200"/>
        <w:jc w:val="left"/>
        <w:rPr>
          <w:rFonts w:ascii="仿宋" w:hAnsi="仿宋" w:eastAsia="仿宋" w:cs="仿宋"/>
          <w:color w:val="auto"/>
          <w:sz w:val="24"/>
          <w:szCs w:val="24"/>
          <w:highlight w:val="none"/>
        </w:rPr>
      </w:pPr>
      <w:bookmarkStart w:id="441" w:name="_Toc422322501"/>
      <w:bookmarkStart w:id="442" w:name="_Toc419045084"/>
      <w:r>
        <w:rPr>
          <w:rFonts w:hint="eastAsia" w:ascii="仿宋" w:hAnsi="仿宋" w:eastAsia="仿宋" w:cs="仿宋"/>
          <w:color w:val="auto"/>
          <w:sz w:val="24"/>
          <w:szCs w:val="24"/>
          <w:highlight w:val="none"/>
        </w:rPr>
        <w:t>4.2咨询人的违约责任</w:t>
      </w:r>
      <w:bookmarkEnd w:id="441"/>
      <w:bookmarkEnd w:id="442"/>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4.2.1咨询人不履行本合同义务或者履行义务不符合本合同约定的，应承担违约责任。双方可在专用条件中约定违约金的计算及支付方法。</w:t>
      </w:r>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4.2.2因咨询人违反本合同约定给委托人造成损失的，咨询人应当赔偿委托人损失。双方可在专用条件中约定赔偿金额的确定及支付方法。</w:t>
      </w:r>
    </w:p>
    <w:p>
      <w:pPr>
        <w:spacing w:line="360" w:lineRule="auto"/>
        <w:ind w:firstLine="482" w:firstLineChars="200"/>
        <w:rPr>
          <w:rStyle w:val="334"/>
          <w:rFonts w:ascii="仿宋" w:hAnsi="仿宋" w:eastAsia="仿宋" w:cs="仿宋"/>
          <w:color w:val="auto"/>
          <w:highlight w:val="none"/>
        </w:rPr>
      </w:pPr>
      <w:bookmarkStart w:id="443" w:name="_Toc422322502"/>
      <w:bookmarkStart w:id="444" w:name="_Toc419045086"/>
      <w:r>
        <w:rPr>
          <w:rStyle w:val="334"/>
          <w:rFonts w:hint="eastAsia" w:ascii="仿宋" w:hAnsi="仿宋" w:eastAsia="仿宋" w:cs="仿宋"/>
          <w:color w:val="auto"/>
          <w:highlight w:val="none"/>
        </w:rPr>
        <w:t>5.支付</w:t>
      </w:r>
      <w:bookmarkEnd w:id="443"/>
      <w:bookmarkEnd w:id="444"/>
    </w:p>
    <w:p>
      <w:pPr>
        <w:pStyle w:val="48"/>
        <w:spacing w:after="120" w:line="360" w:lineRule="auto"/>
        <w:ind w:firstLine="482" w:firstLineChars="200"/>
        <w:jc w:val="left"/>
        <w:rPr>
          <w:rFonts w:ascii="仿宋" w:hAnsi="仿宋" w:eastAsia="仿宋" w:cs="仿宋"/>
          <w:color w:val="auto"/>
          <w:sz w:val="24"/>
          <w:szCs w:val="24"/>
          <w:highlight w:val="none"/>
        </w:rPr>
      </w:pPr>
      <w:bookmarkStart w:id="445" w:name="_Toc422322503"/>
      <w:bookmarkStart w:id="446" w:name="_Toc419045087"/>
      <w:r>
        <w:rPr>
          <w:rStyle w:val="968"/>
          <w:rFonts w:hint="eastAsia" w:ascii="仿宋" w:hAnsi="仿宋" w:eastAsia="仿宋" w:cs="仿宋"/>
          <w:color w:val="auto"/>
          <w:sz w:val="24"/>
          <w:szCs w:val="24"/>
          <w:highlight w:val="none"/>
        </w:rPr>
        <w:t>5.1支付货币</w:t>
      </w:r>
      <w:bookmarkEnd w:id="445"/>
      <w:bookmarkEnd w:id="446"/>
    </w:p>
    <w:p>
      <w:pPr>
        <w:spacing w:line="360" w:lineRule="auto"/>
        <w:rPr>
          <w:rStyle w:val="968"/>
          <w:rFonts w:ascii="仿宋" w:hAnsi="仿宋" w:eastAsia="仿宋" w:cs="仿宋"/>
          <w:color w:val="auto"/>
          <w:sz w:val="24"/>
          <w:szCs w:val="24"/>
          <w:highlight w:val="none"/>
        </w:rPr>
      </w:pPr>
      <w:r>
        <w:rPr>
          <w:rFonts w:hint="eastAsia" w:ascii="仿宋" w:hAnsi="仿宋" w:eastAsia="仿宋" w:cs="仿宋"/>
          <w:color w:val="auto"/>
          <w:sz w:val="24"/>
          <w:highlight w:val="none"/>
        </w:rPr>
        <w:t>　　除专用条件另有约定外，酬金均以人民币支付。涉及外币支付的，所采用的货币种类和汇率等在专用条件中约定。</w:t>
      </w:r>
    </w:p>
    <w:p>
      <w:pPr>
        <w:pStyle w:val="48"/>
        <w:spacing w:after="120" w:line="360" w:lineRule="auto"/>
        <w:ind w:firstLine="482" w:firstLineChars="200"/>
        <w:jc w:val="left"/>
        <w:rPr>
          <w:rFonts w:ascii="仿宋" w:hAnsi="仿宋" w:eastAsia="仿宋" w:cs="仿宋"/>
          <w:color w:val="auto"/>
          <w:sz w:val="24"/>
          <w:szCs w:val="24"/>
          <w:highlight w:val="none"/>
        </w:rPr>
      </w:pPr>
      <w:bookmarkStart w:id="447" w:name="_Toc422322504"/>
      <w:r>
        <w:rPr>
          <w:rFonts w:hint="eastAsia" w:ascii="仿宋" w:hAnsi="仿宋" w:eastAsia="仿宋" w:cs="仿宋"/>
          <w:color w:val="auto"/>
          <w:sz w:val="24"/>
          <w:szCs w:val="24"/>
          <w:highlight w:val="none"/>
        </w:rPr>
        <w:t>5.2支付申请</w:t>
      </w:r>
      <w:bookmarkEnd w:id="447"/>
    </w:p>
    <w:p>
      <w:pPr>
        <w:spacing w:line="360" w:lineRule="auto"/>
        <w:rPr>
          <w:rStyle w:val="968"/>
          <w:rFonts w:ascii="仿宋" w:hAnsi="仿宋" w:eastAsia="仿宋" w:cs="仿宋"/>
          <w:color w:val="auto"/>
          <w:sz w:val="24"/>
          <w:szCs w:val="24"/>
          <w:highlight w:val="none"/>
        </w:rPr>
      </w:pPr>
      <w:r>
        <w:rPr>
          <w:rFonts w:hint="eastAsia" w:ascii="仿宋" w:hAnsi="仿宋" w:eastAsia="仿宋" w:cs="仿宋"/>
          <w:color w:val="auto"/>
          <w:sz w:val="24"/>
          <w:highlight w:val="none"/>
        </w:rPr>
        <w:t>　　咨询人应在本合同约定的每次应付款日期前，向委托人提交支付申请书，支付申请书的提交日期由双方在专用条件中约定。支付申请书应当说明当期应付款总额，并列出当期应支付的款项及其金额。</w:t>
      </w:r>
    </w:p>
    <w:p>
      <w:pPr>
        <w:pStyle w:val="48"/>
        <w:spacing w:after="120" w:line="360" w:lineRule="auto"/>
        <w:ind w:firstLine="482" w:firstLineChars="200"/>
        <w:jc w:val="left"/>
        <w:rPr>
          <w:rFonts w:ascii="仿宋" w:hAnsi="仿宋" w:eastAsia="仿宋" w:cs="仿宋"/>
          <w:color w:val="auto"/>
          <w:sz w:val="24"/>
          <w:szCs w:val="24"/>
          <w:highlight w:val="none"/>
        </w:rPr>
      </w:pPr>
      <w:bookmarkStart w:id="448" w:name="_Toc422322505"/>
      <w:r>
        <w:rPr>
          <w:rFonts w:hint="eastAsia" w:ascii="仿宋" w:hAnsi="仿宋" w:eastAsia="仿宋" w:cs="仿宋"/>
          <w:color w:val="auto"/>
          <w:sz w:val="24"/>
          <w:szCs w:val="24"/>
          <w:highlight w:val="none"/>
        </w:rPr>
        <w:t>5.3 支付酬金</w:t>
      </w:r>
      <w:bookmarkEnd w:id="448"/>
    </w:p>
    <w:p>
      <w:pPr>
        <w:spacing w:line="360" w:lineRule="auto"/>
        <w:rPr>
          <w:rStyle w:val="968"/>
          <w:rFonts w:ascii="仿宋" w:hAnsi="仿宋" w:eastAsia="仿宋" w:cs="仿宋"/>
          <w:color w:val="auto"/>
          <w:sz w:val="24"/>
          <w:szCs w:val="24"/>
          <w:highlight w:val="none"/>
        </w:rPr>
      </w:pPr>
      <w:r>
        <w:rPr>
          <w:rFonts w:hint="eastAsia" w:ascii="仿宋" w:hAnsi="仿宋" w:eastAsia="仿宋" w:cs="仿宋"/>
          <w:color w:val="auto"/>
          <w:sz w:val="24"/>
          <w:highlight w:val="none"/>
        </w:rPr>
        <w:t>　　支付酬金包括正常工作酬金、附加工作酬金、合理化建议奖励金额及费用。</w:t>
      </w:r>
    </w:p>
    <w:p>
      <w:pPr>
        <w:pStyle w:val="48"/>
        <w:spacing w:after="120" w:line="360" w:lineRule="auto"/>
        <w:ind w:firstLine="482" w:firstLineChars="200"/>
        <w:jc w:val="left"/>
        <w:rPr>
          <w:rFonts w:ascii="仿宋" w:hAnsi="仿宋" w:eastAsia="仿宋" w:cs="仿宋"/>
          <w:color w:val="auto"/>
          <w:sz w:val="24"/>
          <w:szCs w:val="24"/>
          <w:highlight w:val="none"/>
        </w:rPr>
      </w:pPr>
      <w:bookmarkStart w:id="449" w:name="_Toc422322506"/>
      <w:r>
        <w:rPr>
          <w:rFonts w:hint="eastAsia" w:ascii="仿宋" w:hAnsi="仿宋" w:eastAsia="仿宋" w:cs="仿宋"/>
          <w:color w:val="auto"/>
          <w:sz w:val="24"/>
          <w:szCs w:val="24"/>
          <w:highlight w:val="none"/>
        </w:rPr>
        <w:t>5.4有异议部分的支付</w:t>
      </w:r>
      <w:bookmarkEnd w:id="449"/>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委托人对咨询人提交的支付申请书有异议时，应当在收到咨询人提交的支付申请书后7日内，以书面形式向咨询人发出异议通知。无异议部分的款项应按期支付，有异议部分的款项按第7条约定办理。</w:t>
      </w:r>
    </w:p>
    <w:p>
      <w:pPr>
        <w:spacing w:line="360" w:lineRule="auto"/>
        <w:ind w:firstLine="482" w:firstLineChars="200"/>
        <w:rPr>
          <w:rStyle w:val="334"/>
          <w:rFonts w:ascii="仿宋" w:hAnsi="仿宋" w:eastAsia="仿宋" w:cs="仿宋"/>
          <w:color w:val="auto"/>
          <w:highlight w:val="none"/>
        </w:rPr>
      </w:pPr>
      <w:bookmarkStart w:id="450" w:name="_Toc422322507"/>
      <w:bookmarkStart w:id="451" w:name="_Toc419045088"/>
      <w:r>
        <w:rPr>
          <w:rStyle w:val="334"/>
          <w:rFonts w:hint="eastAsia" w:ascii="仿宋" w:hAnsi="仿宋" w:eastAsia="仿宋" w:cs="仿宋"/>
          <w:color w:val="auto"/>
          <w:highlight w:val="none"/>
        </w:rPr>
        <w:t>6.合同变更、解除与终止</w:t>
      </w:r>
      <w:bookmarkEnd w:id="450"/>
      <w:bookmarkEnd w:id="451"/>
    </w:p>
    <w:p>
      <w:pPr>
        <w:spacing w:line="360" w:lineRule="auto"/>
        <w:ind w:firstLine="480" w:firstLineChars="200"/>
        <w:rPr>
          <w:rFonts w:ascii="仿宋" w:hAnsi="仿宋" w:eastAsia="仿宋" w:cs="仿宋"/>
          <w:color w:val="auto"/>
          <w:sz w:val="24"/>
          <w:highlight w:val="none"/>
        </w:rPr>
      </w:pPr>
      <w:bookmarkStart w:id="452" w:name="_Toc419045089"/>
      <w:bookmarkStart w:id="453" w:name="_Toc422322508"/>
      <w:r>
        <w:rPr>
          <w:rStyle w:val="968"/>
          <w:rFonts w:hint="eastAsia" w:ascii="仿宋" w:hAnsi="仿宋" w:eastAsia="仿宋" w:cs="仿宋"/>
          <w:color w:val="auto"/>
          <w:sz w:val="24"/>
          <w:szCs w:val="24"/>
          <w:highlight w:val="none"/>
        </w:rPr>
        <w:t>6.1合同变更</w:t>
      </w:r>
      <w:bookmarkEnd w:id="452"/>
      <w:bookmarkEnd w:id="453"/>
      <w:r>
        <w:rPr>
          <w:rFonts w:hint="eastAsia" w:ascii="仿宋" w:hAnsi="仿宋" w:eastAsia="仿宋" w:cs="仿宋"/>
          <w:color w:val="auto"/>
          <w:sz w:val="24"/>
          <w:highlight w:val="none"/>
        </w:rPr>
        <w:t xml:space="preserve">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6.1.1 任何一方以书面形式提出变更请求时，双方经协商一致后可进行变更。</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6.1.2除不可抗力外，因非咨询人原因导致咨询人履行合同期限延长、内容增加时，咨询人应当将此情况与可能产生的影响及时通知委托人。增加的工作时间或工作内容应视为附加工作。附加工作酬金的确定方法由双方根据委托的服务范围及工作内容在专用条件中约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6.1.3合同履行过程中，遇有与工程相关的法律法规、强制性标准颁布或修订的，双方应遵照执行。非强制性标准、规范、定额等发生变化的，双方协商确定执行依据。由此引起造价咨询的服务范围及内容、服务期限、酬金变化的，双方应通过协商确定。</w:t>
      </w:r>
    </w:p>
    <w:p>
      <w:pPr>
        <w:spacing w:line="360" w:lineRule="auto"/>
        <w:ind w:firstLine="480" w:firstLineChars="200"/>
        <w:rPr>
          <w:rStyle w:val="968"/>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6.1.4 因工程规模、服务范围及工作内容的变化等导致咨询人的工作量增减时，服务酬金应作相应调整，调整方法由双方在专用条件中约定。</w:t>
      </w:r>
      <w:bookmarkStart w:id="454" w:name="_Toc422322509"/>
      <w:bookmarkStart w:id="455" w:name="_Toc419045090"/>
    </w:p>
    <w:p>
      <w:pPr>
        <w:spacing w:line="360" w:lineRule="auto"/>
        <w:ind w:firstLine="480" w:firstLineChars="200"/>
        <w:rPr>
          <w:rStyle w:val="968"/>
          <w:rFonts w:ascii="仿宋" w:hAnsi="仿宋" w:eastAsia="仿宋" w:cs="仿宋"/>
          <w:color w:val="auto"/>
          <w:sz w:val="24"/>
          <w:szCs w:val="24"/>
          <w:highlight w:val="none"/>
        </w:rPr>
      </w:pPr>
      <w:r>
        <w:rPr>
          <w:rStyle w:val="968"/>
          <w:rFonts w:hint="eastAsia" w:ascii="仿宋" w:hAnsi="仿宋" w:eastAsia="仿宋" w:cs="仿宋"/>
          <w:color w:val="auto"/>
          <w:sz w:val="24"/>
          <w:szCs w:val="24"/>
          <w:highlight w:val="none"/>
        </w:rPr>
        <w:t>6.2合同解除</w:t>
      </w:r>
      <w:bookmarkEnd w:id="454"/>
      <w:bookmarkEnd w:id="455"/>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6.2.1 委托人与咨询人协商一致，可以解除合同。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6.2.2 有下列情形之一的，合同当事人一方或双方可以解除合同：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（1）咨询人将本合同约定的工程造价咨询服务工作全部或部分转包给他人，委托人可以解除合同；【风险提示：本合同第8页《投标人须知》提及可以部分分包，请确认。】</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（2）咨询人提供的造价咨询服务不符合合同约定的要求，经委托人催告仍不能达到合同约定要求的，委托人可以解除合同；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（3）委托人未按合同约定支付服务酬金，经咨询人催告后，在28天内仍未支付的，咨询人可以解除合同；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（4）因不可抗力致使合同无法履行；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（5）因一方违约致使合同无法实际履行或实际履行已无必要。</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除上述情形外，双方可以根据委托的服务范围及工作内容，在专用条件中约定解除合同的其他条件。</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6.2.3 任何一方提出解除合同的，应提前30天书面通知对方。</w:t>
      </w:r>
    </w:p>
    <w:p>
      <w:pPr>
        <w:spacing w:line="360" w:lineRule="auto"/>
        <w:ind w:firstLine="465"/>
        <w:rPr>
          <w:rFonts w:ascii="仿宋" w:hAnsi="仿宋" w:eastAsia="仿宋" w:cs="仿宋"/>
          <w:color w:val="auto"/>
          <w:sz w:val="24"/>
          <w:highlight w:val="none"/>
        </w:rPr>
      </w:pPr>
      <w:r>
        <w:rPr>
          <w:rFonts w:hint="eastAsia" w:ascii="仿宋" w:hAnsi="仿宋" w:eastAsia="仿宋" w:cs="仿宋"/>
          <w:color w:val="auto"/>
          <w:sz w:val="24"/>
          <w:highlight w:val="none"/>
        </w:rPr>
        <w:t>6.2.4合同解除后，委托人应按照合同约定向咨询人支付已完成部分的咨询服务酬金。</w:t>
      </w:r>
    </w:p>
    <w:p>
      <w:pPr>
        <w:spacing w:line="360" w:lineRule="auto"/>
        <w:ind w:firstLine="465"/>
        <w:rPr>
          <w:rFonts w:ascii="仿宋" w:hAnsi="仿宋" w:eastAsia="仿宋" w:cs="仿宋"/>
          <w:color w:val="auto"/>
          <w:sz w:val="24"/>
          <w:highlight w:val="none"/>
        </w:rPr>
      </w:pPr>
      <w:r>
        <w:rPr>
          <w:rFonts w:hint="eastAsia" w:ascii="仿宋" w:hAnsi="仿宋" w:eastAsia="仿宋" w:cs="仿宋"/>
          <w:color w:val="auto"/>
          <w:sz w:val="24"/>
          <w:highlight w:val="none"/>
        </w:rPr>
        <w:t>因不可抗力导致的合同解除，其损失的分担按照合理分担的原则由合同当事人在专用条件中自行约定。除不可抗力外因非咨询人原因导致的合同解除，其损失由委托人承担。因咨询人自身原因导致的合同解除，按照违约责任处理。</w:t>
      </w:r>
    </w:p>
    <w:p>
      <w:pPr>
        <w:spacing w:line="360" w:lineRule="auto"/>
        <w:ind w:firstLine="480" w:firstLineChars="200"/>
        <w:rPr>
          <w:rFonts w:ascii="仿宋" w:hAnsi="仿宋" w:eastAsia="仿宋" w:cs="仿宋"/>
          <w:smallCaps/>
          <w:color w:val="auto"/>
          <w:sz w:val="24"/>
          <w:highlight w:val="none"/>
        </w:rPr>
      </w:pPr>
      <w:r>
        <w:rPr>
          <w:rFonts w:hint="eastAsia" w:ascii="仿宋" w:hAnsi="仿宋" w:eastAsia="仿宋" w:cs="仿宋"/>
          <w:color w:val="auto"/>
          <w:sz w:val="24"/>
          <w:highlight w:val="none"/>
        </w:rPr>
        <w:t>6.2.5本合同解除后，本合同约定的有关结算、争议解决方式的条款仍然有效。</w:t>
      </w:r>
    </w:p>
    <w:p>
      <w:pPr>
        <w:spacing w:line="360" w:lineRule="auto"/>
        <w:ind w:firstLine="480" w:firstLineChars="200"/>
        <w:rPr>
          <w:rStyle w:val="968"/>
          <w:rFonts w:ascii="仿宋" w:hAnsi="仿宋" w:eastAsia="仿宋" w:cs="仿宋"/>
          <w:color w:val="auto"/>
          <w:sz w:val="24"/>
          <w:szCs w:val="24"/>
          <w:highlight w:val="none"/>
        </w:rPr>
      </w:pPr>
      <w:bookmarkStart w:id="456" w:name="_Toc422322510"/>
      <w:r>
        <w:rPr>
          <w:rStyle w:val="968"/>
          <w:rFonts w:hint="eastAsia" w:ascii="仿宋" w:hAnsi="仿宋" w:eastAsia="仿宋" w:cs="仿宋"/>
          <w:color w:val="auto"/>
          <w:sz w:val="24"/>
          <w:szCs w:val="24"/>
          <w:highlight w:val="none"/>
        </w:rPr>
        <w:t>6.3 合同终止</w:t>
      </w:r>
      <w:bookmarkEnd w:id="456"/>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bCs/>
          <w:smallCaps/>
          <w:color w:val="auto"/>
          <w:sz w:val="24"/>
          <w:highlight w:val="none"/>
        </w:rPr>
        <w:t>　　</w:t>
      </w:r>
      <w:r>
        <w:rPr>
          <w:rFonts w:hint="eastAsia" w:ascii="仿宋" w:hAnsi="仿宋" w:eastAsia="仿宋" w:cs="仿宋"/>
          <w:bCs/>
          <w:smallCaps/>
          <w:color w:val="auto"/>
          <w:sz w:val="24"/>
          <w:highlight w:val="none"/>
        </w:rPr>
        <w:t>除合同解除外，以下条</w:t>
      </w:r>
      <w:r>
        <w:rPr>
          <w:rFonts w:hint="eastAsia" w:ascii="仿宋" w:hAnsi="仿宋" w:eastAsia="仿宋" w:cs="仿宋"/>
          <w:color w:val="auto"/>
          <w:sz w:val="24"/>
          <w:highlight w:val="none"/>
        </w:rPr>
        <w:t>件全部满足时，本合同终止：</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（1）咨询人完成本合同约定的全部工作；</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（2）委托人与咨询人结清并支付酬金；</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（3）咨询人将委托人提供的资料交还。</w:t>
      </w:r>
    </w:p>
    <w:p>
      <w:pPr>
        <w:spacing w:line="360" w:lineRule="auto"/>
        <w:ind w:firstLine="482" w:firstLineChars="200"/>
        <w:rPr>
          <w:rStyle w:val="334"/>
          <w:rFonts w:ascii="仿宋" w:hAnsi="仿宋" w:eastAsia="仿宋" w:cs="仿宋"/>
          <w:color w:val="auto"/>
          <w:highlight w:val="none"/>
        </w:rPr>
      </w:pPr>
      <w:bookmarkStart w:id="457" w:name="_Toc419045091"/>
      <w:bookmarkStart w:id="458" w:name="_Toc422322511"/>
      <w:r>
        <w:rPr>
          <w:rStyle w:val="334"/>
          <w:rFonts w:hint="eastAsia" w:ascii="仿宋" w:hAnsi="仿宋" w:eastAsia="仿宋" w:cs="仿宋"/>
          <w:color w:val="auto"/>
          <w:highlight w:val="none"/>
        </w:rPr>
        <w:t>7.争议解决</w:t>
      </w:r>
      <w:bookmarkEnd w:id="439"/>
      <w:bookmarkEnd w:id="457"/>
      <w:bookmarkEnd w:id="458"/>
    </w:p>
    <w:p>
      <w:pPr>
        <w:pStyle w:val="781"/>
        <w:spacing w:line="360" w:lineRule="auto"/>
        <w:ind w:firstLine="480" w:firstLineChars="200"/>
        <w:rPr>
          <w:rStyle w:val="968"/>
          <w:rFonts w:ascii="仿宋" w:hAnsi="仿宋" w:eastAsia="仿宋" w:cs="仿宋"/>
          <w:smallCaps/>
          <w:color w:val="auto"/>
          <w:sz w:val="24"/>
          <w:szCs w:val="24"/>
          <w:highlight w:val="none"/>
        </w:rPr>
      </w:pPr>
      <w:bookmarkStart w:id="459" w:name="_Toc419045092"/>
      <w:bookmarkStart w:id="460" w:name="_Toc422322512"/>
      <w:r>
        <w:rPr>
          <w:rStyle w:val="968"/>
          <w:rFonts w:hint="eastAsia" w:ascii="仿宋" w:hAnsi="仿宋" w:eastAsia="仿宋" w:cs="仿宋"/>
          <w:smallCaps/>
          <w:color w:val="auto"/>
          <w:sz w:val="24"/>
          <w:szCs w:val="24"/>
          <w:highlight w:val="none"/>
        </w:rPr>
        <w:t>7.1协商</w:t>
      </w:r>
      <w:bookmarkEnd w:id="459"/>
      <w:bookmarkEnd w:id="460"/>
    </w:p>
    <w:p>
      <w:pPr>
        <w:pStyle w:val="781"/>
        <w:spacing w:line="360" w:lineRule="auto"/>
        <w:ind w:firstLine="42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　　双方应本着诚实信用的原则协商解决本合同履行过程中发生的争议。</w:t>
      </w:r>
      <w:bookmarkStart w:id="461" w:name="37"/>
    </w:p>
    <w:p>
      <w:pPr>
        <w:pStyle w:val="781"/>
        <w:spacing w:line="360" w:lineRule="auto"/>
        <w:ind w:firstLine="480" w:firstLineChars="200"/>
        <w:rPr>
          <w:rStyle w:val="968"/>
          <w:rFonts w:ascii="仿宋" w:hAnsi="仿宋" w:eastAsia="仿宋" w:cs="仿宋"/>
          <w:smallCaps/>
          <w:color w:val="auto"/>
          <w:sz w:val="24"/>
          <w:szCs w:val="24"/>
          <w:highlight w:val="none"/>
        </w:rPr>
      </w:pPr>
      <w:bookmarkStart w:id="462" w:name="_Toc419045093"/>
      <w:bookmarkStart w:id="463" w:name="_Toc422322513"/>
      <w:r>
        <w:rPr>
          <w:rStyle w:val="968"/>
          <w:rFonts w:hint="eastAsia" w:ascii="仿宋" w:hAnsi="仿宋" w:eastAsia="仿宋" w:cs="仿宋"/>
          <w:smallCaps/>
          <w:color w:val="auto"/>
          <w:sz w:val="24"/>
          <w:szCs w:val="24"/>
          <w:highlight w:val="none"/>
        </w:rPr>
        <w:t>7.2</w:t>
      </w:r>
      <w:bookmarkEnd w:id="461"/>
      <w:r>
        <w:rPr>
          <w:rStyle w:val="968"/>
          <w:rFonts w:hint="eastAsia" w:ascii="仿宋" w:hAnsi="仿宋" w:eastAsia="仿宋" w:cs="仿宋"/>
          <w:smallCaps/>
          <w:color w:val="auto"/>
          <w:sz w:val="24"/>
          <w:szCs w:val="24"/>
          <w:highlight w:val="none"/>
        </w:rPr>
        <w:t>调解</w:t>
      </w:r>
      <w:bookmarkEnd w:id="462"/>
      <w:bookmarkEnd w:id="463"/>
    </w:p>
    <w:p>
      <w:pPr>
        <w:pStyle w:val="781"/>
        <w:spacing w:line="360" w:lineRule="auto"/>
        <w:ind w:firstLine="420" w:firstLineChars="200"/>
        <w:rPr>
          <w:rFonts w:ascii="仿宋" w:hAnsi="仿宋" w:eastAsia="仿宋" w:cs="仿宋"/>
          <w:b/>
          <w:bCs/>
          <w:color w:val="auto"/>
          <w:szCs w:val="24"/>
          <w:highlight w:val="none"/>
        </w:rPr>
      </w:pPr>
      <w:r>
        <w:rPr>
          <w:rFonts w:hint="eastAsia" w:ascii="仿宋" w:hAnsi="仿宋" w:eastAsia="仿宋" w:cs="仿宋"/>
          <w:color w:val="auto"/>
          <w:szCs w:val="24"/>
          <w:highlight w:val="none"/>
        </w:rPr>
        <w:t>　　如果双方不能在14日内或双方商定的其他时间内解决本合同争议，可以将其提交给专用条件约定的或事后达成协议的调解人进行调解。</w:t>
      </w:r>
    </w:p>
    <w:p>
      <w:pPr>
        <w:spacing w:line="360" w:lineRule="auto"/>
        <w:ind w:firstLine="480" w:firstLineChars="200"/>
        <w:rPr>
          <w:rStyle w:val="968"/>
          <w:rFonts w:ascii="仿宋" w:hAnsi="仿宋" w:eastAsia="仿宋" w:cs="仿宋"/>
          <w:smallCaps/>
          <w:color w:val="auto"/>
          <w:sz w:val="24"/>
          <w:szCs w:val="24"/>
          <w:highlight w:val="none"/>
        </w:rPr>
      </w:pPr>
      <w:bookmarkStart w:id="464" w:name="38"/>
      <w:bookmarkStart w:id="465" w:name="_Toc422322514"/>
      <w:bookmarkStart w:id="466" w:name="_Toc419045094"/>
      <w:r>
        <w:rPr>
          <w:rStyle w:val="968"/>
          <w:rFonts w:hint="eastAsia" w:ascii="仿宋" w:hAnsi="仿宋" w:eastAsia="仿宋" w:cs="仿宋"/>
          <w:smallCaps/>
          <w:color w:val="auto"/>
          <w:sz w:val="24"/>
          <w:szCs w:val="24"/>
          <w:highlight w:val="none"/>
        </w:rPr>
        <w:t>7.</w:t>
      </w:r>
      <w:bookmarkEnd w:id="464"/>
      <w:r>
        <w:rPr>
          <w:rStyle w:val="968"/>
          <w:rFonts w:hint="eastAsia" w:ascii="仿宋" w:hAnsi="仿宋" w:eastAsia="仿宋" w:cs="仿宋"/>
          <w:smallCaps/>
          <w:color w:val="auto"/>
          <w:sz w:val="24"/>
          <w:szCs w:val="24"/>
          <w:highlight w:val="none"/>
        </w:rPr>
        <w:t>3仲裁或诉讼</w:t>
      </w:r>
      <w:bookmarkEnd w:id="465"/>
      <w:bookmarkEnd w:id="466"/>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双方均有权不经调解直接向专用条件约定的仲裁机构申请仲裁或向有管辖权的人民法院提起诉讼。</w:t>
      </w:r>
    </w:p>
    <w:p>
      <w:pPr>
        <w:spacing w:line="360" w:lineRule="auto"/>
        <w:ind w:firstLine="482" w:firstLineChars="200"/>
        <w:rPr>
          <w:rStyle w:val="334"/>
          <w:rFonts w:ascii="仿宋" w:hAnsi="仿宋" w:eastAsia="仿宋" w:cs="仿宋"/>
          <w:color w:val="auto"/>
          <w:highlight w:val="none"/>
        </w:rPr>
      </w:pPr>
      <w:bookmarkStart w:id="467" w:name="_Toc422322515"/>
      <w:bookmarkStart w:id="468" w:name="_Toc419045095"/>
      <w:r>
        <w:rPr>
          <w:rStyle w:val="334"/>
          <w:rFonts w:hint="eastAsia" w:ascii="仿宋" w:hAnsi="仿宋" w:eastAsia="仿宋" w:cs="仿宋"/>
          <w:color w:val="auto"/>
          <w:highlight w:val="none"/>
        </w:rPr>
        <w:t>8.其他</w:t>
      </w:r>
      <w:bookmarkEnd w:id="467"/>
      <w:bookmarkEnd w:id="468"/>
    </w:p>
    <w:p>
      <w:pPr>
        <w:pStyle w:val="48"/>
        <w:spacing w:after="120" w:line="360" w:lineRule="auto"/>
        <w:ind w:firstLine="482" w:firstLineChars="200"/>
        <w:jc w:val="left"/>
        <w:rPr>
          <w:rFonts w:ascii="仿宋" w:hAnsi="仿宋" w:eastAsia="仿宋" w:cs="仿宋"/>
          <w:color w:val="auto"/>
          <w:sz w:val="24"/>
          <w:szCs w:val="24"/>
          <w:highlight w:val="none"/>
        </w:rPr>
      </w:pPr>
      <w:bookmarkStart w:id="469" w:name="39"/>
      <w:bookmarkStart w:id="470" w:name="_Toc419045096"/>
      <w:bookmarkStart w:id="471" w:name="_Toc422322516"/>
      <w:r>
        <w:rPr>
          <w:rFonts w:hint="eastAsia" w:ascii="仿宋" w:hAnsi="仿宋" w:eastAsia="仿宋" w:cs="仿宋"/>
          <w:smallCaps/>
          <w:color w:val="auto"/>
          <w:sz w:val="24"/>
          <w:szCs w:val="24"/>
          <w:highlight w:val="none"/>
        </w:rPr>
        <w:t>8.1</w:t>
      </w:r>
      <w:bookmarkEnd w:id="469"/>
      <w:r>
        <w:rPr>
          <w:rFonts w:hint="eastAsia" w:ascii="仿宋" w:hAnsi="仿宋" w:eastAsia="仿宋" w:cs="仿宋"/>
          <w:color w:val="auto"/>
          <w:sz w:val="24"/>
          <w:szCs w:val="24"/>
          <w:highlight w:val="none"/>
        </w:rPr>
        <w:t>考察及相关费用</w:t>
      </w:r>
      <w:bookmarkEnd w:id="470"/>
      <w:bookmarkEnd w:id="471"/>
    </w:p>
    <w:p>
      <w:pPr>
        <w:spacing w:line="360" w:lineRule="auto"/>
        <w:ind w:firstLine="480" w:firstLineChars="200"/>
        <w:rPr>
          <w:rStyle w:val="968"/>
          <w:rFonts w:ascii="仿宋" w:hAnsi="仿宋" w:eastAsia="仿宋" w:cs="仿宋"/>
          <w:color w:val="auto"/>
          <w:sz w:val="24"/>
          <w:szCs w:val="24"/>
          <w:highlight w:val="none"/>
        </w:rPr>
      </w:pPr>
      <w:r>
        <w:rPr>
          <w:rFonts w:hint="eastAsia" w:ascii="仿宋" w:hAnsi="仿宋" w:eastAsia="仿宋" w:cs="仿宋"/>
          <w:color w:val="auto"/>
          <w:sz w:val="24"/>
          <w:highlight w:val="none"/>
        </w:rPr>
        <w:t>除专用条件另有约定外，咨询人经委托人同意进行考察发生的费用由委托人审核后另行支付。差旅费及相关费用的承担由双方在专用条件中约定。</w:t>
      </w:r>
    </w:p>
    <w:p>
      <w:pPr>
        <w:pStyle w:val="48"/>
        <w:spacing w:after="120" w:line="360" w:lineRule="auto"/>
        <w:ind w:firstLine="482" w:firstLineChars="200"/>
        <w:jc w:val="left"/>
        <w:rPr>
          <w:rFonts w:ascii="仿宋" w:hAnsi="仿宋" w:eastAsia="仿宋" w:cs="仿宋"/>
          <w:color w:val="auto"/>
          <w:sz w:val="24"/>
          <w:szCs w:val="24"/>
          <w:highlight w:val="none"/>
        </w:rPr>
      </w:pPr>
      <w:bookmarkStart w:id="472" w:name="_Toc422322517"/>
      <w:r>
        <w:rPr>
          <w:rFonts w:hint="eastAsia" w:ascii="仿宋" w:hAnsi="仿宋" w:eastAsia="仿宋" w:cs="仿宋"/>
          <w:color w:val="auto"/>
          <w:sz w:val="24"/>
          <w:szCs w:val="24"/>
          <w:highlight w:val="none"/>
        </w:rPr>
        <w:t>8.2奖励</w:t>
      </w:r>
      <w:bookmarkEnd w:id="472"/>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对于咨询人在服务过程中提出合理化建议，使委托人获得效益的，双方在专用条件中约定奖励金额的确定方法。奖励金额在合理化建议被采纳后，与最近一期的正常工作酬金同期支付。</w:t>
      </w:r>
    </w:p>
    <w:p>
      <w:pPr>
        <w:pStyle w:val="48"/>
        <w:spacing w:after="120" w:line="360" w:lineRule="auto"/>
        <w:ind w:firstLine="482" w:firstLineChars="200"/>
        <w:jc w:val="left"/>
        <w:rPr>
          <w:rFonts w:ascii="仿宋" w:hAnsi="仿宋" w:eastAsia="仿宋" w:cs="仿宋"/>
          <w:color w:val="auto"/>
          <w:sz w:val="24"/>
          <w:szCs w:val="24"/>
          <w:highlight w:val="none"/>
        </w:rPr>
      </w:pPr>
      <w:bookmarkStart w:id="473" w:name="_Toc422322518"/>
      <w:r>
        <w:rPr>
          <w:rFonts w:hint="eastAsia" w:ascii="仿宋" w:hAnsi="仿宋" w:eastAsia="仿宋" w:cs="仿宋"/>
          <w:color w:val="auto"/>
          <w:sz w:val="24"/>
          <w:szCs w:val="24"/>
          <w:highlight w:val="none"/>
        </w:rPr>
        <w:t>8.3保密</w:t>
      </w:r>
      <w:bookmarkEnd w:id="473"/>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在本合同履行期间或专用条件约定的期限内，双方不得泄露对方申明的保密资料，亦不得泄露与实施工程有关的第三人所提供的保密资料。保密事项在专用条件中约定。</w:t>
      </w:r>
    </w:p>
    <w:p>
      <w:pPr>
        <w:spacing w:line="360" w:lineRule="auto"/>
        <w:rPr>
          <w:rFonts w:ascii="仿宋" w:hAnsi="仿宋" w:eastAsia="仿宋" w:cs="仿宋"/>
          <w:b/>
          <w:color w:val="auto"/>
          <w:sz w:val="24"/>
          <w:highlight w:val="none"/>
        </w:rPr>
      </w:pPr>
      <w:r>
        <w:rPr>
          <w:rFonts w:hint="eastAsia" w:ascii="仿宋" w:hAnsi="仿宋" w:eastAsia="仿宋" w:cs="仿宋"/>
          <w:bCs/>
          <w:smallCaps/>
          <w:color w:val="auto"/>
          <w:sz w:val="24"/>
          <w:highlight w:val="none"/>
        </w:rPr>
        <w:t xml:space="preserve">　　 </w:t>
      </w:r>
      <w:bookmarkStart w:id="474" w:name="_Toc419045097"/>
      <w:bookmarkStart w:id="475" w:name="_Toc422322519"/>
      <w:r>
        <w:rPr>
          <w:rStyle w:val="968"/>
          <w:rFonts w:hint="eastAsia" w:ascii="仿宋" w:hAnsi="仿宋" w:eastAsia="仿宋" w:cs="仿宋"/>
          <w:color w:val="auto"/>
          <w:sz w:val="24"/>
          <w:szCs w:val="24"/>
          <w:highlight w:val="none"/>
        </w:rPr>
        <w:t>8.4</w:t>
      </w:r>
      <w:bookmarkEnd w:id="474"/>
      <w:r>
        <w:rPr>
          <w:rStyle w:val="968"/>
          <w:rFonts w:hint="eastAsia" w:ascii="仿宋" w:hAnsi="仿宋" w:eastAsia="仿宋" w:cs="仿宋"/>
          <w:color w:val="auto"/>
          <w:sz w:val="24"/>
          <w:szCs w:val="24"/>
          <w:highlight w:val="none"/>
        </w:rPr>
        <w:t>联络</w:t>
      </w:r>
      <w:bookmarkEnd w:id="475"/>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8.4.1与合同有关的通知、指示、要求、决定等，均应采用书面形式，并应在专用条件约定的期限内送达接收人和送达地点。</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8.4.2委托人和咨询人应在专用条件中约定各自的送达接收人、送达地点、电子邮箱。任何一方指定的接收人或送达地点或电子邮箱发生变动的，应提前3天以书面形式通知对方，否则视为未发生变动。</w:t>
      </w:r>
    </w:p>
    <w:p>
      <w:pPr>
        <w:tabs>
          <w:tab w:val="left" w:pos="5085"/>
        </w:tabs>
        <w:spacing w:line="360" w:lineRule="auto"/>
        <w:ind w:firstLine="480" w:firstLineChars="200"/>
        <w:rPr>
          <w:rStyle w:val="968"/>
          <w:rFonts w:ascii="仿宋" w:hAnsi="仿宋" w:eastAsia="仿宋" w:cs="仿宋"/>
          <w:color w:val="auto"/>
          <w:sz w:val="24"/>
          <w:szCs w:val="24"/>
          <w:highlight w:val="none"/>
        </w:rPr>
      </w:pPr>
      <w:r>
        <w:rPr>
          <w:rFonts w:hint="eastAsia" w:ascii="仿宋" w:hAnsi="仿宋" w:eastAsia="仿宋" w:cs="仿宋"/>
          <w:color w:val="auto"/>
          <w:sz w:val="24"/>
          <w:highlight w:val="none"/>
        </w:rPr>
        <w:t>8.4.3委托人和咨询人应当及时签收另一方送达至送达地点和指定接收人的往来函件，如确有充分证据证明一方无正当理由拒不签收的，视为认可往来函件的内容。</w:t>
      </w:r>
    </w:p>
    <w:p>
      <w:pPr>
        <w:pStyle w:val="48"/>
        <w:spacing w:after="120" w:line="360" w:lineRule="auto"/>
        <w:ind w:firstLine="482" w:firstLineChars="200"/>
        <w:jc w:val="left"/>
        <w:rPr>
          <w:rFonts w:ascii="仿宋" w:hAnsi="仿宋" w:eastAsia="仿宋" w:cs="仿宋"/>
          <w:color w:val="auto"/>
          <w:sz w:val="24"/>
          <w:szCs w:val="24"/>
          <w:highlight w:val="none"/>
        </w:rPr>
      </w:pPr>
      <w:bookmarkStart w:id="476" w:name="_Toc422322520"/>
      <w:r>
        <w:rPr>
          <w:rFonts w:hint="eastAsia" w:ascii="仿宋" w:hAnsi="仿宋" w:eastAsia="仿宋" w:cs="仿宋"/>
          <w:color w:val="auto"/>
          <w:sz w:val="24"/>
          <w:szCs w:val="24"/>
          <w:highlight w:val="none"/>
        </w:rPr>
        <w:t>8.5知识产权</w:t>
      </w:r>
      <w:bookmarkEnd w:id="476"/>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专用条件另有约定外，委托人提供给咨询人的图纸、委托人为实施工程自行编制或委托编制的技术规范以及反映委托人要求的或其他类似性质文件的著作权属于委托人，咨询人可以为实现本合同目的而复制或者以其他方式使用此类文件，但不能用于与本合同无关的其他事项。未经委托人书面同意，咨询人不得为了本合同以外的目的而复制或者以其他方式使用上述文件或将之提供给任何第三方。</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专用条件另有约定外，咨询人为履行本合同约定而编制的成果文件，其著作权属于咨询人。委托人可以为实现合同目的而复制、使用此类文件，但不能擅自修改或用于与本合同无关的其他事项。未经咨询人书面同意，委托人不得为了本合同以外的目的而复制或者以其他方式使用上述文件或将之提供给任何第三方。</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双方保证在履行本合同过程中不侵犯对方及第三方的知识产权。因咨询人侵犯他人知识产权所引起的责任，由咨询人承担；因委托人提供的基础资料导致侵权的，由委托人承担责任。</w:t>
      </w:r>
    </w:p>
    <w:p>
      <w:pPr>
        <w:spacing w:line="360" w:lineRule="auto"/>
        <w:ind w:firstLine="480" w:firstLineChars="200"/>
        <w:rPr>
          <w:rFonts w:ascii="仿宋" w:hAnsi="仿宋" w:eastAsia="仿宋" w:cs="仿宋"/>
          <w:b/>
          <w:bCs/>
          <w:color w:val="auto"/>
          <w:sz w:val="24"/>
          <w:highlight w:val="none"/>
        </w:rPr>
      </w:pPr>
      <w:r>
        <w:rPr>
          <w:rFonts w:hint="eastAsia" w:ascii="仿宋" w:hAnsi="仿宋" w:eastAsia="仿宋" w:cs="仿宋"/>
          <w:color w:val="auto"/>
          <w:sz w:val="24"/>
          <w:highlight w:val="none"/>
        </w:rPr>
        <w:t>除专用条件另有约定外，双方均有权在履行本合同保密义务并且不损害对方利益的情况下，将履行本合同形成的有关成果文件用于企业宣传、申报奖项以及接受上级主管部门的检查。</w:t>
      </w:r>
    </w:p>
    <w:p>
      <w:pPr>
        <w:spacing w:line="360" w:lineRule="auto"/>
        <w:ind w:firstLine="120" w:firstLineChars="50"/>
        <w:jc w:val="center"/>
        <w:outlineLvl w:val="2"/>
        <w:rPr>
          <w:rFonts w:ascii="仿宋" w:hAnsi="仿宋" w:eastAsia="仿宋" w:cs="仿宋"/>
          <w:b/>
          <w:bCs/>
          <w:color w:val="auto"/>
          <w:sz w:val="24"/>
          <w:highlight w:val="none"/>
        </w:rPr>
      </w:pPr>
      <w:bookmarkStart w:id="477" w:name="_Toc35366005"/>
      <w:r>
        <w:rPr>
          <w:rFonts w:hint="eastAsia" w:ascii="仿宋" w:hAnsi="仿宋" w:eastAsia="仿宋" w:cs="仿宋"/>
          <w:b/>
          <w:bCs/>
          <w:color w:val="auto"/>
          <w:sz w:val="24"/>
          <w:highlight w:val="none"/>
        </w:rPr>
        <w:t>第三部分：专用条件</w:t>
      </w:r>
      <w:bookmarkEnd w:id="477"/>
    </w:p>
    <w:p>
      <w:pPr>
        <w:rPr>
          <w:rFonts w:ascii="仿宋" w:hAnsi="仿宋" w:eastAsia="仿宋" w:cs="仿宋"/>
          <w:color w:val="auto"/>
          <w:sz w:val="24"/>
          <w:highlight w:val="none"/>
        </w:rPr>
      </w:pPr>
    </w:p>
    <w:p>
      <w:pPr>
        <w:pStyle w:val="4"/>
        <w:tabs>
          <w:tab w:val="left" w:pos="1041"/>
          <w:tab w:val="clear" w:pos="900"/>
        </w:tabs>
        <w:snapToGrid w:val="0"/>
        <w:spacing w:line="440" w:lineRule="exact"/>
        <w:jc w:val="center"/>
        <w:rPr>
          <w:rFonts w:ascii="仿宋" w:hAnsi="仿宋" w:eastAsia="仿宋" w:cs="仿宋"/>
          <w:color w:val="auto"/>
          <w:sz w:val="24"/>
          <w:szCs w:val="24"/>
          <w:highlight w:val="none"/>
        </w:rPr>
      </w:pPr>
      <w:bookmarkStart w:id="478" w:name="_Toc528528897"/>
      <w:bookmarkStart w:id="479" w:name="_Toc528529047"/>
      <w:bookmarkStart w:id="480" w:name="_Toc35366006"/>
      <w:r>
        <w:rPr>
          <w:rFonts w:hint="eastAsia" w:ascii="仿宋" w:hAnsi="仿宋" w:eastAsia="仿宋" w:cs="仿宋"/>
          <w:color w:val="auto"/>
          <w:sz w:val="24"/>
          <w:szCs w:val="24"/>
          <w:highlight w:val="none"/>
        </w:rPr>
        <w:t>1.词语定义、语言、解释顺序与适用法律</w:t>
      </w:r>
      <w:bookmarkEnd w:id="478"/>
      <w:bookmarkEnd w:id="479"/>
      <w:bookmarkEnd w:id="480"/>
    </w:p>
    <w:p>
      <w:pPr>
        <w:pStyle w:val="24"/>
        <w:tabs>
          <w:tab w:val="left" w:pos="8407"/>
        </w:tabs>
        <w:snapToGrid w:val="0"/>
        <w:spacing w:line="440" w:lineRule="exact"/>
        <w:rPr>
          <w:rFonts w:ascii="仿宋" w:hAnsi="仿宋" w:eastAsia="仿宋" w:cs="仿宋"/>
          <w:color w:val="auto"/>
          <w:highlight w:val="none"/>
        </w:rPr>
      </w:pPr>
      <w:r>
        <w:rPr>
          <w:rFonts w:hint="eastAsia" w:ascii="仿宋" w:hAnsi="仿宋" w:eastAsia="仿宋" w:cs="仿宋"/>
          <w:color w:val="auto"/>
          <w:highlight w:val="none"/>
        </w:rPr>
        <w:t>1.2语言</w:t>
      </w:r>
    </w:p>
    <w:p>
      <w:pPr>
        <w:pStyle w:val="24"/>
        <w:tabs>
          <w:tab w:val="left" w:pos="8407"/>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本合同文件除使用中文外，还可用</w:t>
      </w:r>
      <w:r>
        <w:rPr>
          <w:rFonts w:hint="eastAsia" w:ascii="仿宋" w:hAnsi="仿宋" w:eastAsia="仿宋" w:cs="仿宋"/>
          <w:color w:val="auto"/>
          <w:highlight w:val="none"/>
          <w:u w:val="single"/>
        </w:rPr>
        <w:t xml:space="preserve"> /   </w:t>
      </w:r>
      <w:r>
        <w:rPr>
          <w:rFonts w:hint="eastAsia" w:ascii="仿宋" w:hAnsi="仿宋" w:eastAsia="仿宋" w:cs="仿宋"/>
          <w:color w:val="auto"/>
          <w:highlight w:val="none"/>
        </w:rPr>
        <w:t xml:space="preserve">。 </w:t>
      </w:r>
    </w:p>
    <w:p>
      <w:pPr>
        <w:pStyle w:val="24"/>
        <w:tabs>
          <w:tab w:val="left" w:pos="8407"/>
        </w:tabs>
        <w:snapToGrid w:val="0"/>
        <w:spacing w:line="440" w:lineRule="exact"/>
        <w:rPr>
          <w:rFonts w:ascii="仿宋" w:hAnsi="仿宋" w:eastAsia="仿宋" w:cs="仿宋"/>
          <w:color w:val="auto"/>
          <w:highlight w:val="none"/>
        </w:rPr>
      </w:pPr>
      <w:r>
        <w:rPr>
          <w:rFonts w:hint="eastAsia" w:ascii="仿宋" w:hAnsi="仿宋" w:eastAsia="仿宋" w:cs="仿宋"/>
          <w:color w:val="auto"/>
          <w:highlight w:val="none"/>
        </w:rPr>
        <w:t>1.3合同文件的优先顺序</w:t>
      </w:r>
    </w:p>
    <w:p>
      <w:pPr>
        <w:pStyle w:val="24"/>
        <w:tabs>
          <w:tab w:val="left" w:pos="8407"/>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本合同文件的解释顺序为：</w:t>
      </w:r>
    </w:p>
    <w:p>
      <w:pPr>
        <w:pStyle w:val="24"/>
        <w:tabs>
          <w:tab w:val="left" w:pos="8407"/>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1.协议书</w:t>
      </w:r>
    </w:p>
    <w:p>
      <w:pPr>
        <w:pStyle w:val="24"/>
        <w:tabs>
          <w:tab w:val="left" w:pos="8407"/>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2.中标通知书或委托书（如果有）；</w:t>
      </w:r>
    </w:p>
    <w:p>
      <w:pPr>
        <w:pStyle w:val="24"/>
        <w:tabs>
          <w:tab w:val="left" w:pos="8407"/>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3.询标纪要（如有）；</w:t>
      </w:r>
    </w:p>
    <w:p>
      <w:pPr>
        <w:pStyle w:val="24"/>
        <w:tabs>
          <w:tab w:val="left" w:pos="8407"/>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4.专用条件及附录；</w:t>
      </w:r>
    </w:p>
    <w:p>
      <w:pPr>
        <w:pStyle w:val="24"/>
        <w:tabs>
          <w:tab w:val="left" w:pos="8407"/>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5.通用条件；</w:t>
      </w:r>
    </w:p>
    <w:p>
      <w:pPr>
        <w:pStyle w:val="24"/>
        <w:tabs>
          <w:tab w:val="left" w:pos="8407"/>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6.投标函及投标函附录或造价咨询服务建议书（如果有）；</w:t>
      </w:r>
    </w:p>
    <w:p>
      <w:pPr>
        <w:pStyle w:val="24"/>
        <w:tabs>
          <w:tab w:val="left" w:pos="8407"/>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7.其他合同文件。</w:t>
      </w:r>
    </w:p>
    <w:p>
      <w:pPr>
        <w:pStyle w:val="24"/>
        <w:tabs>
          <w:tab w:val="left" w:pos="8407"/>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上述各项合同文件包括合同当事人就该项合同文件所作出的补充和修改，属于同一类内容的文件，应以最新签署的为准。</w:t>
      </w:r>
    </w:p>
    <w:p>
      <w:pPr>
        <w:pStyle w:val="24"/>
        <w:tabs>
          <w:tab w:val="left" w:pos="8407"/>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在合同订立及履行过程中形成的与合同有关的文件均构成合同文件的组成部分。</w:t>
      </w:r>
    </w:p>
    <w:p>
      <w:pPr>
        <w:pStyle w:val="24"/>
        <w:tabs>
          <w:tab w:val="left" w:pos="8407"/>
        </w:tabs>
        <w:snapToGrid w:val="0"/>
        <w:spacing w:line="440" w:lineRule="exact"/>
        <w:rPr>
          <w:rFonts w:ascii="仿宋" w:hAnsi="仿宋" w:eastAsia="仿宋" w:cs="仿宋"/>
          <w:color w:val="auto"/>
          <w:highlight w:val="none"/>
        </w:rPr>
      </w:pPr>
      <w:r>
        <w:rPr>
          <w:rFonts w:hint="eastAsia" w:ascii="仿宋" w:hAnsi="仿宋" w:eastAsia="仿宋" w:cs="仿宋"/>
          <w:color w:val="auto"/>
          <w:highlight w:val="none"/>
        </w:rPr>
        <w:t>1.4适用法律</w:t>
      </w:r>
    </w:p>
    <w:p>
      <w:pPr>
        <w:pStyle w:val="24"/>
        <w:tabs>
          <w:tab w:val="left" w:pos="8407"/>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本合同适用的其他规范性文件包括: 行业出台的相关规范性文件。</w:t>
      </w:r>
    </w:p>
    <w:p>
      <w:pPr>
        <w:pStyle w:val="4"/>
        <w:tabs>
          <w:tab w:val="left" w:pos="1041"/>
          <w:tab w:val="clear" w:pos="900"/>
        </w:tabs>
        <w:snapToGrid w:val="0"/>
        <w:spacing w:line="440" w:lineRule="exact"/>
        <w:ind w:left="0" w:firstLine="0"/>
        <w:jc w:val="center"/>
        <w:rPr>
          <w:rFonts w:ascii="仿宋" w:hAnsi="仿宋" w:eastAsia="仿宋" w:cs="仿宋"/>
          <w:color w:val="auto"/>
          <w:sz w:val="24"/>
          <w:szCs w:val="24"/>
          <w:highlight w:val="none"/>
        </w:rPr>
      </w:pPr>
      <w:bookmarkStart w:id="481" w:name="_Toc528529048"/>
      <w:bookmarkStart w:id="482" w:name="_Toc528528898"/>
      <w:bookmarkStart w:id="483" w:name="_Toc35366007"/>
      <w:r>
        <w:rPr>
          <w:rFonts w:hint="eastAsia" w:ascii="仿宋" w:hAnsi="仿宋" w:eastAsia="仿宋" w:cs="仿宋"/>
          <w:color w:val="auto"/>
          <w:sz w:val="24"/>
          <w:szCs w:val="24"/>
          <w:highlight w:val="none"/>
        </w:rPr>
        <w:t>2.委托人的义务</w:t>
      </w:r>
      <w:bookmarkEnd w:id="481"/>
      <w:bookmarkEnd w:id="482"/>
      <w:bookmarkEnd w:id="483"/>
    </w:p>
    <w:p>
      <w:pPr>
        <w:pStyle w:val="24"/>
        <w:tabs>
          <w:tab w:val="left" w:pos="8407"/>
        </w:tabs>
        <w:snapToGrid w:val="0"/>
        <w:spacing w:line="440" w:lineRule="exact"/>
        <w:rPr>
          <w:rFonts w:ascii="仿宋" w:hAnsi="仿宋" w:eastAsia="仿宋" w:cs="仿宋"/>
          <w:color w:val="auto"/>
          <w:highlight w:val="none"/>
        </w:rPr>
      </w:pPr>
      <w:r>
        <w:rPr>
          <w:rFonts w:hint="eastAsia" w:ascii="仿宋" w:hAnsi="仿宋" w:eastAsia="仿宋" w:cs="仿宋"/>
          <w:color w:val="auto"/>
          <w:highlight w:val="none"/>
        </w:rPr>
        <w:t>2.1提供资料</w:t>
      </w:r>
    </w:p>
    <w:p>
      <w:pPr>
        <w:pStyle w:val="24"/>
        <w:tabs>
          <w:tab w:val="left" w:pos="8407"/>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委托人按照约定无偿向咨询人提供与本合同咨询业务有关资料的时间为：</w:t>
      </w:r>
      <w:r>
        <w:rPr>
          <w:rFonts w:hint="eastAsia" w:ascii="仿宋" w:hAnsi="仿宋" w:eastAsia="仿宋" w:cs="仿宋"/>
          <w:color w:val="auto"/>
          <w:highlight w:val="none"/>
          <w:u w:val="single"/>
        </w:rPr>
        <w:t>工程完工后14天内委托人按照咨询人罗列的竣工结算资料清单提供结算报审资料。</w:t>
      </w:r>
    </w:p>
    <w:p>
      <w:pPr>
        <w:pStyle w:val="24"/>
        <w:tabs>
          <w:tab w:val="left" w:pos="8407"/>
        </w:tabs>
        <w:snapToGrid w:val="0"/>
        <w:spacing w:line="440" w:lineRule="exact"/>
        <w:rPr>
          <w:rFonts w:ascii="仿宋" w:hAnsi="仿宋" w:eastAsia="仿宋" w:cs="仿宋"/>
          <w:color w:val="auto"/>
          <w:highlight w:val="none"/>
        </w:rPr>
      </w:pPr>
      <w:r>
        <w:rPr>
          <w:rFonts w:hint="eastAsia" w:ascii="仿宋" w:hAnsi="仿宋" w:eastAsia="仿宋" w:cs="仿宋"/>
          <w:color w:val="auto"/>
          <w:highlight w:val="none"/>
        </w:rPr>
        <w:t>2.2提供工作条件</w:t>
      </w:r>
    </w:p>
    <w:p>
      <w:pPr>
        <w:pStyle w:val="24"/>
        <w:tabs>
          <w:tab w:val="left" w:pos="8407"/>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2.2.1项目咨询人员由委托人提供的房屋及设备，支付使用费的标准为：</w:t>
      </w:r>
      <w:r>
        <w:rPr>
          <w:rFonts w:hint="eastAsia" w:ascii="仿宋" w:hAnsi="仿宋" w:eastAsia="仿宋" w:cs="仿宋"/>
          <w:color w:val="auto"/>
          <w:highlight w:val="none"/>
          <w:u w:val="single"/>
        </w:rPr>
        <w:t>驻点办公室由委托人提供，免费使用。电脑、打印机等其他办公用品由项目咨询人员自行承担</w:t>
      </w:r>
      <w:r>
        <w:rPr>
          <w:rFonts w:hint="eastAsia" w:ascii="仿宋" w:hAnsi="仿宋" w:eastAsia="仿宋" w:cs="仿宋"/>
          <w:color w:val="auto"/>
          <w:spacing w:val="-18"/>
          <w:highlight w:val="none"/>
        </w:rPr>
        <w:t>。</w:t>
      </w:r>
    </w:p>
    <w:p>
      <w:pPr>
        <w:pStyle w:val="788"/>
        <w:tabs>
          <w:tab w:val="left" w:pos="1280"/>
        </w:tabs>
        <w:snapToGrid w:val="0"/>
        <w:spacing w:line="440" w:lineRule="exact"/>
        <w:ind w:firstLine="480"/>
        <w:rPr>
          <w:rFonts w:ascii="仿宋" w:hAnsi="仿宋" w:eastAsia="仿宋" w:cs="仿宋"/>
          <w:color w:val="auto"/>
          <w:highlight w:val="none"/>
        </w:rPr>
      </w:pPr>
      <w:r>
        <w:rPr>
          <w:rFonts w:hint="eastAsia" w:ascii="仿宋" w:hAnsi="仿宋" w:eastAsia="仿宋" w:cs="仿宋"/>
          <w:color w:val="auto"/>
          <w:highlight w:val="none"/>
        </w:rPr>
        <w:t>2.4委托人代表</w:t>
      </w:r>
    </w:p>
    <w:p>
      <w:pPr>
        <w:pStyle w:val="24"/>
        <w:tabs>
          <w:tab w:val="left" w:pos="4699"/>
          <w:tab w:val="left" w:pos="8479"/>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委托人代表为：</w:t>
      </w:r>
      <w:r>
        <w:rPr>
          <w:rFonts w:hint="eastAsia" w:ascii="仿宋" w:hAnsi="仿宋" w:eastAsia="仿宋" w:cs="仿宋"/>
          <w:color w:val="auto"/>
          <w:highlight w:val="none"/>
          <w:u w:val="single"/>
        </w:rPr>
        <w:tab/>
      </w:r>
      <w:r>
        <w:rPr>
          <w:rFonts w:hint="eastAsia" w:ascii="仿宋" w:hAnsi="仿宋" w:eastAsia="仿宋" w:cs="仿宋"/>
          <w:color w:val="auto"/>
          <w:highlight w:val="none"/>
        </w:rPr>
        <w:t>，其权限范围：</w:t>
      </w:r>
      <w:r>
        <w:rPr>
          <w:rFonts w:hint="eastAsia" w:ascii="仿宋" w:hAnsi="仿宋" w:eastAsia="仿宋" w:cs="仿宋"/>
          <w:color w:val="auto"/>
          <w:highlight w:val="none"/>
          <w:u w:val="single"/>
        </w:rPr>
        <w:tab/>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姓    名：</w:t>
      </w:r>
      <w:r>
        <w:rPr>
          <w:rFonts w:hint="eastAsia" w:ascii="仿宋" w:hAnsi="仿宋" w:eastAsia="仿宋" w:cs="仿宋"/>
          <w:color w:val="auto"/>
          <w:sz w:val="24"/>
          <w:highlight w:val="none"/>
          <w:u w:val="single"/>
        </w:rPr>
        <w:t xml:space="preserve">       </w:t>
      </w:r>
      <w:r>
        <w:rPr>
          <w:rFonts w:hint="eastAsia" w:ascii="仿宋" w:hAnsi="仿宋" w:eastAsia="仿宋" w:cs="仿宋"/>
          <w:color w:val="auto"/>
          <w:sz w:val="24"/>
          <w:highlight w:val="none"/>
        </w:rPr>
        <w:t>；</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身份证号：</w:t>
      </w:r>
      <w:r>
        <w:rPr>
          <w:rFonts w:hint="eastAsia" w:ascii="仿宋" w:hAnsi="仿宋" w:eastAsia="仿宋" w:cs="仿宋"/>
          <w:color w:val="auto"/>
          <w:sz w:val="24"/>
          <w:highlight w:val="none"/>
          <w:u w:val="single"/>
        </w:rPr>
        <w:t xml:space="preserve">                </w:t>
      </w:r>
      <w:r>
        <w:rPr>
          <w:rFonts w:hint="eastAsia" w:ascii="仿宋" w:hAnsi="仿宋" w:eastAsia="仿宋" w:cs="仿宋"/>
          <w:color w:val="auto"/>
          <w:sz w:val="24"/>
          <w:highlight w:val="none"/>
        </w:rPr>
        <w:t>；</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职    务：</w:t>
      </w:r>
      <w:r>
        <w:rPr>
          <w:rFonts w:hint="eastAsia" w:ascii="仿宋" w:hAnsi="仿宋" w:eastAsia="仿宋" w:cs="仿宋"/>
          <w:color w:val="auto"/>
          <w:sz w:val="24"/>
          <w:highlight w:val="none"/>
          <w:u w:val="single"/>
        </w:rPr>
        <w:t xml:space="preserve">        </w:t>
      </w:r>
      <w:r>
        <w:rPr>
          <w:rFonts w:hint="eastAsia" w:ascii="仿宋" w:hAnsi="仿宋" w:eastAsia="仿宋" w:cs="仿宋"/>
          <w:color w:val="auto"/>
          <w:sz w:val="24"/>
          <w:highlight w:val="none"/>
        </w:rPr>
        <w:t>；</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 xml:space="preserve">            </w:t>
      </w:r>
      <w:r>
        <w:rPr>
          <w:rFonts w:hint="eastAsia" w:ascii="仿宋" w:hAnsi="仿宋" w:eastAsia="仿宋" w:cs="仿宋"/>
          <w:color w:val="auto"/>
          <w:sz w:val="24"/>
          <w:highlight w:val="none"/>
        </w:rPr>
        <w:t>；</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电子信箱：</w:t>
      </w:r>
      <w:r>
        <w:rPr>
          <w:rFonts w:hint="eastAsia" w:ascii="仿宋" w:hAnsi="仿宋" w:eastAsia="仿宋" w:cs="仿宋"/>
          <w:color w:val="auto"/>
          <w:sz w:val="24"/>
          <w:highlight w:val="none"/>
          <w:u w:val="single"/>
        </w:rPr>
        <w:t xml:space="preserve">        </w:t>
      </w:r>
      <w:r>
        <w:rPr>
          <w:rFonts w:hint="eastAsia" w:ascii="仿宋" w:hAnsi="仿宋" w:eastAsia="仿宋" w:cs="仿宋"/>
          <w:color w:val="auto"/>
          <w:sz w:val="24"/>
          <w:highlight w:val="none"/>
        </w:rPr>
        <w:t>；</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通信地址：</w:t>
      </w:r>
      <w:r>
        <w:rPr>
          <w:rFonts w:hint="eastAsia" w:ascii="仿宋" w:hAnsi="仿宋" w:eastAsia="仿宋" w:cs="仿宋"/>
          <w:color w:val="auto"/>
          <w:sz w:val="24"/>
          <w:highlight w:val="none"/>
          <w:u w:val="single"/>
        </w:rPr>
        <w:t xml:space="preserve">              </w:t>
      </w:r>
      <w:r>
        <w:rPr>
          <w:rFonts w:hint="eastAsia" w:ascii="仿宋" w:hAnsi="仿宋" w:eastAsia="仿宋" w:cs="仿宋"/>
          <w:color w:val="auto"/>
          <w:sz w:val="24"/>
          <w:highlight w:val="none"/>
        </w:rPr>
        <w:t>。</w:t>
      </w:r>
    </w:p>
    <w:p>
      <w:pPr>
        <w:pStyle w:val="788"/>
        <w:tabs>
          <w:tab w:val="left" w:pos="1280"/>
        </w:tabs>
        <w:snapToGrid w:val="0"/>
        <w:spacing w:line="440" w:lineRule="exact"/>
        <w:ind w:firstLine="480"/>
        <w:rPr>
          <w:rFonts w:ascii="仿宋" w:hAnsi="仿宋" w:eastAsia="仿宋" w:cs="仿宋"/>
          <w:color w:val="auto"/>
          <w:highlight w:val="none"/>
        </w:rPr>
      </w:pPr>
      <w:r>
        <w:rPr>
          <w:rFonts w:hint="eastAsia" w:ascii="仿宋" w:hAnsi="仿宋" w:eastAsia="仿宋" w:cs="仿宋"/>
          <w:color w:val="auto"/>
          <w:highlight w:val="none"/>
        </w:rPr>
        <w:t>2.5答复</w:t>
      </w:r>
    </w:p>
    <w:p>
      <w:pPr>
        <w:pStyle w:val="24"/>
        <w:tabs>
          <w:tab w:val="left" w:pos="3139"/>
        </w:tabs>
        <w:snapToGrid w:val="0"/>
        <w:spacing w:line="440" w:lineRule="exact"/>
        <w:ind w:right="445" w:firstLine="480" w:firstLineChars="200"/>
        <w:rPr>
          <w:rFonts w:ascii="仿宋" w:hAnsi="仿宋" w:eastAsia="仿宋" w:cs="仿宋"/>
          <w:color w:val="auto"/>
          <w:highlight w:val="none"/>
        </w:rPr>
      </w:pPr>
      <w:r>
        <w:rPr>
          <w:rFonts w:hint="eastAsia" w:ascii="仿宋" w:hAnsi="仿宋" w:eastAsia="仿宋" w:cs="仿宋"/>
          <w:color w:val="auto"/>
          <w:highlight w:val="none"/>
        </w:rPr>
        <w:t>委托人同意在</w:t>
      </w:r>
      <w:r>
        <w:rPr>
          <w:rFonts w:hint="eastAsia" w:ascii="仿宋" w:hAnsi="仿宋" w:eastAsia="仿宋" w:cs="仿宋"/>
          <w:color w:val="auto"/>
          <w:highlight w:val="none"/>
          <w:u w:val="single"/>
        </w:rPr>
        <w:t>10个工作日</w:t>
      </w:r>
      <w:r>
        <w:rPr>
          <w:rFonts w:hint="eastAsia" w:ascii="仿宋" w:hAnsi="仿宋" w:eastAsia="仿宋" w:cs="仿宋"/>
          <w:color w:val="auto"/>
          <w:highlight w:val="none"/>
        </w:rPr>
        <w:t>内，对咨询人书面提交并要求做出决定的事宜给</w:t>
      </w:r>
      <w:r>
        <w:rPr>
          <w:rFonts w:hint="eastAsia" w:ascii="仿宋" w:hAnsi="仿宋" w:eastAsia="仿宋" w:cs="仿宋"/>
          <w:color w:val="auto"/>
          <w:spacing w:val="-18"/>
          <w:highlight w:val="none"/>
        </w:rPr>
        <w:t>予</w:t>
      </w:r>
      <w:r>
        <w:rPr>
          <w:rFonts w:hint="eastAsia" w:ascii="仿宋" w:hAnsi="仿宋" w:eastAsia="仿宋" w:cs="仿宋"/>
          <w:color w:val="auto"/>
          <w:highlight w:val="none"/>
        </w:rPr>
        <w:t>书面答复。</w:t>
      </w:r>
    </w:p>
    <w:p>
      <w:pPr>
        <w:pStyle w:val="4"/>
        <w:tabs>
          <w:tab w:val="left" w:pos="1041"/>
          <w:tab w:val="clear" w:pos="900"/>
        </w:tabs>
        <w:snapToGrid w:val="0"/>
        <w:spacing w:line="440" w:lineRule="exact"/>
        <w:jc w:val="center"/>
        <w:rPr>
          <w:rFonts w:ascii="仿宋" w:hAnsi="仿宋" w:eastAsia="仿宋" w:cs="仿宋"/>
          <w:color w:val="auto"/>
          <w:sz w:val="24"/>
          <w:szCs w:val="24"/>
          <w:highlight w:val="none"/>
        </w:rPr>
      </w:pPr>
      <w:bookmarkStart w:id="484" w:name="_Toc35366008"/>
      <w:bookmarkStart w:id="485" w:name="_Toc528528899"/>
      <w:bookmarkStart w:id="486" w:name="_Toc528529049"/>
      <w:r>
        <w:rPr>
          <w:rFonts w:hint="eastAsia" w:ascii="仿宋" w:hAnsi="仿宋" w:eastAsia="仿宋" w:cs="仿宋"/>
          <w:color w:val="auto"/>
          <w:sz w:val="24"/>
          <w:szCs w:val="24"/>
          <w:highlight w:val="none"/>
        </w:rPr>
        <w:t>3.咨询人的义务</w:t>
      </w:r>
      <w:bookmarkEnd w:id="484"/>
      <w:bookmarkEnd w:id="485"/>
      <w:bookmarkEnd w:id="486"/>
    </w:p>
    <w:p>
      <w:pPr>
        <w:pStyle w:val="788"/>
        <w:tabs>
          <w:tab w:val="left" w:pos="1280"/>
        </w:tabs>
        <w:snapToGrid w:val="0"/>
        <w:spacing w:line="440" w:lineRule="exact"/>
        <w:ind w:firstLine="0" w:firstLineChars="0"/>
        <w:rPr>
          <w:rFonts w:ascii="仿宋" w:hAnsi="仿宋" w:eastAsia="仿宋" w:cs="仿宋"/>
          <w:color w:val="auto"/>
          <w:highlight w:val="none"/>
        </w:rPr>
      </w:pPr>
      <w:r>
        <w:rPr>
          <w:rFonts w:hint="eastAsia" w:ascii="仿宋" w:hAnsi="仿宋" w:eastAsia="仿宋" w:cs="仿宋"/>
          <w:color w:val="auto"/>
          <w:highlight w:val="none"/>
        </w:rPr>
        <w:t>3.1 项目咨询团队及人员</w:t>
      </w:r>
    </w:p>
    <w:p>
      <w:pPr>
        <w:pStyle w:val="24"/>
        <w:tabs>
          <w:tab w:val="left" w:pos="3139"/>
        </w:tabs>
        <w:snapToGrid w:val="0"/>
        <w:spacing w:line="440" w:lineRule="exact"/>
        <w:ind w:left="239" w:leftChars="114" w:right="445" w:firstLine="240" w:firstLineChars="100"/>
        <w:rPr>
          <w:rFonts w:ascii="仿宋" w:hAnsi="仿宋" w:eastAsia="仿宋" w:cs="仿宋"/>
          <w:color w:val="auto"/>
          <w:highlight w:val="none"/>
        </w:rPr>
      </w:pPr>
      <w:r>
        <w:rPr>
          <w:rFonts w:hint="eastAsia" w:ascii="仿宋" w:hAnsi="仿宋" w:eastAsia="仿宋" w:cs="仿宋"/>
          <w:color w:val="auto"/>
          <w:highlight w:val="none"/>
        </w:rPr>
        <w:t>3.1.1项目咨询团队的主要人员应具有</w:t>
      </w:r>
      <w:r>
        <w:rPr>
          <w:rFonts w:hint="eastAsia" w:ascii="仿宋" w:hAnsi="仿宋" w:eastAsia="仿宋" w:cs="仿宋"/>
          <w:color w:val="auto"/>
          <w:highlight w:val="none"/>
          <w:u w:val="single"/>
        </w:rPr>
        <w:t>注册造价师</w:t>
      </w:r>
      <w:r>
        <w:rPr>
          <w:rFonts w:hint="eastAsia" w:ascii="仿宋" w:hAnsi="仿宋" w:eastAsia="仿宋" w:cs="仿宋"/>
          <w:color w:val="auto"/>
          <w:highlight w:val="none"/>
        </w:rPr>
        <w:t>资格条件，团队</w:t>
      </w:r>
      <w:r>
        <w:rPr>
          <w:rFonts w:hint="eastAsia" w:ascii="仿宋" w:hAnsi="仿宋" w:eastAsia="仿宋" w:cs="仿宋"/>
          <w:color w:val="auto"/>
          <w:spacing w:val="-18"/>
          <w:highlight w:val="none"/>
        </w:rPr>
        <w:t>人</w:t>
      </w:r>
      <w:r>
        <w:rPr>
          <w:rFonts w:hint="eastAsia" w:ascii="仿宋" w:hAnsi="仿宋" w:eastAsia="仿宋" w:cs="仿宋"/>
          <w:color w:val="auto"/>
          <w:highlight w:val="none"/>
        </w:rPr>
        <w:t>员的数量为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rPr>
        <w:t xml:space="preserve">        （详见合同附件</w:t>
      </w:r>
      <w:r>
        <w:rPr>
          <w:rFonts w:hint="eastAsia" w:ascii="仿宋" w:hAnsi="仿宋" w:eastAsia="仿宋" w:cs="仿宋"/>
          <w:b/>
          <w:snapToGrid/>
          <w:color w:val="auto"/>
          <w:szCs w:val="24"/>
          <w:highlight w:val="none"/>
          <w:u w:val="single"/>
          <w:lang w:val="en-US"/>
        </w:rPr>
        <w:t>一</w:t>
      </w:r>
      <w:r>
        <w:rPr>
          <w:rFonts w:hint="eastAsia" w:ascii="仿宋" w:hAnsi="仿宋" w:eastAsia="仿宋" w:cs="仿宋"/>
          <w:color w:val="auto"/>
          <w:highlight w:val="none"/>
          <w:u w:val="single"/>
          <w:lang w:val="en-US"/>
        </w:rPr>
        <w:t>）</w:t>
      </w:r>
      <w:r>
        <w:rPr>
          <w:rFonts w:hint="eastAsia" w:ascii="仿宋" w:hAnsi="仿宋" w:eastAsia="仿宋" w:cs="仿宋"/>
          <w:color w:val="auto"/>
          <w:highlight w:val="none"/>
        </w:rPr>
        <w:t>。</w:t>
      </w:r>
    </w:p>
    <w:p>
      <w:pPr>
        <w:pStyle w:val="24"/>
        <w:tabs>
          <w:tab w:val="left" w:pos="3139"/>
        </w:tabs>
        <w:snapToGrid w:val="0"/>
        <w:spacing w:line="440" w:lineRule="exact"/>
        <w:ind w:right="445" w:firstLine="480" w:firstLineChars="200"/>
        <w:rPr>
          <w:rFonts w:ascii="仿宋" w:hAnsi="仿宋" w:eastAsia="仿宋" w:cs="仿宋"/>
          <w:color w:val="auto"/>
          <w:highlight w:val="none"/>
        </w:rPr>
      </w:pPr>
      <w:r>
        <w:rPr>
          <w:rFonts w:hint="eastAsia" w:ascii="仿宋" w:hAnsi="仿宋" w:eastAsia="仿宋" w:cs="仿宋"/>
          <w:color w:val="auto"/>
          <w:highlight w:val="none"/>
        </w:rPr>
        <w:t>3.1.2项目负责人为：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rPr>
        <w:tab/>
      </w:r>
      <w:r>
        <w:rPr>
          <w:rFonts w:hint="eastAsia" w:ascii="仿宋" w:hAnsi="仿宋" w:eastAsia="仿宋" w:cs="仿宋"/>
          <w:color w:val="auto"/>
          <w:highlight w:val="none"/>
        </w:rPr>
        <w:t xml:space="preserve">，各专业负责人员为： </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。项目负责人为履行本合同的权限为：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bookmarkStart w:id="487" w:name="_bookmark19"/>
      <w:bookmarkEnd w:id="487"/>
    </w:p>
    <w:p>
      <w:pPr>
        <w:pStyle w:val="24"/>
        <w:tabs>
          <w:tab w:val="left" w:pos="3139"/>
        </w:tabs>
        <w:snapToGrid w:val="0"/>
        <w:spacing w:line="440" w:lineRule="exact"/>
        <w:ind w:right="445" w:firstLine="480" w:firstLineChars="200"/>
        <w:rPr>
          <w:rFonts w:ascii="仿宋" w:hAnsi="仿宋" w:eastAsia="仿宋" w:cs="仿宋"/>
          <w:color w:val="auto"/>
          <w:highlight w:val="none"/>
        </w:rPr>
      </w:pPr>
      <w:r>
        <w:rPr>
          <w:rFonts w:hint="eastAsia" w:ascii="仿宋" w:hAnsi="仿宋" w:eastAsia="仿宋" w:cs="仿宋"/>
          <w:color w:val="auto"/>
          <w:highlight w:val="none"/>
        </w:rPr>
        <w:t>3.1.3咨询人更换项目咨询团队其他咨询人员的约定:</w:t>
      </w:r>
      <w:r>
        <w:rPr>
          <w:rFonts w:hint="eastAsia" w:ascii="仿宋" w:hAnsi="仿宋" w:eastAsia="仿宋" w:cs="仿宋"/>
          <w:color w:val="auto"/>
          <w:highlight w:val="none"/>
          <w:u w:val="single"/>
        </w:rPr>
        <w:t xml:space="preserve"> 除不可抗因素外，不得擅自更换。如</w:t>
      </w:r>
      <w:bookmarkStart w:id="488" w:name="_Hlk69984568"/>
      <w:r>
        <w:rPr>
          <w:rFonts w:hint="eastAsia" w:ascii="仿宋" w:hAnsi="仿宋" w:eastAsia="仿宋" w:cs="仿宋"/>
          <w:color w:val="auto"/>
          <w:highlight w:val="none"/>
          <w:u w:val="single"/>
        </w:rPr>
        <w:t>因咨询人原因需更换项目人员的，应征得委托人书面同意</w:t>
      </w:r>
      <w:bookmarkEnd w:id="488"/>
      <w:r>
        <w:rPr>
          <w:rFonts w:hint="eastAsia" w:ascii="仿宋" w:hAnsi="仿宋" w:eastAsia="仿宋" w:cs="仿宋"/>
          <w:color w:val="auto"/>
          <w:highlight w:val="none"/>
          <w:u w:val="single"/>
        </w:rPr>
        <w:t>，且替换人员资格不得低于相应投标人员</w:t>
      </w:r>
      <w:r>
        <w:rPr>
          <w:rFonts w:hint="eastAsia" w:ascii="仿宋" w:hAnsi="仿宋" w:eastAsia="仿宋" w:cs="仿宋"/>
          <w:color w:val="auto"/>
          <w:highlight w:val="none"/>
        </w:rPr>
        <w:t>。</w:t>
      </w:r>
    </w:p>
    <w:p>
      <w:pPr>
        <w:pStyle w:val="24"/>
        <w:tabs>
          <w:tab w:val="left" w:pos="3139"/>
        </w:tabs>
        <w:snapToGrid w:val="0"/>
        <w:spacing w:line="440" w:lineRule="exact"/>
        <w:ind w:right="445" w:firstLine="480" w:firstLineChars="200"/>
        <w:rPr>
          <w:rFonts w:ascii="仿宋" w:hAnsi="仿宋" w:eastAsia="仿宋" w:cs="仿宋"/>
          <w:color w:val="auto"/>
          <w:highlight w:val="none"/>
        </w:rPr>
      </w:pPr>
      <w:r>
        <w:rPr>
          <w:rFonts w:hint="eastAsia" w:ascii="仿宋" w:hAnsi="仿宋" w:eastAsia="仿宋" w:cs="仿宋"/>
          <w:color w:val="auto"/>
          <w:highlight w:val="none"/>
        </w:rPr>
        <w:t>3.1.4委托人要求更换咨询人员的情形还包括：</w:t>
      </w:r>
      <w:r>
        <w:rPr>
          <w:rFonts w:hint="eastAsia" w:ascii="仿宋" w:hAnsi="仿宋" w:eastAsia="仿宋" w:cs="仿宋"/>
          <w:color w:val="auto"/>
          <w:highlight w:val="none"/>
          <w:u w:val="single"/>
        </w:rPr>
        <w:t>不称职的人员、应回避的人员或不符合招标文件有关规定的人员。更换人员应在委托人提出要求之日起3日内完成。否则委托人有权处以咨询人承担合同价10%的违约金，违约金在服务费中扣除。</w:t>
      </w:r>
    </w:p>
    <w:p>
      <w:pPr>
        <w:pStyle w:val="24"/>
        <w:tabs>
          <w:tab w:val="left" w:pos="3139"/>
        </w:tabs>
        <w:snapToGrid w:val="0"/>
        <w:spacing w:line="440" w:lineRule="exact"/>
        <w:ind w:right="445" w:firstLine="480" w:firstLineChars="200"/>
        <w:rPr>
          <w:rFonts w:ascii="仿宋" w:hAnsi="仿宋" w:eastAsia="仿宋" w:cs="仿宋"/>
          <w:color w:val="auto"/>
          <w:highlight w:val="none"/>
          <w:u w:val="single"/>
        </w:rPr>
      </w:pPr>
      <w:r>
        <w:rPr>
          <w:rFonts w:hint="eastAsia" w:ascii="仿宋" w:hAnsi="仿宋" w:eastAsia="仿宋" w:cs="仿宋"/>
          <w:color w:val="auto"/>
          <w:highlight w:val="none"/>
        </w:rPr>
        <w:t>3.1.5</w:t>
      </w:r>
      <w:r>
        <w:rPr>
          <w:rFonts w:hint="eastAsia" w:ascii="仿宋" w:hAnsi="仿宋" w:eastAsia="仿宋" w:cs="仿宋"/>
          <w:color w:val="auto"/>
          <w:highlight w:val="none"/>
          <w:u w:val="single"/>
        </w:rPr>
        <w:t>未经委托人书面同意，咨询人不得变更项目负责人及各专业负责人，否则委托人有权处以咨询人承担合同价10%的违约金，违约金在服务费中扣除。</w:t>
      </w:r>
    </w:p>
    <w:p>
      <w:pPr>
        <w:pStyle w:val="24"/>
        <w:tabs>
          <w:tab w:val="left" w:pos="3139"/>
        </w:tabs>
        <w:snapToGrid w:val="0"/>
        <w:spacing w:line="440" w:lineRule="exact"/>
        <w:ind w:right="445"/>
        <w:rPr>
          <w:rFonts w:ascii="仿宋" w:hAnsi="仿宋" w:eastAsia="仿宋" w:cs="仿宋"/>
          <w:color w:val="auto"/>
          <w:highlight w:val="none"/>
        </w:rPr>
      </w:pPr>
      <w:r>
        <w:rPr>
          <w:rFonts w:hint="eastAsia" w:ascii="仿宋" w:hAnsi="仿宋" w:eastAsia="仿宋" w:cs="仿宋"/>
          <w:color w:val="auto"/>
          <w:highlight w:val="none"/>
        </w:rPr>
        <w:t>3.2 咨询人的工作要求</w:t>
      </w:r>
    </w:p>
    <w:p>
      <w:pPr>
        <w:pStyle w:val="24"/>
        <w:tabs>
          <w:tab w:val="left" w:pos="3139"/>
        </w:tabs>
        <w:snapToGrid w:val="0"/>
        <w:spacing w:line="440" w:lineRule="exact"/>
        <w:ind w:right="445" w:firstLine="480" w:firstLineChars="200"/>
        <w:rPr>
          <w:rFonts w:ascii="仿宋" w:hAnsi="仿宋" w:eastAsia="仿宋" w:cs="仿宋"/>
          <w:color w:val="auto"/>
          <w:highlight w:val="none"/>
        </w:rPr>
      </w:pPr>
      <w:r>
        <w:rPr>
          <w:rFonts w:hint="eastAsia" w:ascii="仿宋" w:hAnsi="仿宋" w:eastAsia="仿宋" w:cs="仿宋"/>
          <w:color w:val="auto"/>
          <w:highlight w:val="none"/>
        </w:rPr>
        <w:t>3.2.1咨询人向委托人提供有关资料的时间：</w:t>
      </w:r>
      <w:r>
        <w:rPr>
          <w:rFonts w:hint="eastAsia" w:ascii="仿宋" w:hAnsi="仿宋" w:eastAsia="仿宋" w:cs="仿宋"/>
          <w:color w:val="auto"/>
          <w:highlight w:val="none"/>
          <w:u w:val="single"/>
        </w:rPr>
        <w:t>项目实施过程中按项目进展的实际需求</w:t>
      </w:r>
      <w:r>
        <w:rPr>
          <w:rFonts w:hint="eastAsia" w:ascii="仿宋" w:hAnsi="仿宋" w:eastAsia="仿宋" w:cs="仿宋"/>
          <w:color w:val="auto"/>
          <w:highlight w:val="none"/>
        </w:rPr>
        <w:t xml:space="preserve">。  </w:t>
      </w:r>
    </w:p>
    <w:p>
      <w:pPr>
        <w:pStyle w:val="24"/>
        <w:tabs>
          <w:tab w:val="left" w:pos="3139"/>
        </w:tabs>
        <w:snapToGrid w:val="0"/>
        <w:spacing w:line="440" w:lineRule="exact"/>
        <w:ind w:right="445" w:firstLine="480" w:firstLineChars="200"/>
        <w:rPr>
          <w:rFonts w:ascii="仿宋" w:hAnsi="仿宋" w:eastAsia="仿宋" w:cs="仿宋"/>
          <w:color w:val="auto"/>
          <w:highlight w:val="none"/>
        </w:rPr>
      </w:pPr>
      <w:r>
        <w:rPr>
          <w:rFonts w:hint="eastAsia" w:ascii="仿宋" w:hAnsi="仿宋" w:eastAsia="仿宋" w:cs="仿宋"/>
          <w:color w:val="auto"/>
          <w:highlight w:val="none"/>
        </w:rPr>
        <w:t>咨询人向委托人提供的资料还包括：</w:t>
      </w:r>
      <w:r>
        <w:rPr>
          <w:rFonts w:hint="eastAsia" w:ascii="仿宋" w:hAnsi="仿宋" w:eastAsia="仿宋" w:cs="仿宋"/>
          <w:color w:val="auto"/>
          <w:highlight w:val="none"/>
          <w:u w:val="single"/>
        </w:rPr>
        <w:t xml:space="preserve">按全过程跟踪审计服务要求的资料向委托人提供  </w:t>
      </w:r>
      <w:r>
        <w:rPr>
          <w:rFonts w:hint="eastAsia" w:ascii="仿宋" w:hAnsi="仿宋" w:eastAsia="仿宋" w:cs="仿宋"/>
          <w:color w:val="auto"/>
          <w:highlight w:val="none"/>
        </w:rPr>
        <w:t>。</w:t>
      </w:r>
    </w:p>
    <w:p>
      <w:pPr>
        <w:pStyle w:val="24"/>
        <w:tabs>
          <w:tab w:val="left" w:pos="3139"/>
        </w:tabs>
        <w:snapToGrid w:val="0"/>
        <w:spacing w:line="440" w:lineRule="exact"/>
        <w:ind w:right="445" w:firstLine="480" w:firstLineChars="200"/>
        <w:rPr>
          <w:rFonts w:ascii="仿宋" w:hAnsi="仿宋" w:eastAsia="仿宋" w:cs="仿宋"/>
          <w:color w:val="auto"/>
          <w:highlight w:val="none"/>
        </w:rPr>
      </w:pPr>
      <w:r>
        <w:rPr>
          <w:rFonts w:hint="eastAsia" w:ascii="仿宋" w:hAnsi="仿宋" w:eastAsia="仿宋" w:cs="仿宋"/>
          <w:color w:val="auto"/>
          <w:highlight w:val="none"/>
        </w:rPr>
        <w:t>3.2.2咨询人向委托人提供咨询成果文件的名称、组成、时间、份数及质量标准：</w:t>
      </w:r>
      <w:r>
        <w:rPr>
          <w:rFonts w:hint="eastAsia" w:ascii="仿宋" w:hAnsi="仿宋" w:eastAsia="仿宋" w:cs="仿宋"/>
          <w:color w:val="auto"/>
          <w:highlight w:val="none"/>
          <w:u w:val="single"/>
        </w:rPr>
        <w:t>按项目实施过程中委托人的要求</w:t>
      </w:r>
      <w:r>
        <w:rPr>
          <w:rFonts w:hint="eastAsia" w:ascii="仿宋" w:hAnsi="仿宋" w:eastAsia="仿宋" w:cs="仿宋"/>
          <w:color w:val="auto"/>
          <w:highlight w:val="none"/>
        </w:rPr>
        <w:t>。</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3.2.4 咨询人应在收到委托人以书面形式提出的建议或者异议后</w:t>
      </w:r>
      <w:r>
        <w:rPr>
          <w:rFonts w:hint="eastAsia" w:ascii="仿宋" w:hAnsi="仿宋" w:eastAsia="仿宋" w:cs="仿宋"/>
          <w:b/>
          <w:color w:val="auto"/>
          <w:sz w:val="24"/>
          <w:highlight w:val="none"/>
          <w:u w:val="single"/>
        </w:rPr>
        <w:t xml:space="preserve"> 3 </w:t>
      </w:r>
      <w:r>
        <w:rPr>
          <w:rFonts w:hint="eastAsia" w:ascii="仿宋" w:hAnsi="仿宋" w:eastAsia="仿宋" w:cs="仿宋"/>
          <w:b/>
          <w:color w:val="auto"/>
          <w:sz w:val="24"/>
          <w:highlight w:val="none"/>
        </w:rPr>
        <w:t>日</w:t>
      </w:r>
      <w:r>
        <w:rPr>
          <w:rFonts w:hint="eastAsia" w:ascii="仿宋" w:hAnsi="仿宋" w:eastAsia="仿宋" w:cs="仿宋"/>
          <w:color w:val="auto"/>
          <w:sz w:val="24"/>
          <w:highlight w:val="none"/>
        </w:rPr>
        <w:t>内给予书面答复。</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3.3咨询人的工作依据</w:t>
      </w:r>
    </w:p>
    <w:p>
      <w:pPr>
        <w:pStyle w:val="24"/>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经双方协商，本合同约定的造价咨询服务适用的技术标准、规范、定额等工作依据为：</w:t>
      </w:r>
    </w:p>
    <w:p>
      <w:pPr>
        <w:snapToGrid w:val="0"/>
        <w:spacing w:line="44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建设工程工程量清单计价规范》（GB50500-2013）及其各专业工程量计算规范；</w:t>
      </w:r>
    </w:p>
    <w:p>
      <w:pPr>
        <w:snapToGrid w:val="0"/>
        <w:spacing w:line="44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《建设工程工程量清单计价规范》浙江省补充条款及补充内容的规定；</w:t>
      </w:r>
    </w:p>
    <w:p>
      <w:pPr>
        <w:snapToGrid w:val="0"/>
        <w:spacing w:line="44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浙江省建设工程计价规则（2018版）；</w:t>
      </w:r>
    </w:p>
    <w:p>
      <w:pPr>
        <w:snapToGrid w:val="0"/>
        <w:spacing w:line="44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浙江省房屋建筑与装饰工程预算定额（2018版）； </w:t>
      </w:r>
    </w:p>
    <w:p>
      <w:pPr>
        <w:snapToGrid w:val="0"/>
        <w:spacing w:line="44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浙江省通用安装工程预算定额（2018版）；</w:t>
      </w:r>
    </w:p>
    <w:p>
      <w:pPr>
        <w:snapToGrid w:val="0"/>
        <w:spacing w:line="44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浙江省市政工程预算定额（2018版）； </w:t>
      </w:r>
    </w:p>
    <w:p>
      <w:pPr>
        <w:snapToGrid w:val="0"/>
        <w:spacing w:line="44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浙江省园林绿化及仿古建筑工程预算定额（2018版）；</w:t>
      </w:r>
    </w:p>
    <w:p>
      <w:pPr>
        <w:snapToGrid w:val="0"/>
        <w:spacing w:line="44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其他法律法规、规范性文件及行业最新相关规定。</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3.4使用委托人房屋及设备的返还</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咨询人应在本合同终止后 3日内移交委托人提供的房屋及设备，移交的方式为：</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w:t>
      </w:r>
    </w:p>
    <w:p>
      <w:pPr>
        <w:pStyle w:val="4"/>
        <w:tabs>
          <w:tab w:val="left" w:pos="1223"/>
          <w:tab w:val="clear" w:pos="900"/>
        </w:tabs>
        <w:snapToGrid w:val="0"/>
        <w:spacing w:line="440" w:lineRule="exact"/>
        <w:jc w:val="center"/>
        <w:rPr>
          <w:rFonts w:ascii="仿宋" w:hAnsi="仿宋" w:eastAsia="仿宋" w:cs="仿宋"/>
          <w:color w:val="auto"/>
          <w:sz w:val="24"/>
          <w:szCs w:val="24"/>
          <w:highlight w:val="none"/>
        </w:rPr>
      </w:pPr>
      <w:bookmarkStart w:id="489" w:name="_Toc528528900"/>
      <w:bookmarkStart w:id="490" w:name="_Toc35366009"/>
      <w:bookmarkStart w:id="491" w:name="_Toc528529050"/>
      <w:r>
        <w:rPr>
          <w:rFonts w:hint="eastAsia" w:ascii="仿宋" w:hAnsi="仿宋" w:eastAsia="仿宋" w:cs="仿宋"/>
          <w:color w:val="auto"/>
          <w:sz w:val="24"/>
          <w:szCs w:val="24"/>
          <w:highlight w:val="none"/>
        </w:rPr>
        <w:t>4.违约责任</w:t>
      </w:r>
      <w:bookmarkEnd w:id="489"/>
      <w:bookmarkEnd w:id="490"/>
      <w:bookmarkEnd w:id="491"/>
    </w:p>
    <w:p>
      <w:pPr>
        <w:pStyle w:val="24"/>
        <w:numPr>
          <w:ilvl w:val="0"/>
          <w:numId w:val="12"/>
        </w:numPr>
        <w:snapToGrid w:val="0"/>
        <w:spacing w:line="440" w:lineRule="exact"/>
        <w:rPr>
          <w:rFonts w:ascii="仿宋" w:hAnsi="仿宋" w:eastAsia="仿宋" w:cs="仿宋"/>
          <w:color w:val="auto"/>
          <w:highlight w:val="none"/>
          <w:u w:val="single"/>
        </w:rPr>
      </w:pPr>
      <w:r>
        <w:rPr>
          <w:rFonts w:hint="eastAsia" w:ascii="仿宋" w:hAnsi="仿宋" w:eastAsia="仿宋" w:cs="仿宋"/>
          <w:color w:val="auto"/>
          <w:szCs w:val="24"/>
          <w:highlight w:val="none"/>
        </w:rPr>
        <w:t>咨询人须按委托人需求完成招标文件“采购需求”工作内容（但不包含逾期交付的成果文件），如无法满足委托人要求，委托人有权向咨询人发放《整改通知单》；如咨询人仍未能按《整改通知单》要求完成</w:t>
      </w:r>
      <w:r>
        <w:rPr>
          <w:rFonts w:hint="eastAsia" w:ascii="仿宋" w:hAnsi="仿宋" w:eastAsia="仿宋" w:cs="仿宋"/>
          <w:color w:val="auto"/>
          <w:szCs w:val="24"/>
          <w:highlight w:val="none"/>
          <w:lang w:val="en-US"/>
        </w:rPr>
        <w:t>相关服务工作，</w:t>
      </w:r>
      <w:r>
        <w:rPr>
          <w:rFonts w:hint="eastAsia" w:ascii="仿宋" w:hAnsi="仿宋" w:eastAsia="仿宋" w:cs="仿宋"/>
          <w:color w:val="auto"/>
          <w:szCs w:val="24"/>
          <w:highlight w:val="none"/>
        </w:rPr>
        <w:t>委托人有权每次处</w:t>
      </w:r>
      <w:r>
        <w:rPr>
          <w:rFonts w:hint="eastAsia" w:ascii="仿宋" w:hAnsi="仿宋" w:eastAsia="仿宋" w:cs="仿宋"/>
          <w:color w:val="auto"/>
          <w:highlight w:val="none"/>
          <w:u w:val="single"/>
        </w:rPr>
        <w:t>1000元的违约金</w:t>
      </w:r>
      <w:r>
        <w:rPr>
          <w:rFonts w:hint="eastAsia" w:ascii="仿宋" w:hAnsi="仿宋" w:eastAsia="仿宋" w:cs="仿宋"/>
          <w:color w:val="auto"/>
          <w:szCs w:val="24"/>
          <w:highlight w:val="none"/>
          <w:lang w:val="en-US"/>
        </w:rPr>
        <w:t>。如情节严重，</w:t>
      </w:r>
      <w:r>
        <w:rPr>
          <w:rFonts w:hint="eastAsia" w:ascii="仿宋" w:hAnsi="仿宋" w:eastAsia="仿宋" w:cs="仿宋"/>
          <w:color w:val="auto"/>
          <w:szCs w:val="24"/>
          <w:highlight w:val="none"/>
        </w:rPr>
        <w:t>委托人有权终止合同，要求咨询人返还给委托人</w:t>
      </w:r>
      <w:r>
        <w:rPr>
          <w:rFonts w:hint="eastAsia" w:ascii="仿宋" w:hAnsi="仿宋" w:eastAsia="仿宋" w:cs="仿宋"/>
          <w:color w:val="auto"/>
          <w:highlight w:val="none"/>
          <w:u w:val="single"/>
        </w:rPr>
        <w:t>已支付的合同款项</w:t>
      </w:r>
      <w:r>
        <w:rPr>
          <w:rFonts w:hint="eastAsia" w:ascii="仿宋" w:hAnsi="仿宋" w:eastAsia="仿宋" w:cs="仿宋"/>
          <w:color w:val="auto"/>
          <w:szCs w:val="24"/>
          <w:highlight w:val="none"/>
        </w:rPr>
        <w:t>，并处以本合同金额</w:t>
      </w:r>
      <w:r>
        <w:rPr>
          <w:rFonts w:hint="eastAsia" w:ascii="仿宋" w:hAnsi="仿宋" w:eastAsia="仿宋" w:cs="仿宋"/>
          <w:color w:val="auto"/>
          <w:szCs w:val="24"/>
          <w:highlight w:val="none"/>
          <w:lang w:val="en-US"/>
        </w:rPr>
        <w:t>1</w:t>
      </w:r>
      <w:r>
        <w:rPr>
          <w:rFonts w:hint="eastAsia" w:ascii="仿宋" w:hAnsi="仿宋" w:eastAsia="仿宋" w:cs="仿宋"/>
          <w:color w:val="auto"/>
          <w:szCs w:val="24"/>
          <w:highlight w:val="none"/>
        </w:rPr>
        <w:t>0%的违约金。</w:t>
      </w:r>
    </w:p>
    <w:p>
      <w:pPr>
        <w:pStyle w:val="24"/>
        <w:numPr>
          <w:ilvl w:val="0"/>
          <w:numId w:val="12"/>
        </w:numPr>
        <w:snapToGrid w:val="0"/>
        <w:spacing w:line="440" w:lineRule="exact"/>
        <w:rPr>
          <w:rFonts w:ascii="仿宋" w:hAnsi="仿宋" w:eastAsia="仿宋" w:cs="仿宋"/>
          <w:color w:val="auto"/>
          <w:highlight w:val="none"/>
          <w:u w:val="single"/>
        </w:rPr>
      </w:pPr>
      <w:r>
        <w:rPr>
          <w:rFonts w:hint="eastAsia" w:ascii="仿宋" w:hAnsi="仿宋" w:eastAsia="仿宋" w:cs="仿宋"/>
          <w:color w:val="auto"/>
          <w:highlight w:val="none"/>
          <w:u w:val="single"/>
        </w:rPr>
        <w:t>合同履行期限内，非咨询人原因，</w:t>
      </w:r>
      <w:bookmarkStart w:id="492" w:name="_Hlk69984686"/>
      <w:r>
        <w:rPr>
          <w:rFonts w:hint="eastAsia" w:ascii="仿宋" w:hAnsi="仿宋" w:eastAsia="仿宋" w:cs="仿宋"/>
          <w:color w:val="auto"/>
          <w:highlight w:val="none"/>
          <w:u w:val="single"/>
        </w:rPr>
        <w:t>委托人提前解除合同，委托人根据咨询人工作完成情况，结算咨询合理报酬。</w:t>
      </w:r>
    </w:p>
    <w:bookmarkEnd w:id="492"/>
    <w:p>
      <w:pPr>
        <w:pStyle w:val="24"/>
        <w:numPr>
          <w:ilvl w:val="0"/>
          <w:numId w:val="12"/>
        </w:numPr>
        <w:snapToGrid w:val="0"/>
        <w:spacing w:line="440" w:lineRule="exact"/>
        <w:rPr>
          <w:rFonts w:ascii="仿宋" w:hAnsi="仿宋" w:eastAsia="仿宋" w:cs="仿宋"/>
          <w:color w:val="auto"/>
          <w:highlight w:val="none"/>
          <w:u w:val="single"/>
        </w:rPr>
      </w:pPr>
      <w:r>
        <w:rPr>
          <w:rFonts w:hint="eastAsia" w:ascii="仿宋" w:hAnsi="仿宋" w:eastAsia="仿宋" w:cs="仿宋"/>
          <w:color w:val="auto"/>
          <w:highlight w:val="none"/>
          <w:u w:val="single"/>
        </w:rPr>
        <w:t>由于咨询人未履行本协议所规定的职责而发生的一切费用由咨询人承担。咨询人逾期提交咨询成果文件的，委托人有权向受托人发放《整改通知单》；如咨询人仍未能按《整改通知单》要求完成</w:t>
      </w:r>
      <w:r>
        <w:rPr>
          <w:rFonts w:hint="eastAsia" w:ascii="仿宋" w:hAnsi="仿宋" w:eastAsia="仿宋" w:cs="仿宋"/>
          <w:color w:val="auto"/>
          <w:highlight w:val="none"/>
          <w:u w:val="single"/>
          <w:lang w:val="en-US"/>
        </w:rPr>
        <w:t>相关服务工作，</w:t>
      </w:r>
      <w:r>
        <w:rPr>
          <w:rFonts w:hint="eastAsia" w:ascii="仿宋" w:hAnsi="仿宋" w:eastAsia="仿宋" w:cs="仿宋"/>
          <w:color w:val="auto"/>
          <w:highlight w:val="none"/>
          <w:u w:val="single"/>
        </w:rPr>
        <w:t>每逾期一天应承担1000元的违约金；逾期超过20天情况严重的，委托人有权单方解除合同，要求咨询人退还委托人已支付的合同款项，要求咨询人承担合同金额30%的违约金，并赔偿因此给委托人造成的全部损失。</w:t>
      </w:r>
    </w:p>
    <w:p>
      <w:pPr>
        <w:pStyle w:val="24"/>
        <w:numPr>
          <w:ilvl w:val="0"/>
          <w:numId w:val="12"/>
        </w:numPr>
        <w:snapToGrid w:val="0"/>
        <w:spacing w:line="440" w:lineRule="exact"/>
        <w:rPr>
          <w:rFonts w:ascii="仿宋" w:hAnsi="仿宋" w:eastAsia="仿宋" w:cs="仿宋"/>
          <w:color w:val="auto"/>
          <w:highlight w:val="none"/>
          <w:u w:val="single"/>
        </w:rPr>
      </w:pPr>
      <w:r>
        <w:rPr>
          <w:rFonts w:hint="eastAsia" w:ascii="仿宋" w:hAnsi="仿宋" w:eastAsia="仿宋" w:cs="仿宋"/>
          <w:color w:val="auto"/>
          <w:highlight w:val="none"/>
          <w:u w:val="single"/>
        </w:rPr>
        <w:t>合同履行期限内，非委托人原因，咨询人提前解除合同，咨询人应赔偿委托人全部损失，退还委托人已支付的合同款项，并承担合同价30%的违约金。</w:t>
      </w:r>
    </w:p>
    <w:p>
      <w:pPr>
        <w:pStyle w:val="24"/>
        <w:numPr>
          <w:ilvl w:val="0"/>
          <w:numId w:val="12"/>
        </w:numPr>
        <w:snapToGrid w:val="0"/>
        <w:spacing w:line="440" w:lineRule="exact"/>
        <w:rPr>
          <w:rFonts w:ascii="仿宋" w:hAnsi="仿宋" w:eastAsia="仿宋" w:cs="仿宋"/>
          <w:color w:val="auto"/>
          <w:highlight w:val="none"/>
          <w:u w:val="single"/>
        </w:rPr>
      </w:pPr>
      <w:r>
        <w:rPr>
          <w:rFonts w:hint="eastAsia" w:ascii="仿宋" w:hAnsi="仿宋" w:eastAsia="仿宋" w:cs="仿宋"/>
          <w:color w:val="auto"/>
          <w:highlight w:val="none"/>
          <w:u w:val="single"/>
        </w:rPr>
        <w:t>不可抗力原因，致使一方不能履行合同，双方不承担违约责任，但应将情况尽快通知另一方，并应尽量减少由此发生的损失。</w:t>
      </w:r>
    </w:p>
    <w:p>
      <w:pPr>
        <w:pStyle w:val="24"/>
        <w:numPr>
          <w:ilvl w:val="0"/>
          <w:numId w:val="12"/>
        </w:numPr>
        <w:snapToGrid w:val="0"/>
        <w:spacing w:line="440" w:lineRule="exact"/>
        <w:rPr>
          <w:rFonts w:ascii="仿宋" w:hAnsi="仿宋" w:eastAsia="仿宋" w:cs="仿宋"/>
          <w:color w:val="auto"/>
          <w:highlight w:val="none"/>
          <w:u w:val="single"/>
        </w:rPr>
      </w:pPr>
      <w:r>
        <w:rPr>
          <w:rFonts w:hint="eastAsia" w:ascii="仿宋" w:hAnsi="仿宋" w:eastAsia="仿宋" w:cs="仿宋"/>
          <w:color w:val="auto"/>
          <w:highlight w:val="none"/>
          <w:u w:val="single"/>
        </w:rPr>
        <w:t>咨询人泄露了与本合同工程有关的任何不应泄露的资料和情况。委托人有权单方解除合同，要求咨询人承担合同金额30%的违约金，退还委托人已支付的合同款项，并赔偿给委托人由此造成的全部损失。</w:t>
      </w:r>
    </w:p>
    <w:p>
      <w:pPr>
        <w:pStyle w:val="24"/>
        <w:numPr>
          <w:ilvl w:val="0"/>
          <w:numId w:val="12"/>
        </w:numPr>
        <w:snapToGrid w:val="0"/>
        <w:spacing w:line="440" w:lineRule="exact"/>
        <w:rPr>
          <w:rFonts w:ascii="仿宋" w:hAnsi="仿宋" w:eastAsia="仿宋" w:cs="仿宋"/>
          <w:color w:val="auto"/>
          <w:highlight w:val="none"/>
          <w:u w:val="single"/>
        </w:rPr>
      </w:pPr>
      <w:r>
        <w:rPr>
          <w:rFonts w:hint="eastAsia" w:ascii="仿宋" w:hAnsi="仿宋" w:eastAsia="仿宋" w:cs="仿宋"/>
          <w:color w:val="auto"/>
          <w:highlight w:val="none"/>
          <w:u w:val="single"/>
        </w:rPr>
        <w:t>咨询人</w:t>
      </w:r>
      <w:r>
        <w:rPr>
          <w:rFonts w:hint="eastAsia" w:ascii="仿宋" w:hAnsi="仿宋" w:eastAsia="仿宋" w:cs="仿宋"/>
          <w:color w:val="auto"/>
          <w:highlight w:val="none"/>
          <w:u w:val="single"/>
          <w:lang w:eastAsia="zh-Hans"/>
        </w:rPr>
        <w:t>应根据委托人要求的期限、标准交付工作成果，工作成果应以书面或其他委托人认可的方式进行提交。</w:t>
      </w:r>
      <w:r>
        <w:rPr>
          <w:rFonts w:hint="eastAsia" w:ascii="仿宋" w:hAnsi="仿宋" w:eastAsia="仿宋" w:cs="仿宋"/>
          <w:color w:val="auto"/>
          <w:highlight w:val="none"/>
          <w:u w:val="single"/>
        </w:rPr>
        <w:t>由于咨询人原因，咨询人提供的成果文件中出现</w:t>
      </w:r>
      <w:r>
        <w:rPr>
          <w:rFonts w:hint="eastAsia" w:ascii="仿宋" w:hAnsi="仿宋" w:eastAsia="仿宋" w:cs="仿宋"/>
          <w:color w:val="auto"/>
          <w:highlight w:val="none"/>
          <w:u w:val="single"/>
          <w:lang w:val="en-US"/>
        </w:rPr>
        <w:t>错误</w:t>
      </w:r>
      <w:r>
        <w:rPr>
          <w:rFonts w:hint="eastAsia" w:ascii="仿宋" w:hAnsi="仿宋" w:eastAsia="仿宋" w:cs="仿宋"/>
          <w:color w:val="auto"/>
          <w:highlight w:val="none"/>
          <w:u w:val="single"/>
        </w:rPr>
        <w:t>（单位、工程量等错误）、错项（包括但不限于缺项、多项等）、重复（包括但不限于界面范围内重复、与界面范围外重复）等问题影响造价，咨询人应对以上咨询成果文件予以修改、纠正，因之给委托人造成损失的，还应赔偿相应损失。</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各项目结算终审价与结算初审价相比误差率达到±5%-±7%（不含）的，扣除合同总金额的1％；</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各项目结算终审价与结算初审价相比误差率达到±7%-±10%（不含）的，扣除合同总金额的2％；</w:t>
      </w:r>
    </w:p>
    <w:p>
      <w:pPr>
        <w:pStyle w:val="6"/>
        <w:spacing w:line="440" w:lineRule="exact"/>
        <w:ind w:firstLine="480" w:firstLineChars="200"/>
        <w:rPr>
          <w:rFonts w:ascii="仿宋" w:hAnsi="仿宋" w:eastAsia="仿宋" w:cs="仿宋"/>
          <w:snapToGrid/>
          <w:color w:val="auto"/>
          <w:sz w:val="24"/>
          <w:szCs w:val="24"/>
          <w:highlight w:val="none"/>
        </w:rPr>
      </w:pPr>
      <w:r>
        <w:rPr>
          <w:rFonts w:hint="eastAsia" w:ascii="仿宋" w:hAnsi="仿宋" w:eastAsia="仿宋" w:cs="仿宋"/>
          <w:color w:val="auto"/>
          <w:sz w:val="24"/>
          <w:szCs w:val="24"/>
          <w:highlight w:val="none"/>
        </w:rPr>
        <w:t>各项目结算终审价与结算初审价相比误差率达到±10%及以上的，扣除</w:t>
      </w:r>
      <w:r>
        <w:rPr>
          <w:rFonts w:hint="eastAsia" w:ascii="仿宋" w:hAnsi="仿宋" w:eastAsia="仿宋" w:cs="仿宋"/>
          <w:color w:val="auto"/>
          <w:sz w:val="24"/>
          <w:highlight w:val="none"/>
        </w:rPr>
        <w:t>合同</w:t>
      </w:r>
      <w:r>
        <w:rPr>
          <w:rFonts w:hint="eastAsia" w:ascii="仿宋" w:hAnsi="仿宋" w:eastAsia="仿宋" w:cs="仿宋"/>
          <w:color w:val="auto"/>
          <w:sz w:val="24"/>
          <w:szCs w:val="24"/>
          <w:highlight w:val="none"/>
        </w:rPr>
        <w:t>总</w:t>
      </w:r>
      <w:r>
        <w:rPr>
          <w:rFonts w:hint="eastAsia" w:ascii="仿宋" w:hAnsi="仿宋" w:eastAsia="仿宋" w:cs="仿宋"/>
          <w:color w:val="auto"/>
          <w:sz w:val="24"/>
          <w:highlight w:val="none"/>
        </w:rPr>
        <w:t>金额</w:t>
      </w:r>
      <w:r>
        <w:rPr>
          <w:rFonts w:hint="eastAsia" w:ascii="仿宋" w:hAnsi="仿宋" w:eastAsia="仿宋" w:cs="仿宋"/>
          <w:color w:val="auto"/>
          <w:sz w:val="24"/>
          <w:szCs w:val="24"/>
          <w:highlight w:val="none"/>
        </w:rPr>
        <w:t>的10％。</w:t>
      </w:r>
      <w:r>
        <w:rPr>
          <w:rFonts w:hint="eastAsia" w:ascii="仿宋" w:hAnsi="仿宋" w:eastAsia="仿宋" w:cs="仿宋"/>
          <w:snapToGrid/>
          <w:color w:val="auto"/>
          <w:sz w:val="24"/>
          <w:szCs w:val="24"/>
          <w:highlight w:val="none"/>
        </w:rPr>
        <w:t xml:space="preserve"> </w:t>
      </w:r>
    </w:p>
    <w:p>
      <w:pPr>
        <w:pStyle w:val="6"/>
        <w:spacing w:line="440" w:lineRule="exact"/>
        <w:ind w:firstLine="480" w:firstLineChars="200"/>
        <w:rPr>
          <w:rFonts w:ascii="仿宋" w:hAnsi="仿宋" w:eastAsia="仿宋" w:cs="仿宋"/>
          <w:snapToGrid/>
          <w:color w:val="auto"/>
          <w:sz w:val="24"/>
          <w:szCs w:val="24"/>
          <w:highlight w:val="none"/>
        </w:rPr>
      </w:pPr>
      <w:r>
        <w:rPr>
          <w:rFonts w:hint="eastAsia" w:ascii="仿宋" w:hAnsi="仿宋" w:eastAsia="仿宋" w:cs="仿宋"/>
          <w:snapToGrid/>
          <w:color w:val="auto"/>
          <w:sz w:val="24"/>
          <w:szCs w:val="24"/>
          <w:highlight w:val="none"/>
        </w:rPr>
        <w:t>咨询人向委托人提供结算初审服务，结算初审的核增核减追加费包含在合同总价中，不再额外支付。</w:t>
      </w:r>
    </w:p>
    <w:p>
      <w:pPr>
        <w:pStyle w:val="24"/>
        <w:numPr>
          <w:ilvl w:val="0"/>
          <w:numId w:val="12"/>
        </w:numPr>
        <w:snapToGrid w:val="0"/>
        <w:spacing w:line="440" w:lineRule="exact"/>
        <w:rPr>
          <w:color w:val="auto"/>
          <w:highlight w:val="none"/>
        </w:rPr>
      </w:pPr>
      <w:r>
        <w:rPr>
          <w:rFonts w:hint="eastAsia" w:ascii="仿宋" w:hAnsi="仿宋" w:eastAsia="仿宋" w:cs="仿宋"/>
          <w:color w:val="auto"/>
          <w:highlight w:val="none"/>
          <w:u w:val="single"/>
          <w:lang w:eastAsia="zh-Hans"/>
        </w:rPr>
        <w:t>咨询人应</w:t>
      </w:r>
      <w:r>
        <w:rPr>
          <w:rFonts w:hint="eastAsia" w:ascii="仿宋" w:hAnsi="仿宋" w:eastAsia="仿宋" w:cs="仿宋"/>
          <w:color w:val="auto"/>
          <w:highlight w:val="none"/>
          <w:u w:val="single"/>
        </w:rPr>
        <w:t>保证参与项目的每一个人员均具有“招标文件采购需求”相适应的</w:t>
      </w:r>
      <w:r>
        <w:rPr>
          <w:rFonts w:hint="eastAsia" w:ascii="仿宋" w:hAnsi="仿宋" w:eastAsia="仿宋" w:cs="仿宋"/>
          <w:color w:val="auto"/>
          <w:highlight w:val="none"/>
          <w:u w:val="single"/>
          <w:lang w:eastAsia="zh-Hans"/>
        </w:rPr>
        <w:t>证书</w:t>
      </w:r>
      <w:r>
        <w:rPr>
          <w:rFonts w:hint="eastAsia" w:ascii="仿宋" w:hAnsi="仿宋" w:eastAsia="仿宋" w:cs="仿宋"/>
          <w:color w:val="auto"/>
          <w:highlight w:val="none"/>
          <w:u w:val="single"/>
        </w:rPr>
        <w:t>及能力。</w:t>
      </w:r>
      <w:r>
        <w:rPr>
          <w:rFonts w:hint="eastAsia" w:ascii="仿宋" w:hAnsi="仿宋" w:eastAsia="仿宋" w:cs="仿宋"/>
          <w:color w:val="auto"/>
          <w:highlight w:val="none"/>
          <w:u w:val="single"/>
          <w:lang w:eastAsia="zh-Hans"/>
        </w:rPr>
        <w:t>委托人</w:t>
      </w:r>
      <w:r>
        <w:rPr>
          <w:rFonts w:hint="eastAsia" w:ascii="仿宋" w:hAnsi="仿宋" w:eastAsia="仿宋" w:cs="仿宋"/>
          <w:color w:val="auto"/>
          <w:highlight w:val="none"/>
          <w:u w:val="single"/>
        </w:rPr>
        <w:t>若发现</w:t>
      </w:r>
      <w:r>
        <w:rPr>
          <w:rFonts w:hint="eastAsia" w:ascii="仿宋" w:hAnsi="仿宋" w:eastAsia="仿宋" w:cs="仿宋"/>
          <w:color w:val="auto"/>
          <w:highlight w:val="none"/>
          <w:u w:val="single"/>
          <w:lang w:eastAsia="zh-Hans"/>
        </w:rPr>
        <w:t>咨询人</w:t>
      </w:r>
      <w:r>
        <w:rPr>
          <w:rFonts w:hint="eastAsia" w:ascii="仿宋" w:hAnsi="仿宋" w:eastAsia="仿宋" w:cs="仿宋"/>
          <w:color w:val="auto"/>
          <w:highlight w:val="none"/>
          <w:u w:val="single"/>
        </w:rPr>
        <w:t>方</w:t>
      </w:r>
      <w:r>
        <w:rPr>
          <w:rFonts w:hint="eastAsia" w:ascii="仿宋" w:hAnsi="仿宋" w:eastAsia="仿宋" w:cs="仿宋"/>
          <w:color w:val="auto"/>
          <w:highlight w:val="none"/>
          <w:u w:val="single"/>
          <w:lang w:eastAsia="zh-Hans"/>
        </w:rPr>
        <w:t>工作</w:t>
      </w:r>
      <w:r>
        <w:rPr>
          <w:rFonts w:hint="eastAsia" w:ascii="仿宋" w:hAnsi="仿宋" w:eastAsia="仿宋" w:cs="仿宋"/>
          <w:color w:val="auto"/>
          <w:highlight w:val="none"/>
          <w:u w:val="single"/>
        </w:rPr>
        <w:t>人员不符合本工程全过程跟踪审计的资格和能力，委托方有权随时通知</w:t>
      </w:r>
      <w:r>
        <w:rPr>
          <w:rFonts w:hint="eastAsia" w:ascii="仿宋" w:hAnsi="仿宋" w:eastAsia="仿宋" w:cs="仿宋"/>
          <w:color w:val="auto"/>
          <w:highlight w:val="none"/>
          <w:u w:val="single"/>
          <w:lang w:eastAsia="zh-Hans"/>
        </w:rPr>
        <w:t>咨询人</w:t>
      </w:r>
      <w:r>
        <w:rPr>
          <w:rFonts w:hint="eastAsia" w:ascii="仿宋" w:hAnsi="仿宋" w:eastAsia="仿宋" w:cs="仿宋"/>
          <w:color w:val="auto"/>
          <w:highlight w:val="none"/>
          <w:u w:val="single"/>
        </w:rPr>
        <w:t>予以撤换，</w:t>
      </w:r>
      <w:r>
        <w:rPr>
          <w:rFonts w:hint="eastAsia" w:ascii="仿宋" w:hAnsi="仿宋" w:eastAsia="仿宋" w:cs="仿宋"/>
          <w:color w:val="auto"/>
          <w:highlight w:val="none"/>
          <w:u w:val="single"/>
          <w:lang w:eastAsia="zh-Hans"/>
        </w:rPr>
        <w:t>咨询人</w:t>
      </w:r>
      <w:r>
        <w:rPr>
          <w:rFonts w:hint="eastAsia" w:ascii="仿宋" w:hAnsi="仿宋" w:eastAsia="仿宋" w:cs="仿宋"/>
          <w:color w:val="auto"/>
          <w:highlight w:val="none"/>
          <w:u w:val="single"/>
        </w:rPr>
        <w:t>不得拒绝，且自行承担因此造成的损失。如拒绝更换，委托人有权处以咨询人承担合同价10%的违约金，违约金在服务费中扣除。</w:t>
      </w:r>
    </w:p>
    <w:p>
      <w:pPr>
        <w:pStyle w:val="24"/>
        <w:numPr>
          <w:ilvl w:val="0"/>
          <w:numId w:val="12"/>
        </w:numPr>
        <w:snapToGrid w:val="0"/>
        <w:spacing w:line="440" w:lineRule="exact"/>
        <w:rPr>
          <w:rFonts w:ascii="仿宋" w:hAnsi="仿宋" w:eastAsia="仿宋" w:cs="仿宋"/>
          <w:color w:val="auto"/>
          <w:highlight w:val="none"/>
          <w:u w:val="single"/>
        </w:rPr>
      </w:pPr>
      <w:r>
        <w:rPr>
          <w:rFonts w:hint="eastAsia" w:ascii="仿宋" w:hAnsi="仿宋" w:eastAsia="仿宋" w:cs="仿宋"/>
          <w:color w:val="auto"/>
          <w:highlight w:val="none"/>
          <w:u w:val="single"/>
          <w:lang w:eastAsia="zh-Hans"/>
        </w:rPr>
        <w:t>由于咨询人</w:t>
      </w:r>
      <w:r>
        <w:rPr>
          <w:rFonts w:hint="eastAsia" w:ascii="仿宋" w:hAnsi="仿宋" w:eastAsia="仿宋" w:cs="仿宋"/>
          <w:color w:val="auto"/>
          <w:highlight w:val="none"/>
          <w:u w:val="single"/>
        </w:rPr>
        <w:t>工作失误的原因造成的</w:t>
      </w:r>
      <w:r>
        <w:rPr>
          <w:rFonts w:hint="eastAsia" w:ascii="仿宋" w:hAnsi="仿宋" w:eastAsia="仿宋" w:cs="仿宋"/>
          <w:color w:val="auto"/>
          <w:highlight w:val="none"/>
          <w:u w:val="single"/>
          <w:lang w:eastAsia="zh-Hans"/>
        </w:rPr>
        <w:t>委托人</w:t>
      </w:r>
      <w:r>
        <w:rPr>
          <w:rFonts w:hint="eastAsia" w:ascii="仿宋" w:hAnsi="仿宋" w:eastAsia="仿宋" w:cs="仿宋"/>
          <w:color w:val="auto"/>
          <w:highlight w:val="none"/>
          <w:u w:val="single"/>
        </w:rPr>
        <w:t>的损失，导致</w:t>
      </w:r>
      <w:r>
        <w:rPr>
          <w:rFonts w:hint="eastAsia" w:ascii="仿宋" w:hAnsi="仿宋" w:eastAsia="仿宋" w:cs="仿宋"/>
          <w:color w:val="auto"/>
          <w:highlight w:val="none"/>
          <w:u w:val="single"/>
          <w:lang w:eastAsia="zh-Hans"/>
        </w:rPr>
        <w:t>委托人</w:t>
      </w:r>
      <w:r>
        <w:rPr>
          <w:rFonts w:hint="eastAsia" w:ascii="仿宋" w:hAnsi="仿宋" w:eastAsia="仿宋" w:cs="仿宋"/>
          <w:color w:val="auto"/>
          <w:highlight w:val="none"/>
          <w:u w:val="single"/>
        </w:rPr>
        <w:t>不得不另行委托全过程跟踪审计服务单位，产生的委托手续</w:t>
      </w:r>
      <w:r>
        <w:rPr>
          <w:rFonts w:hint="eastAsia" w:ascii="仿宋" w:hAnsi="仿宋" w:eastAsia="仿宋" w:cs="仿宋"/>
          <w:color w:val="auto"/>
          <w:highlight w:val="none"/>
          <w:u w:val="single"/>
          <w:lang w:eastAsia="zh-Hans"/>
        </w:rPr>
        <w:t>费用在咨询人</w:t>
      </w:r>
      <w:r>
        <w:rPr>
          <w:rFonts w:hint="eastAsia" w:ascii="仿宋" w:hAnsi="仿宋" w:eastAsia="仿宋" w:cs="仿宋"/>
          <w:color w:val="auto"/>
          <w:highlight w:val="none"/>
          <w:u w:val="single"/>
        </w:rPr>
        <w:t>的</w:t>
      </w:r>
      <w:r>
        <w:rPr>
          <w:rFonts w:hint="eastAsia" w:ascii="仿宋" w:hAnsi="仿宋" w:eastAsia="仿宋" w:cs="仿宋"/>
          <w:color w:val="auto"/>
          <w:highlight w:val="none"/>
          <w:u w:val="single"/>
          <w:lang w:eastAsia="zh-Hans"/>
        </w:rPr>
        <w:t>合同价款</w:t>
      </w:r>
      <w:r>
        <w:rPr>
          <w:rFonts w:hint="eastAsia" w:ascii="仿宋" w:hAnsi="仿宋" w:eastAsia="仿宋" w:cs="仿宋"/>
          <w:color w:val="auto"/>
          <w:highlight w:val="none"/>
          <w:u w:val="single"/>
        </w:rPr>
        <w:t>中扣除予以补偿。且咨询人需无条件配合委托人另行委托的服务单位，否则委托人有权处以咨询人承担合同价</w:t>
      </w:r>
      <w:r>
        <w:rPr>
          <w:rFonts w:hint="eastAsia" w:ascii="仿宋" w:hAnsi="仿宋" w:eastAsia="仿宋" w:cs="仿宋"/>
          <w:color w:val="auto"/>
          <w:highlight w:val="none"/>
          <w:u w:val="single"/>
          <w:lang w:val="en-US"/>
        </w:rPr>
        <w:t>5</w:t>
      </w:r>
      <w:r>
        <w:rPr>
          <w:rFonts w:hint="eastAsia" w:ascii="仿宋" w:hAnsi="仿宋" w:eastAsia="仿宋" w:cs="仿宋"/>
          <w:color w:val="auto"/>
          <w:highlight w:val="none"/>
          <w:u w:val="single"/>
        </w:rPr>
        <w:t>%的违约金，违约金在服务费中扣除。</w:t>
      </w:r>
    </w:p>
    <w:p>
      <w:pPr>
        <w:pStyle w:val="24"/>
        <w:numPr>
          <w:ilvl w:val="0"/>
          <w:numId w:val="12"/>
        </w:numPr>
        <w:snapToGrid w:val="0"/>
        <w:spacing w:line="440" w:lineRule="exact"/>
        <w:rPr>
          <w:rFonts w:ascii="仿宋" w:hAnsi="仿宋" w:eastAsia="仿宋" w:cs="仿宋"/>
          <w:color w:val="auto"/>
          <w:highlight w:val="none"/>
          <w:u w:val="single"/>
        </w:rPr>
      </w:pPr>
      <w:r>
        <w:rPr>
          <w:rFonts w:hint="eastAsia" w:ascii="仿宋" w:hAnsi="仿宋" w:eastAsia="仿宋" w:cs="仿宋"/>
          <w:color w:val="auto"/>
          <w:highlight w:val="none"/>
          <w:u w:val="single"/>
          <w:lang w:eastAsia="zh-Hans"/>
        </w:rPr>
        <w:t>咨询方</w:t>
      </w:r>
      <w:r>
        <w:rPr>
          <w:rFonts w:hint="eastAsia" w:ascii="仿宋" w:hAnsi="仿宋" w:eastAsia="仿宋" w:cs="仿宋"/>
          <w:color w:val="auto"/>
          <w:highlight w:val="none"/>
          <w:u w:val="single"/>
        </w:rPr>
        <w:t>有弄虚作假、玩忽职守的情况，每发现一次，处违约金5000元，造成损失的，按照</w:t>
      </w:r>
      <w:r>
        <w:rPr>
          <w:rFonts w:hint="eastAsia" w:ascii="仿宋" w:hAnsi="仿宋" w:eastAsia="仿宋" w:cs="仿宋"/>
          <w:color w:val="auto"/>
          <w:highlight w:val="none"/>
          <w:u w:val="single"/>
          <w:lang w:eastAsia="zh-Hans"/>
        </w:rPr>
        <w:t>实际损失</w:t>
      </w:r>
      <w:r>
        <w:rPr>
          <w:rFonts w:hint="eastAsia" w:ascii="仿宋" w:hAnsi="仿宋" w:eastAsia="仿宋" w:cs="仿宋"/>
          <w:color w:val="auto"/>
          <w:highlight w:val="none"/>
          <w:u w:val="single"/>
        </w:rPr>
        <w:t>赔偿。</w:t>
      </w:r>
    </w:p>
    <w:p>
      <w:pPr>
        <w:pStyle w:val="4"/>
        <w:tabs>
          <w:tab w:val="left" w:pos="1223"/>
          <w:tab w:val="clear" w:pos="900"/>
        </w:tabs>
        <w:snapToGrid w:val="0"/>
        <w:spacing w:line="440" w:lineRule="exact"/>
        <w:ind w:firstLine="482" w:firstLineChars="200"/>
        <w:jc w:val="center"/>
        <w:rPr>
          <w:rFonts w:ascii="仿宋" w:hAnsi="仿宋" w:eastAsia="仿宋" w:cs="仿宋"/>
          <w:color w:val="auto"/>
          <w:sz w:val="24"/>
          <w:szCs w:val="24"/>
          <w:highlight w:val="none"/>
        </w:rPr>
      </w:pPr>
      <w:bookmarkStart w:id="493" w:name="_Toc528529051"/>
      <w:bookmarkStart w:id="494" w:name="_Toc35366010"/>
      <w:bookmarkStart w:id="495" w:name="_Toc528528901"/>
      <w:r>
        <w:rPr>
          <w:rFonts w:hint="eastAsia" w:ascii="仿宋" w:hAnsi="仿宋" w:eastAsia="仿宋" w:cs="仿宋"/>
          <w:color w:val="auto"/>
          <w:sz w:val="24"/>
          <w:szCs w:val="24"/>
          <w:highlight w:val="none"/>
        </w:rPr>
        <w:t>5.支付</w:t>
      </w:r>
      <w:bookmarkEnd w:id="493"/>
      <w:bookmarkEnd w:id="494"/>
      <w:bookmarkEnd w:id="495"/>
    </w:p>
    <w:p>
      <w:pPr>
        <w:pStyle w:val="24"/>
        <w:snapToGrid w:val="0"/>
        <w:ind w:firstLine="480" w:firstLineChars="200"/>
        <w:rPr>
          <w:rFonts w:ascii="仿宋" w:hAnsi="仿宋" w:eastAsia="仿宋" w:cs="仿宋"/>
          <w:color w:val="auto"/>
          <w:highlight w:val="none"/>
        </w:rPr>
      </w:pPr>
      <w:r>
        <w:rPr>
          <w:rFonts w:hint="eastAsia" w:ascii="仿宋" w:hAnsi="仿宋" w:eastAsia="仿宋" w:cs="仿宋"/>
          <w:color w:val="auto"/>
          <w:highlight w:val="none"/>
        </w:rPr>
        <w:t>5.1支付货币</w:t>
      </w:r>
    </w:p>
    <w:p>
      <w:pPr>
        <w:pStyle w:val="24"/>
        <w:snapToGrid w:val="0"/>
        <w:ind w:firstLine="480" w:firstLineChars="200"/>
        <w:rPr>
          <w:rFonts w:ascii="仿宋" w:hAnsi="仿宋" w:eastAsia="仿宋" w:cs="仿宋"/>
          <w:color w:val="auto"/>
          <w:highlight w:val="none"/>
        </w:rPr>
      </w:pPr>
      <w:r>
        <w:rPr>
          <w:rFonts w:hint="eastAsia" w:ascii="仿宋" w:hAnsi="仿宋" w:eastAsia="仿宋" w:cs="仿宋"/>
          <w:color w:val="auto"/>
          <w:highlight w:val="none"/>
        </w:rPr>
        <w:t>币种为：</w:t>
      </w:r>
      <w:r>
        <w:rPr>
          <w:rFonts w:hint="eastAsia" w:ascii="仿宋" w:hAnsi="仿宋" w:eastAsia="仿宋" w:cs="仿宋"/>
          <w:color w:val="auto"/>
          <w:highlight w:val="none"/>
          <w:u w:val="single"/>
        </w:rPr>
        <w:t xml:space="preserve"> 人民币</w:t>
      </w:r>
      <w:r>
        <w:rPr>
          <w:rFonts w:hint="eastAsia" w:ascii="仿宋" w:hAnsi="仿宋" w:eastAsia="仿宋" w:cs="仿宋"/>
          <w:color w:val="auto"/>
          <w:highlight w:val="none"/>
        </w:rPr>
        <w:t>，汇率为：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，其他约定：</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24"/>
        <w:snapToGrid w:val="0"/>
        <w:ind w:firstLine="480" w:firstLineChars="200"/>
        <w:rPr>
          <w:rFonts w:ascii="仿宋" w:hAnsi="仿宋" w:eastAsia="仿宋" w:cs="仿宋"/>
          <w:color w:val="auto"/>
          <w:highlight w:val="none"/>
        </w:rPr>
      </w:pPr>
      <w:r>
        <w:rPr>
          <w:rFonts w:hint="eastAsia" w:ascii="仿宋" w:hAnsi="仿宋" w:eastAsia="仿宋" w:cs="仿宋"/>
          <w:color w:val="auto"/>
          <w:highlight w:val="none"/>
        </w:rPr>
        <w:t>5.2支付申请</w:t>
      </w:r>
      <w:bookmarkStart w:id="496" w:name="_bookmark20"/>
      <w:bookmarkEnd w:id="496"/>
      <w:r>
        <w:rPr>
          <w:rFonts w:hint="eastAsia" w:ascii="仿宋" w:hAnsi="仿宋" w:eastAsia="仿宋" w:cs="仿宋"/>
          <w:color w:val="auto"/>
          <w:highlight w:val="none"/>
        </w:rPr>
        <w:t>咨询人应在本合同约定的每次应付款日期</w:t>
      </w:r>
      <w:r>
        <w:rPr>
          <w:rFonts w:hint="eastAsia" w:ascii="仿宋" w:hAnsi="仿宋" w:eastAsia="仿宋" w:cs="仿宋"/>
          <w:color w:val="auto"/>
          <w:highlight w:val="none"/>
          <w:u w:val="single"/>
        </w:rPr>
        <w:t xml:space="preserve"> 7</w:t>
      </w:r>
      <w:r>
        <w:rPr>
          <w:rFonts w:hint="eastAsia" w:ascii="仿宋" w:hAnsi="仿宋" w:eastAsia="仿宋" w:cs="仿宋"/>
          <w:color w:val="auto"/>
          <w:highlight w:val="none"/>
        </w:rPr>
        <w:t>日前，向委托人提交支付</w:t>
      </w:r>
      <w:r>
        <w:rPr>
          <w:rFonts w:hint="eastAsia" w:ascii="仿宋" w:hAnsi="仿宋" w:eastAsia="仿宋" w:cs="仿宋"/>
          <w:color w:val="auto"/>
          <w:spacing w:val="-18"/>
          <w:highlight w:val="none"/>
        </w:rPr>
        <w:t>申</w:t>
      </w:r>
      <w:r>
        <w:rPr>
          <w:rFonts w:hint="eastAsia" w:ascii="仿宋" w:hAnsi="仿宋" w:eastAsia="仿宋" w:cs="仿宋"/>
          <w:color w:val="auto"/>
          <w:highlight w:val="none"/>
        </w:rPr>
        <w:t>请书。</w:t>
      </w:r>
    </w:p>
    <w:p>
      <w:pPr>
        <w:pStyle w:val="24"/>
        <w:snapToGrid w:val="0"/>
        <w:ind w:firstLine="480" w:firstLineChars="200"/>
        <w:rPr>
          <w:rFonts w:ascii="仿宋" w:hAnsi="仿宋" w:eastAsia="仿宋" w:cs="仿宋"/>
          <w:color w:val="auto"/>
          <w:highlight w:val="none"/>
        </w:rPr>
      </w:pPr>
      <w:r>
        <w:rPr>
          <w:rFonts w:hint="eastAsia" w:ascii="仿宋" w:hAnsi="仿宋" w:eastAsia="仿宋" w:cs="仿宋"/>
          <w:color w:val="auto"/>
          <w:highlight w:val="none"/>
        </w:rPr>
        <w:t>5.3支付酬金</w:t>
      </w:r>
    </w:p>
    <w:p>
      <w:pPr>
        <w:pStyle w:val="24"/>
        <w:snapToGrid w:val="0"/>
        <w:ind w:firstLine="480" w:firstLineChars="200"/>
        <w:rPr>
          <w:rFonts w:ascii="仿宋" w:hAnsi="仿宋" w:eastAsia="仿宋" w:cs="仿宋"/>
          <w:color w:val="auto"/>
          <w:highlight w:val="none"/>
        </w:rPr>
      </w:pPr>
      <w:r>
        <w:rPr>
          <w:rFonts w:hint="eastAsia" w:ascii="仿宋" w:hAnsi="仿宋" w:eastAsia="仿宋" w:cs="仿宋"/>
          <w:color w:val="auto"/>
          <w:highlight w:val="none"/>
        </w:rPr>
        <w:t>正常工作酬金的支付：</w:t>
      </w:r>
    </w:p>
    <w:p>
      <w:pPr>
        <w:numPr>
          <w:ilvl w:val="0"/>
          <w:numId w:val="13"/>
        </w:numPr>
        <w:spacing w:line="360" w:lineRule="auto"/>
        <w:ind w:right="17" w:rightChars="8"/>
        <w:rPr>
          <w:rFonts w:ascii="仿宋" w:hAnsi="仿宋" w:eastAsia="仿宋" w:cs="仿宋"/>
          <w:color w:val="auto"/>
          <w:sz w:val="24"/>
          <w:highlight w:val="none"/>
        </w:rPr>
      </w:pPr>
      <w:r>
        <w:rPr>
          <w:rFonts w:hint="eastAsia" w:ascii="仿宋" w:hAnsi="仿宋" w:eastAsia="仿宋" w:cs="仿宋"/>
          <w:color w:val="auto"/>
          <w:sz w:val="24"/>
          <w:highlight w:val="none"/>
        </w:rPr>
        <w:t>签订合同之日起30日历天内支付合同总额20%的预付款；</w:t>
      </w:r>
    </w:p>
    <w:p>
      <w:pPr>
        <w:numPr>
          <w:ilvl w:val="0"/>
          <w:numId w:val="13"/>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完成施工总承包合同签订后，支付至合同总额的30%；</w:t>
      </w:r>
    </w:p>
    <w:p>
      <w:pPr>
        <w:numPr>
          <w:ilvl w:val="0"/>
          <w:numId w:val="13"/>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所有建筑单体完成至正负00后，支付至合同总额的40%；</w:t>
      </w:r>
    </w:p>
    <w:p>
      <w:pPr>
        <w:numPr>
          <w:ilvl w:val="0"/>
          <w:numId w:val="13"/>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所有建筑单体主体结顶并通过中间验收后，支付至合同总额的50%；</w:t>
      </w:r>
    </w:p>
    <w:p>
      <w:pPr>
        <w:numPr>
          <w:ilvl w:val="0"/>
          <w:numId w:val="13"/>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所有建筑单体精装修施工工程量完成50%后（以施工单位实际投资额为准），支付至合同总额的60%；</w:t>
      </w:r>
    </w:p>
    <w:p>
      <w:pPr>
        <w:numPr>
          <w:ilvl w:val="0"/>
          <w:numId w:val="13"/>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所有建筑单体精装修施工完成后，支付至合同总额的70%；</w:t>
      </w:r>
    </w:p>
    <w:p>
      <w:pPr>
        <w:numPr>
          <w:ilvl w:val="0"/>
          <w:numId w:val="13"/>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整体工程竣工验收合格后，支付至合同总额的80%；</w:t>
      </w:r>
    </w:p>
    <w:p>
      <w:pPr>
        <w:numPr>
          <w:ilvl w:val="0"/>
          <w:numId w:val="13"/>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完成竣工结算初审并送出，支付至合同总额的90%；</w:t>
      </w:r>
    </w:p>
    <w:p>
      <w:pPr>
        <w:numPr>
          <w:ilvl w:val="0"/>
          <w:numId w:val="13"/>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整体工程竣工结算审计完成，提交咨询报告并完成归档后，支付至合同总额的99%；</w:t>
      </w:r>
    </w:p>
    <w:p>
      <w:pPr>
        <w:numPr>
          <w:ilvl w:val="0"/>
          <w:numId w:val="13"/>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项目竣工财务决算报告上报财政部门后，余款结清。</w:t>
      </w:r>
    </w:p>
    <w:p>
      <w:pPr>
        <w:spacing w:line="360" w:lineRule="auto"/>
        <w:ind w:firstLine="480" w:firstLineChars="200"/>
        <w:rPr>
          <w:rFonts w:ascii="仿宋" w:hAnsi="仿宋" w:eastAsia="仿宋" w:cs="仿宋"/>
          <w:color w:val="auto"/>
          <w:sz w:val="24"/>
          <w:highlight w:val="none"/>
        </w:rPr>
      </w:pPr>
      <w:bookmarkStart w:id="497" w:name="_Toc528529053"/>
      <w:bookmarkStart w:id="498" w:name="_Toc35366011"/>
      <w:bookmarkStart w:id="499" w:name="_Toc528528903"/>
      <w:r>
        <w:rPr>
          <w:rFonts w:hint="eastAsia" w:ascii="仿宋" w:hAnsi="仿宋" w:eastAsia="仿宋" w:cs="仿宋"/>
          <w:color w:val="auto"/>
          <w:sz w:val="24"/>
          <w:highlight w:val="none"/>
        </w:rPr>
        <w:t>咨询人提供履约保证金的形式：合同协议书签署前7天提交履约保证金（如为保函，仅限于国有单位出具的保函），履约保证金为合同价的2.5%。履约保证金有效期自履约保证金交纳之日起至合同服务期结束后28天内有效。在此有效期截止日后14天内此履约保证金（如有剩余）退还给咨询人。</w:t>
      </w:r>
    </w:p>
    <w:p>
      <w:pPr>
        <w:spacing w:line="360" w:lineRule="auto"/>
        <w:ind w:right="17" w:rightChars="8"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委托人付款前，咨询人须按委托人要求提供相应金额的增值税发票，否则委托人有权拒绝付款且不承担任何责任（包括但不限于延期付款的责任），开票错误的责任由咨询人承担。</w:t>
      </w:r>
    </w:p>
    <w:p>
      <w:pPr>
        <w:pStyle w:val="6"/>
        <w:spacing w:line="360" w:lineRule="auto"/>
        <w:ind w:right="17" w:rightChars="8"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若因行政审批或财政审计导致委托人逾期付款的，不视为委托人违约，相应付款期限自动顺延。</w:t>
      </w:r>
    </w:p>
    <w:p>
      <w:pPr>
        <w:pStyle w:val="4"/>
        <w:tabs>
          <w:tab w:val="left" w:pos="1223"/>
          <w:tab w:val="clear" w:pos="900"/>
        </w:tabs>
        <w:snapToGrid w:val="0"/>
        <w:spacing w:line="440" w:lineRule="exact"/>
        <w:ind w:firstLine="482" w:firstLineChars="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6.合同变更、解除与终止</w:t>
      </w:r>
      <w:bookmarkEnd w:id="497"/>
      <w:bookmarkEnd w:id="498"/>
      <w:bookmarkEnd w:id="499"/>
    </w:p>
    <w:p>
      <w:pPr>
        <w:pStyle w:val="788"/>
        <w:tabs>
          <w:tab w:val="left" w:pos="1280"/>
        </w:tabs>
        <w:snapToGrid w:val="0"/>
        <w:spacing w:line="440" w:lineRule="exact"/>
        <w:ind w:firstLine="480"/>
        <w:rPr>
          <w:rFonts w:ascii="仿宋" w:hAnsi="仿宋" w:eastAsia="仿宋" w:cs="仿宋"/>
          <w:color w:val="auto"/>
          <w:highlight w:val="none"/>
        </w:rPr>
      </w:pPr>
      <w:r>
        <w:rPr>
          <w:rFonts w:hint="eastAsia" w:ascii="仿宋" w:hAnsi="仿宋" w:eastAsia="仿宋" w:cs="仿宋"/>
          <w:color w:val="auto"/>
          <w:highlight w:val="none"/>
        </w:rPr>
        <w:t>6.1合同变更</w:t>
      </w:r>
    </w:p>
    <w:p>
      <w:pPr>
        <w:snapToGrid w:val="0"/>
        <w:spacing w:line="440" w:lineRule="exact"/>
        <w:ind w:firstLine="480" w:firstLineChars="200"/>
        <w:rPr>
          <w:rFonts w:ascii="仿宋" w:hAnsi="仿宋" w:eastAsia="仿宋" w:cs="仿宋"/>
          <w:b/>
          <w:color w:val="auto"/>
          <w:sz w:val="24"/>
          <w:highlight w:val="none"/>
          <w:u w:val="single"/>
        </w:rPr>
      </w:pPr>
      <w:r>
        <w:rPr>
          <w:rFonts w:hint="eastAsia" w:ascii="仿宋" w:hAnsi="仿宋" w:eastAsia="仿宋" w:cs="仿宋"/>
          <w:color w:val="auto"/>
          <w:sz w:val="24"/>
          <w:highlight w:val="none"/>
        </w:rPr>
        <w:t>6.1.2 除不可抗力外，因非咨询人原因导致本合同内容增加时，附加工作酬金按下列方法确定：</w:t>
      </w:r>
      <w:r>
        <w:rPr>
          <w:rFonts w:hint="eastAsia" w:ascii="仿宋" w:hAnsi="仿宋" w:eastAsia="仿宋" w:cs="仿宋"/>
          <w:bCs/>
          <w:color w:val="auto"/>
          <w:sz w:val="24"/>
          <w:highlight w:val="none"/>
          <w:u w:val="single"/>
        </w:rPr>
        <w:t>双方协商解决。</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6.1.4 因工程规模、服务范围及内容的变化等导致咨询人的工作量增减时，服务酬金的调整方法：</w:t>
      </w:r>
      <w:r>
        <w:rPr>
          <w:rFonts w:hint="eastAsia" w:ascii="仿宋" w:hAnsi="仿宋" w:eastAsia="仿宋" w:cs="仿宋"/>
          <w:color w:val="auto"/>
          <w:sz w:val="24"/>
          <w:highlight w:val="none"/>
          <w:u w:val="single"/>
        </w:rPr>
        <w:t xml:space="preserve"> 发生时双方协商</w:t>
      </w:r>
      <w:r>
        <w:rPr>
          <w:rFonts w:hint="eastAsia" w:ascii="仿宋" w:hAnsi="仿宋" w:eastAsia="仿宋" w:cs="仿宋"/>
          <w:color w:val="auto"/>
          <w:sz w:val="24"/>
          <w:highlight w:val="none"/>
          <w:u w:val="single"/>
        </w:rPr>
        <w:tab/>
      </w:r>
      <w:r>
        <w:rPr>
          <w:rFonts w:hint="eastAsia" w:ascii="仿宋" w:hAnsi="仿宋" w:eastAsia="仿宋" w:cs="仿宋"/>
          <w:color w:val="auto"/>
          <w:sz w:val="24"/>
          <w:highlight w:val="none"/>
        </w:rPr>
        <w:t>。</w:t>
      </w:r>
    </w:p>
    <w:p>
      <w:pPr>
        <w:pStyle w:val="788"/>
        <w:tabs>
          <w:tab w:val="left" w:pos="1280"/>
        </w:tabs>
        <w:snapToGrid w:val="0"/>
        <w:spacing w:line="440" w:lineRule="exact"/>
        <w:ind w:firstLine="480"/>
        <w:rPr>
          <w:rFonts w:ascii="仿宋" w:hAnsi="仿宋" w:eastAsia="仿宋" w:cs="仿宋"/>
          <w:color w:val="auto"/>
          <w:highlight w:val="none"/>
        </w:rPr>
      </w:pPr>
      <w:r>
        <w:rPr>
          <w:rFonts w:hint="eastAsia" w:ascii="仿宋" w:hAnsi="仿宋" w:eastAsia="仿宋" w:cs="仿宋"/>
          <w:color w:val="auto"/>
          <w:highlight w:val="none"/>
        </w:rPr>
        <w:t>6.2 合同解除</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6.2.2双方约定解除合同的条件还包括：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6.2.4</w:t>
      </w:r>
      <w:r>
        <w:rPr>
          <w:rFonts w:hint="eastAsia" w:ascii="仿宋" w:hAnsi="仿宋" w:eastAsia="仿宋" w:cs="仿宋"/>
          <w:color w:val="auto"/>
          <w:spacing w:val="-60"/>
          <w:sz w:val="24"/>
          <w:highlight w:val="none"/>
        </w:rPr>
        <w:t xml:space="preserve"> </w:t>
      </w:r>
      <w:r>
        <w:rPr>
          <w:rFonts w:hint="eastAsia" w:ascii="仿宋" w:hAnsi="仿宋" w:eastAsia="仿宋" w:cs="仿宋"/>
          <w:color w:val="auto"/>
          <w:sz w:val="24"/>
          <w:highlight w:val="none"/>
        </w:rPr>
        <w:t>因不可抗力导致的合同解除，双方约定损失的分担如下：</w:t>
      </w:r>
      <w:r>
        <w:rPr>
          <w:rFonts w:hint="eastAsia" w:ascii="仿宋" w:hAnsi="仿宋" w:eastAsia="仿宋" w:cs="仿宋"/>
          <w:color w:val="auto"/>
          <w:sz w:val="24"/>
          <w:highlight w:val="none"/>
          <w:u w:val="single"/>
        </w:rPr>
        <w:t xml:space="preserve"> /</w:t>
      </w:r>
    </w:p>
    <w:p>
      <w:pPr>
        <w:pStyle w:val="4"/>
        <w:tabs>
          <w:tab w:val="left" w:pos="1223"/>
          <w:tab w:val="clear" w:pos="900"/>
        </w:tabs>
        <w:snapToGrid w:val="0"/>
        <w:spacing w:line="440" w:lineRule="exact"/>
        <w:jc w:val="center"/>
        <w:rPr>
          <w:rFonts w:ascii="仿宋" w:hAnsi="仿宋" w:eastAsia="仿宋" w:cs="仿宋"/>
          <w:color w:val="auto"/>
          <w:sz w:val="24"/>
          <w:szCs w:val="24"/>
          <w:highlight w:val="none"/>
        </w:rPr>
      </w:pPr>
      <w:bookmarkStart w:id="500" w:name="_Toc528528904"/>
      <w:bookmarkStart w:id="501" w:name="_Toc528529054"/>
      <w:bookmarkStart w:id="502" w:name="_Toc35366012"/>
      <w:r>
        <w:rPr>
          <w:rFonts w:hint="eastAsia" w:ascii="仿宋" w:hAnsi="仿宋" w:eastAsia="仿宋" w:cs="仿宋"/>
          <w:color w:val="auto"/>
          <w:sz w:val="24"/>
          <w:szCs w:val="24"/>
          <w:highlight w:val="none"/>
        </w:rPr>
        <w:t>7.争议解决</w:t>
      </w:r>
      <w:bookmarkEnd w:id="500"/>
      <w:bookmarkEnd w:id="501"/>
      <w:bookmarkEnd w:id="502"/>
    </w:p>
    <w:p>
      <w:pPr>
        <w:pStyle w:val="788"/>
        <w:tabs>
          <w:tab w:val="left" w:pos="1280"/>
        </w:tabs>
        <w:snapToGrid w:val="0"/>
        <w:spacing w:line="440" w:lineRule="exact"/>
        <w:ind w:firstLine="480"/>
        <w:rPr>
          <w:rFonts w:ascii="仿宋" w:hAnsi="仿宋" w:eastAsia="仿宋" w:cs="仿宋"/>
          <w:color w:val="auto"/>
          <w:highlight w:val="none"/>
        </w:rPr>
      </w:pPr>
      <w:r>
        <w:rPr>
          <w:rFonts w:hint="eastAsia" w:ascii="仿宋" w:hAnsi="仿宋" w:eastAsia="仿宋" w:cs="仿宋"/>
          <w:color w:val="auto"/>
          <w:highlight w:val="none"/>
        </w:rPr>
        <w:t>7.2调解</w:t>
      </w:r>
    </w:p>
    <w:p>
      <w:pPr>
        <w:pStyle w:val="24"/>
        <w:tabs>
          <w:tab w:val="left" w:pos="3259"/>
          <w:tab w:val="left" w:pos="8599"/>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如果双方不能在</w:t>
      </w:r>
      <w:r>
        <w:rPr>
          <w:rFonts w:hint="eastAsia" w:ascii="仿宋" w:hAnsi="仿宋" w:eastAsia="仿宋" w:cs="仿宋"/>
          <w:color w:val="auto"/>
          <w:highlight w:val="none"/>
          <w:u w:val="single"/>
        </w:rPr>
        <w:t xml:space="preserve"> 30</w:t>
      </w:r>
      <w:r>
        <w:rPr>
          <w:rFonts w:hint="eastAsia" w:ascii="仿宋" w:hAnsi="仿宋" w:eastAsia="仿宋" w:cs="仿宋"/>
          <w:color w:val="auto"/>
          <w:highlight w:val="none"/>
        </w:rPr>
        <w:t>日内解决本合同争议，可以将其提交</w:t>
      </w:r>
      <w:r>
        <w:rPr>
          <w:rFonts w:hint="eastAsia" w:ascii="仿宋" w:hAnsi="仿宋" w:eastAsia="仿宋" w:cs="仿宋"/>
          <w:color w:val="auto"/>
          <w:highlight w:val="none"/>
          <w:u w:val="single"/>
        </w:rPr>
        <w:t xml:space="preserve">    /    </w:t>
      </w:r>
      <w:r>
        <w:rPr>
          <w:rFonts w:hint="eastAsia" w:ascii="仿宋" w:hAnsi="仿宋" w:eastAsia="仿宋" w:cs="仿宋"/>
          <w:color w:val="auto"/>
          <w:highlight w:val="none"/>
        </w:rPr>
        <w:t>进行调解。</w:t>
      </w:r>
    </w:p>
    <w:p>
      <w:pPr>
        <w:pStyle w:val="788"/>
        <w:tabs>
          <w:tab w:val="left" w:pos="1280"/>
        </w:tabs>
        <w:snapToGrid w:val="0"/>
        <w:spacing w:line="440" w:lineRule="exact"/>
        <w:ind w:firstLine="480"/>
        <w:rPr>
          <w:rFonts w:ascii="仿宋" w:hAnsi="仿宋" w:eastAsia="仿宋" w:cs="仿宋"/>
          <w:color w:val="auto"/>
          <w:highlight w:val="none"/>
        </w:rPr>
      </w:pPr>
      <w:r>
        <w:rPr>
          <w:rFonts w:hint="eastAsia" w:ascii="仿宋" w:hAnsi="仿宋" w:eastAsia="仿宋" w:cs="仿宋"/>
          <w:color w:val="auto"/>
          <w:highlight w:val="none"/>
        </w:rPr>
        <w:t>7.3仲裁或诉讼</w:t>
      </w:r>
    </w:p>
    <w:p>
      <w:pPr>
        <w:pStyle w:val="24"/>
        <w:tabs>
          <w:tab w:val="left" w:pos="5179"/>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合同争议的最终解决方式为下列第</w:t>
      </w:r>
      <w:r>
        <w:rPr>
          <w:rFonts w:hint="eastAsia" w:ascii="仿宋" w:hAnsi="仿宋" w:eastAsia="仿宋" w:cs="仿宋"/>
          <w:color w:val="auto"/>
          <w:highlight w:val="none"/>
          <w:u w:val="single"/>
        </w:rPr>
        <w:t>（2）</w:t>
      </w:r>
      <w:r>
        <w:rPr>
          <w:rFonts w:hint="eastAsia" w:ascii="仿宋" w:hAnsi="仿宋" w:eastAsia="仿宋" w:cs="仿宋"/>
          <w:color w:val="auto"/>
          <w:highlight w:val="none"/>
        </w:rPr>
        <w:t>种方式：</w:t>
      </w:r>
    </w:p>
    <w:p>
      <w:pPr>
        <w:pStyle w:val="788"/>
        <w:tabs>
          <w:tab w:val="left" w:pos="1341"/>
          <w:tab w:val="left" w:pos="5813"/>
        </w:tabs>
        <w:snapToGrid w:val="0"/>
        <w:spacing w:line="440" w:lineRule="exact"/>
        <w:ind w:left="420" w:leftChars="200" w:firstLine="0" w:firstLineChars="0"/>
        <w:rPr>
          <w:rFonts w:ascii="仿宋" w:hAnsi="仿宋" w:eastAsia="仿宋" w:cs="仿宋"/>
          <w:color w:val="auto"/>
          <w:highlight w:val="none"/>
        </w:rPr>
      </w:pPr>
      <w:r>
        <w:rPr>
          <w:rFonts w:hint="eastAsia" w:ascii="仿宋" w:hAnsi="仿宋" w:eastAsia="仿宋" w:cs="仿宋"/>
          <w:color w:val="auto"/>
          <w:highlight w:val="none"/>
        </w:rPr>
        <w:t>（1）提请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仲裁委员会进行仲裁。</w:t>
      </w:r>
    </w:p>
    <w:p>
      <w:pPr>
        <w:pStyle w:val="788"/>
        <w:tabs>
          <w:tab w:val="left" w:pos="1341"/>
          <w:tab w:val="left" w:pos="6259"/>
        </w:tabs>
        <w:snapToGrid w:val="0"/>
        <w:spacing w:line="440" w:lineRule="exact"/>
        <w:ind w:left="420" w:leftChars="200" w:firstLine="0" w:firstLineChars="0"/>
        <w:rPr>
          <w:rFonts w:ascii="仿宋" w:hAnsi="仿宋" w:eastAsia="仿宋" w:cs="仿宋"/>
          <w:color w:val="auto"/>
          <w:highlight w:val="none"/>
        </w:rPr>
      </w:pPr>
      <w:r>
        <w:rPr>
          <w:rFonts w:hint="eastAsia" w:ascii="仿宋" w:hAnsi="仿宋" w:eastAsia="仿宋" w:cs="仿宋"/>
          <w:color w:val="auto"/>
          <w:highlight w:val="none"/>
        </w:rPr>
        <w:t>（2）向</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highlight w:val="none"/>
          <w:u w:val="single"/>
        </w:rPr>
        <w:t>委托人所在地</w:t>
      </w:r>
      <w:r>
        <w:rPr>
          <w:rFonts w:hint="eastAsia" w:ascii="仿宋" w:hAnsi="仿宋" w:eastAsia="仿宋" w:cs="仿宋"/>
          <w:color w:val="auto"/>
          <w:highlight w:val="none"/>
        </w:rPr>
        <w:t>人民法院提起诉讼。</w:t>
      </w:r>
    </w:p>
    <w:p>
      <w:pPr>
        <w:pStyle w:val="4"/>
        <w:tabs>
          <w:tab w:val="left" w:pos="1223"/>
          <w:tab w:val="clear" w:pos="900"/>
        </w:tabs>
        <w:snapToGrid w:val="0"/>
        <w:spacing w:line="440" w:lineRule="exact"/>
        <w:jc w:val="center"/>
        <w:rPr>
          <w:rFonts w:ascii="仿宋" w:hAnsi="仿宋" w:eastAsia="仿宋" w:cs="仿宋"/>
          <w:color w:val="auto"/>
          <w:sz w:val="24"/>
          <w:szCs w:val="24"/>
          <w:highlight w:val="none"/>
        </w:rPr>
      </w:pPr>
      <w:bookmarkStart w:id="503" w:name="_Toc35366013"/>
      <w:bookmarkStart w:id="504" w:name="_Toc528529055"/>
      <w:bookmarkStart w:id="505" w:name="_Toc528528905"/>
      <w:r>
        <w:rPr>
          <w:rFonts w:hint="eastAsia" w:ascii="仿宋" w:hAnsi="仿宋" w:eastAsia="仿宋" w:cs="仿宋"/>
          <w:color w:val="auto"/>
          <w:sz w:val="24"/>
          <w:szCs w:val="24"/>
          <w:highlight w:val="none"/>
        </w:rPr>
        <w:t>8.其他</w:t>
      </w:r>
      <w:bookmarkEnd w:id="503"/>
      <w:bookmarkEnd w:id="504"/>
      <w:bookmarkEnd w:id="505"/>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8.1考察及相关费用</w:t>
      </w:r>
    </w:p>
    <w:p>
      <w:pPr>
        <w:pStyle w:val="24"/>
        <w:tabs>
          <w:tab w:val="left" w:pos="6259"/>
        </w:tabs>
        <w:snapToGrid w:val="0"/>
        <w:spacing w:line="440" w:lineRule="exact"/>
        <w:rPr>
          <w:rFonts w:ascii="仿宋" w:hAnsi="仿宋" w:eastAsia="仿宋" w:cs="仿宋"/>
          <w:color w:val="auto"/>
          <w:highlight w:val="none"/>
        </w:rPr>
      </w:pPr>
      <w:r>
        <w:rPr>
          <w:rFonts w:hint="eastAsia" w:ascii="仿宋" w:hAnsi="仿宋" w:eastAsia="仿宋" w:cs="仿宋"/>
          <w:color w:val="auto"/>
          <w:highlight w:val="none"/>
        </w:rPr>
        <w:t>咨询人经委托人同意进行考察发生的费用由</w:t>
      </w:r>
      <w:r>
        <w:rPr>
          <w:rFonts w:hint="eastAsia" w:ascii="仿宋" w:hAnsi="仿宋" w:eastAsia="仿宋" w:cs="仿宋"/>
          <w:color w:val="auto"/>
          <w:highlight w:val="none"/>
          <w:u w:val="single"/>
        </w:rPr>
        <w:t xml:space="preserve"> 咨询人</w:t>
      </w:r>
      <w:r>
        <w:rPr>
          <w:rFonts w:hint="eastAsia" w:ascii="仿宋" w:hAnsi="仿宋" w:eastAsia="仿宋" w:cs="仿宋"/>
          <w:color w:val="auto"/>
          <w:highlight w:val="none"/>
        </w:rPr>
        <w:t>支付。</w:t>
      </w:r>
    </w:p>
    <w:p>
      <w:pPr>
        <w:pStyle w:val="24"/>
        <w:tabs>
          <w:tab w:val="left" w:pos="8179"/>
        </w:tabs>
        <w:snapToGrid w:val="0"/>
        <w:spacing w:line="440" w:lineRule="exact"/>
        <w:rPr>
          <w:rFonts w:ascii="仿宋" w:hAnsi="仿宋" w:eastAsia="仿宋" w:cs="仿宋"/>
          <w:color w:val="auto"/>
          <w:highlight w:val="none"/>
        </w:rPr>
      </w:pPr>
      <w:bookmarkStart w:id="506" w:name="_bookmark21"/>
      <w:bookmarkEnd w:id="506"/>
      <w:bookmarkStart w:id="507" w:name="_bookmark22"/>
      <w:bookmarkEnd w:id="507"/>
      <w:r>
        <w:rPr>
          <w:rFonts w:hint="eastAsia" w:ascii="仿宋" w:hAnsi="仿宋" w:eastAsia="仿宋" w:cs="仿宋"/>
          <w:color w:val="auto"/>
          <w:highlight w:val="none"/>
        </w:rPr>
        <w:t>差旅费及相关费用的支付：</w:t>
      </w:r>
      <w:bookmarkStart w:id="508" w:name="_bookmark23"/>
      <w:bookmarkEnd w:id="508"/>
      <w:r>
        <w:rPr>
          <w:rFonts w:hint="eastAsia" w:ascii="仿宋" w:hAnsi="仿宋" w:eastAsia="仿宋" w:cs="仿宋"/>
          <w:color w:val="auto"/>
          <w:highlight w:val="none"/>
          <w:u w:val="single"/>
        </w:rPr>
        <w:t xml:space="preserve"> 咨询人自行承担</w:t>
      </w:r>
      <w:r>
        <w:rPr>
          <w:rFonts w:hint="eastAsia" w:ascii="仿宋" w:hAnsi="仿宋" w:eastAsia="仿宋" w:cs="仿宋"/>
          <w:color w:val="auto"/>
          <w:highlight w:val="none"/>
        </w:rPr>
        <w:t>。</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8.2奖励</w:t>
      </w:r>
    </w:p>
    <w:p>
      <w:pPr>
        <w:pStyle w:val="24"/>
        <w:tabs>
          <w:tab w:val="left" w:pos="8419"/>
        </w:tabs>
        <w:snapToGrid w:val="0"/>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合理化建议的奖励金额按下列方法确定：</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8.3保密</w:t>
      </w:r>
    </w:p>
    <w:p>
      <w:pPr>
        <w:pStyle w:val="24"/>
        <w:tabs>
          <w:tab w:val="left" w:pos="8419"/>
        </w:tabs>
        <w:snapToGrid w:val="0"/>
        <w:spacing w:line="440" w:lineRule="exact"/>
        <w:ind w:right="445" w:firstLine="480" w:firstLineChars="200"/>
        <w:rPr>
          <w:rFonts w:ascii="仿宋" w:hAnsi="仿宋" w:eastAsia="仿宋" w:cs="仿宋"/>
          <w:color w:val="auto"/>
          <w:spacing w:val="-18"/>
          <w:highlight w:val="none"/>
        </w:rPr>
      </w:pPr>
      <w:r>
        <w:rPr>
          <w:rFonts w:hint="eastAsia" w:ascii="仿宋" w:hAnsi="仿宋" w:eastAsia="仿宋" w:cs="仿宋"/>
          <w:color w:val="auto"/>
          <w:highlight w:val="none"/>
        </w:rPr>
        <w:t>委托人申明的保密事项和期限：</w:t>
      </w:r>
      <w:r>
        <w:rPr>
          <w:rFonts w:hint="eastAsia" w:ascii="仿宋" w:hAnsi="仿宋" w:eastAsia="仿宋" w:cs="仿宋"/>
          <w:color w:val="auto"/>
          <w:highlight w:val="none"/>
          <w:u w:val="single"/>
        </w:rPr>
        <w:t xml:space="preserve"> 所有跟项目有关的资料未经委托人同意均不得向无关的第三方泄露，一经查实，委托人有权终止本合同，并要求咨询人承担相应违约金和赔偿</w:t>
      </w:r>
      <w:r>
        <w:rPr>
          <w:rFonts w:hint="eastAsia" w:ascii="仿宋" w:hAnsi="仿宋" w:eastAsia="仿宋" w:cs="仿宋"/>
          <w:color w:val="auto"/>
          <w:spacing w:val="-18"/>
          <w:highlight w:val="none"/>
        </w:rPr>
        <w:t>。</w:t>
      </w:r>
    </w:p>
    <w:p>
      <w:pPr>
        <w:pStyle w:val="24"/>
        <w:tabs>
          <w:tab w:val="left" w:pos="8419"/>
        </w:tabs>
        <w:snapToGrid w:val="0"/>
        <w:spacing w:line="440" w:lineRule="exact"/>
        <w:ind w:left="420" w:leftChars="200" w:right="445"/>
        <w:rPr>
          <w:rFonts w:ascii="仿宋" w:hAnsi="仿宋" w:eastAsia="仿宋" w:cs="仿宋"/>
          <w:color w:val="auto"/>
          <w:spacing w:val="-18"/>
          <w:highlight w:val="none"/>
        </w:rPr>
      </w:pPr>
      <w:r>
        <w:rPr>
          <w:rFonts w:hint="eastAsia" w:ascii="仿宋" w:hAnsi="仿宋" w:eastAsia="仿宋" w:cs="仿宋"/>
          <w:color w:val="auto"/>
          <w:highlight w:val="none"/>
        </w:rPr>
        <w:t>咨询人申明的保密事项和期限：</w:t>
      </w:r>
      <w:r>
        <w:rPr>
          <w:rFonts w:hint="eastAsia" w:ascii="仿宋" w:hAnsi="仿宋" w:eastAsia="仿宋" w:cs="仿宋"/>
          <w:color w:val="auto"/>
          <w:highlight w:val="none"/>
          <w:u w:val="single"/>
        </w:rPr>
        <w:t>咨询成果软件版不得向第三方泄露</w:t>
      </w:r>
      <w:r>
        <w:rPr>
          <w:rFonts w:hint="eastAsia" w:ascii="仿宋" w:hAnsi="仿宋" w:eastAsia="仿宋" w:cs="仿宋"/>
          <w:color w:val="auto"/>
          <w:spacing w:val="-18"/>
          <w:highlight w:val="none"/>
        </w:rPr>
        <w:t>。</w:t>
      </w:r>
    </w:p>
    <w:p>
      <w:pPr>
        <w:pStyle w:val="24"/>
        <w:tabs>
          <w:tab w:val="left" w:pos="8419"/>
        </w:tabs>
        <w:snapToGrid w:val="0"/>
        <w:spacing w:line="440" w:lineRule="exact"/>
        <w:ind w:left="420" w:leftChars="200" w:right="445"/>
        <w:rPr>
          <w:rFonts w:ascii="仿宋" w:hAnsi="仿宋" w:eastAsia="仿宋" w:cs="仿宋"/>
          <w:color w:val="auto"/>
          <w:highlight w:val="none"/>
        </w:rPr>
      </w:pPr>
      <w:r>
        <w:rPr>
          <w:rFonts w:hint="eastAsia" w:ascii="仿宋" w:hAnsi="仿宋" w:eastAsia="仿宋" w:cs="仿宋"/>
          <w:color w:val="auto"/>
          <w:highlight w:val="none"/>
        </w:rPr>
        <w:t>8.4联络</w:t>
      </w:r>
    </w:p>
    <w:p>
      <w:pPr>
        <w:pStyle w:val="24"/>
        <w:tabs>
          <w:tab w:val="left" w:pos="8419"/>
        </w:tabs>
        <w:snapToGrid w:val="0"/>
        <w:spacing w:line="440" w:lineRule="exact"/>
        <w:ind w:right="445" w:firstLine="480" w:firstLineChars="200"/>
        <w:rPr>
          <w:rFonts w:ascii="仿宋" w:hAnsi="仿宋" w:eastAsia="仿宋" w:cs="仿宋"/>
          <w:color w:val="auto"/>
          <w:highlight w:val="none"/>
        </w:rPr>
      </w:pPr>
      <w:r>
        <w:rPr>
          <w:rFonts w:hint="eastAsia" w:ascii="仿宋" w:hAnsi="仿宋" w:eastAsia="仿宋" w:cs="仿宋"/>
          <w:color w:val="auto"/>
          <w:highlight w:val="none"/>
        </w:rPr>
        <w:t>8.4.1任何一方与合同有关的通知、指示、要求、决定等，均应在</w:t>
      </w:r>
      <w:r>
        <w:rPr>
          <w:rFonts w:hint="eastAsia" w:ascii="仿宋" w:hAnsi="仿宋" w:eastAsia="仿宋" w:cs="仿宋"/>
          <w:color w:val="auto"/>
          <w:highlight w:val="none"/>
          <w:u w:val="single"/>
        </w:rPr>
        <w:t xml:space="preserve"> 14 </w:t>
      </w:r>
      <w:r>
        <w:rPr>
          <w:rFonts w:hint="eastAsia" w:ascii="仿宋" w:hAnsi="仿宋" w:eastAsia="仿宋" w:cs="仿宋"/>
          <w:color w:val="auto"/>
          <w:highlight w:val="none"/>
        </w:rPr>
        <w:t>日内送达对方指定的接收人和送达地点。</w:t>
      </w:r>
    </w:p>
    <w:p>
      <w:pPr>
        <w:pStyle w:val="24"/>
        <w:tabs>
          <w:tab w:val="left" w:pos="8419"/>
        </w:tabs>
        <w:snapToGrid w:val="0"/>
        <w:spacing w:line="440" w:lineRule="exact"/>
        <w:ind w:right="445" w:firstLine="480" w:firstLineChars="200"/>
        <w:rPr>
          <w:rFonts w:ascii="仿宋" w:hAnsi="仿宋" w:eastAsia="仿宋" w:cs="仿宋"/>
          <w:color w:val="auto"/>
          <w:highlight w:val="none"/>
        </w:rPr>
      </w:pPr>
      <w:r>
        <w:rPr>
          <w:rFonts w:hint="eastAsia" w:ascii="仿宋" w:hAnsi="仿宋" w:eastAsia="仿宋" w:cs="仿宋"/>
          <w:color w:val="auto"/>
          <w:highlight w:val="none"/>
        </w:rPr>
        <w:t>8.4.2委托人指定的送达接收人：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，送达地点：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电子邮箱：</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24"/>
        <w:tabs>
          <w:tab w:val="left" w:pos="8419"/>
        </w:tabs>
        <w:snapToGrid w:val="0"/>
        <w:spacing w:line="440" w:lineRule="exact"/>
        <w:ind w:right="445" w:firstLine="480" w:firstLineChars="200"/>
        <w:rPr>
          <w:rFonts w:ascii="仿宋" w:hAnsi="仿宋" w:eastAsia="仿宋" w:cs="仿宋"/>
          <w:color w:val="auto"/>
          <w:highlight w:val="none"/>
        </w:rPr>
      </w:pPr>
      <w:r>
        <w:rPr>
          <w:rFonts w:hint="eastAsia" w:ascii="仿宋" w:hAnsi="仿宋" w:eastAsia="仿宋" w:cs="仿宋"/>
          <w:color w:val="auto"/>
          <w:highlight w:val="none"/>
        </w:rPr>
        <w:t>咨询人指定的送达接收人：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，送达地点：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，电子邮箱：</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8.5知识产权</w:t>
      </w:r>
    </w:p>
    <w:p>
      <w:pPr>
        <w:pStyle w:val="24"/>
        <w:tabs>
          <w:tab w:val="left" w:pos="8419"/>
        </w:tabs>
        <w:snapToGrid w:val="0"/>
        <w:spacing w:line="440" w:lineRule="exact"/>
        <w:ind w:right="445" w:firstLine="480" w:firstLineChars="200"/>
        <w:rPr>
          <w:rFonts w:ascii="仿宋" w:hAnsi="仿宋" w:eastAsia="仿宋" w:cs="仿宋"/>
          <w:color w:val="auto"/>
          <w:highlight w:val="none"/>
        </w:rPr>
      </w:pPr>
      <w:r>
        <w:rPr>
          <w:rFonts w:hint="eastAsia" w:ascii="仿宋" w:hAnsi="仿宋" w:eastAsia="仿宋" w:cs="仿宋"/>
          <w:color w:val="auto"/>
          <w:highlight w:val="none"/>
        </w:rPr>
        <w:t>委托人提供给咨询人的图纸、委托人为实施工程自行编制或委托编制的技术规范以及反映委托人要求的或其他类似性质文件的著作权属于</w:t>
      </w:r>
      <w:r>
        <w:rPr>
          <w:rFonts w:hint="eastAsia" w:ascii="仿宋" w:hAnsi="仿宋" w:eastAsia="仿宋" w:cs="仿宋"/>
          <w:color w:val="auto"/>
          <w:highlight w:val="none"/>
          <w:u w:val="single"/>
        </w:rPr>
        <w:t xml:space="preserve"> 委托人</w:t>
      </w:r>
      <w:r>
        <w:rPr>
          <w:rFonts w:hint="eastAsia" w:ascii="仿宋" w:hAnsi="仿宋" w:eastAsia="仿宋" w:cs="仿宋"/>
          <w:color w:val="auto"/>
          <w:spacing w:val="-18"/>
          <w:highlight w:val="none"/>
        </w:rPr>
        <w:t>。</w:t>
      </w:r>
    </w:p>
    <w:p>
      <w:pPr>
        <w:pStyle w:val="24"/>
        <w:tabs>
          <w:tab w:val="left" w:pos="8419"/>
        </w:tabs>
        <w:snapToGrid w:val="0"/>
        <w:spacing w:line="440" w:lineRule="exact"/>
        <w:ind w:right="445"/>
        <w:rPr>
          <w:rFonts w:ascii="仿宋" w:hAnsi="仿宋" w:eastAsia="仿宋" w:cs="仿宋"/>
          <w:color w:val="auto"/>
          <w:spacing w:val="-18"/>
          <w:highlight w:val="none"/>
        </w:rPr>
      </w:pPr>
      <w:r>
        <w:rPr>
          <w:rFonts w:hint="eastAsia" w:ascii="仿宋" w:hAnsi="仿宋" w:eastAsia="仿宋" w:cs="仿宋"/>
          <w:color w:val="auto"/>
          <w:highlight w:val="none"/>
        </w:rPr>
        <w:t>咨询人为履行本合同约定而编制的成果文件，其著作权属于</w:t>
      </w:r>
      <w:r>
        <w:rPr>
          <w:rFonts w:hint="eastAsia" w:ascii="仿宋" w:hAnsi="仿宋" w:eastAsia="仿宋" w:cs="仿宋"/>
          <w:color w:val="auto"/>
          <w:highlight w:val="none"/>
          <w:u w:val="single"/>
        </w:rPr>
        <w:t xml:space="preserve"> 委托人</w:t>
      </w:r>
      <w:r>
        <w:rPr>
          <w:rFonts w:hint="eastAsia" w:ascii="仿宋" w:hAnsi="仿宋" w:eastAsia="仿宋" w:cs="仿宋"/>
          <w:color w:val="auto"/>
          <w:spacing w:val="-18"/>
          <w:highlight w:val="none"/>
        </w:rPr>
        <w:t>。</w:t>
      </w:r>
    </w:p>
    <w:p>
      <w:pPr>
        <w:pStyle w:val="24"/>
        <w:tabs>
          <w:tab w:val="left" w:pos="8419"/>
        </w:tabs>
        <w:snapToGrid w:val="0"/>
        <w:spacing w:line="440" w:lineRule="exact"/>
        <w:ind w:right="445" w:firstLine="480" w:firstLineChars="200"/>
        <w:rPr>
          <w:rFonts w:ascii="仿宋" w:hAnsi="仿宋" w:eastAsia="仿宋" w:cs="仿宋"/>
          <w:color w:val="auto"/>
          <w:highlight w:val="none"/>
        </w:rPr>
      </w:pPr>
      <w:r>
        <w:rPr>
          <w:rFonts w:hint="eastAsia" w:ascii="仿宋" w:hAnsi="仿宋" w:eastAsia="仿宋" w:cs="仿宋"/>
          <w:color w:val="auto"/>
          <w:highlight w:val="none"/>
        </w:rPr>
        <w:t>双方将履行本合同形成的有关成果文件用于企业宣传、申报奖项以及接受上级主管部门的检查须遵守以下约定：</w:t>
      </w:r>
      <w:r>
        <w:rPr>
          <w:rFonts w:hint="eastAsia" w:ascii="仿宋" w:hAnsi="仿宋" w:eastAsia="仿宋" w:cs="仿宋"/>
          <w:color w:val="auto"/>
          <w:highlight w:val="none"/>
          <w:u w:val="single"/>
        </w:rPr>
        <w:t xml:space="preserve"> 须经委托人同意。</w:t>
      </w:r>
    </w:p>
    <w:p>
      <w:pPr>
        <w:pStyle w:val="4"/>
        <w:tabs>
          <w:tab w:val="left" w:pos="1094"/>
          <w:tab w:val="clear" w:pos="900"/>
        </w:tabs>
        <w:snapToGrid w:val="0"/>
        <w:spacing w:line="440" w:lineRule="exact"/>
        <w:ind w:left="0" w:firstLine="0"/>
        <w:jc w:val="center"/>
        <w:rPr>
          <w:rFonts w:ascii="仿宋" w:hAnsi="仿宋" w:eastAsia="仿宋" w:cs="仿宋"/>
          <w:color w:val="auto"/>
          <w:sz w:val="24"/>
          <w:szCs w:val="24"/>
          <w:highlight w:val="none"/>
        </w:rPr>
      </w:pPr>
      <w:bookmarkStart w:id="509" w:name="_Toc35366014"/>
      <w:bookmarkStart w:id="510" w:name="_Toc528529056"/>
      <w:bookmarkStart w:id="511" w:name="_Toc528528906"/>
      <w:r>
        <w:rPr>
          <w:rFonts w:hint="eastAsia" w:ascii="仿宋" w:hAnsi="仿宋" w:eastAsia="仿宋" w:cs="仿宋"/>
          <w:color w:val="auto"/>
          <w:sz w:val="24"/>
          <w:szCs w:val="24"/>
          <w:highlight w:val="none"/>
        </w:rPr>
        <w:t>9.补充条款</w:t>
      </w:r>
      <w:bookmarkEnd w:id="509"/>
      <w:bookmarkEnd w:id="510"/>
      <w:bookmarkEnd w:id="511"/>
    </w:p>
    <w:p>
      <w:pPr>
        <w:pStyle w:val="24"/>
        <w:snapToGrid w:val="0"/>
        <w:spacing w:line="44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9.1委托人、咨询人应执行招标文件（招标编号：</w:t>
      </w:r>
      <w:r>
        <w:rPr>
          <w:rFonts w:hint="eastAsia" w:ascii="仿宋" w:hAnsi="仿宋" w:eastAsia="仿宋" w:cs="仿宋"/>
          <w:color w:val="auto"/>
          <w:highlight w:val="none"/>
          <w:u w:val="single"/>
        </w:rPr>
        <w:t xml:space="preserve">       </w:t>
      </w:r>
      <w:r>
        <w:rPr>
          <w:rFonts w:hint="eastAsia" w:ascii="仿宋" w:hAnsi="仿宋" w:eastAsia="仿宋" w:cs="仿宋"/>
          <w:bCs/>
          <w:color w:val="auto"/>
          <w:highlight w:val="none"/>
        </w:rPr>
        <w:t>）“全过程跟踪审计服务的工作要求”的规定。</w:t>
      </w:r>
    </w:p>
    <w:p>
      <w:pPr>
        <w:pStyle w:val="24"/>
        <w:snapToGrid w:val="0"/>
        <w:spacing w:line="44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9.2 委托人有权在本协议签署后制定具体考勤办法，咨询人应执行委托人制定的具体考勤办法（包括但不限于：奖惩制度）。</w:t>
      </w:r>
    </w:p>
    <w:p>
      <w:pPr>
        <w:pStyle w:val="24"/>
        <w:snapToGrid w:val="0"/>
        <w:spacing w:line="44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9.3咨询人在项目全过程跟踪审计过程中遇到重大事项及时报告委托人。</w:t>
      </w:r>
    </w:p>
    <w:p>
      <w:pPr>
        <w:pStyle w:val="24"/>
        <w:snapToGrid w:val="0"/>
        <w:spacing w:line="44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1、项目新增投资机会或概算调整，在有关部门发文10个工作日内告知。</w:t>
      </w:r>
    </w:p>
    <w:p>
      <w:pPr>
        <w:pStyle w:val="24"/>
        <w:snapToGrid w:val="0"/>
        <w:spacing w:line="44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2、土方开挖前5日内或发现开挖地质与勘察报告不符2日内告知。</w:t>
      </w:r>
    </w:p>
    <w:p>
      <w:pPr>
        <w:pStyle w:val="24"/>
        <w:snapToGrid w:val="0"/>
        <w:spacing w:line="44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3、支护或地基处理等隐蔽工程，施工前2日告知。</w:t>
      </w:r>
    </w:p>
    <w:p>
      <w:pPr>
        <w:pStyle w:val="24"/>
        <w:snapToGrid w:val="0"/>
        <w:spacing w:line="44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4、重大设计变更在需变更事项产生后2日内告知。</w:t>
      </w:r>
    </w:p>
    <w:p>
      <w:pPr>
        <w:pStyle w:val="24"/>
        <w:snapToGrid w:val="0"/>
        <w:spacing w:line="44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5、咨询人认为告知的其他事项</w:t>
      </w:r>
    </w:p>
    <w:p>
      <w:pPr>
        <w:pStyle w:val="24"/>
        <w:snapToGrid w:val="0"/>
        <w:spacing w:line="44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9.4咨询人应严格执行行业咨询标准、咨询流程、职业道德和职业纪律，不断提高服务质量，严禁“吃、喝、卡、拿、要”等违规行为发生，发包人有权提出更换人员的要求。</w:t>
      </w:r>
    </w:p>
    <w:p>
      <w:pPr>
        <w:pStyle w:val="24"/>
        <w:snapToGrid w:val="0"/>
        <w:spacing w:line="44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9.5咨询人员应利用照相、GPS等先进技术装备，对项目原始地理情况进行测量取证，对隐蔽工程及其他重要环节等进行现场取证，为竣工结算提供可靠依据。</w:t>
      </w:r>
    </w:p>
    <w:p>
      <w:pPr>
        <w:pStyle w:val="24"/>
        <w:snapToGrid w:val="0"/>
        <w:spacing w:line="44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9.6咨询人应建立《跟踪咨询日志》，及时记载咨询时间、工作纪实（包括咨询内容、项目现状、发现问题、咨询意见、整改情况、咨询成果），每日记录的内容要注重反映量化成果，要成为反映造价咨询全貌的工作日志。工作日志由咨询人员负责记载，委托人不定期抽查。</w:t>
      </w:r>
    </w:p>
    <w:p>
      <w:pPr>
        <w:pStyle w:val="24"/>
        <w:snapToGrid w:val="0"/>
        <w:spacing w:line="44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9.7跟踪咨询实现月报制度，工作量要有记录、小结，咨询人每月5日前以书面形式向委托人汇报上月情况，说明完成的工程量、进展情况、存在的问题、要求解决的问题。</w:t>
      </w:r>
    </w:p>
    <w:p>
      <w:pPr>
        <w:pStyle w:val="24"/>
        <w:snapToGrid w:val="0"/>
        <w:spacing w:line="44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9.8咨询过程中，对于一些重要的事项或者存在问题的事项，咨询人员要编制底稿，并对咨询底稿的真实性、完整性负责。</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bCs/>
          <w:color w:val="auto"/>
          <w:sz w:val="24"/>
          <w:highlight w:val="none"/>
        </w:rPr>
        <w:t>9.9 招标文件作为本协议组成部分，与本协议具有同等法律效力，如招标文件与本协议不一致之处，以本协议约定为准</w:t>
      </w:r>
      <w:r>
        <w:rPr>
          <w:rFonts w:hint="eastAsia" w:ascii="仿宋" w:hAnsi="仿宋" w:eastAsia="仿宋" w:cs="仿宋"/>
          <w:color w:val="auto"/>
          <w:sz w:val="24"/>
          <w:highlight w:val="none"/>
        </w:rPr>
        <w:t>。</w:t>
      </w:r>
    </w:p>
    <w:p>
      <w:pPr>
        <w:pStyle w:val="24"/>
        <w:snapToGrid w:val="0"/>
        <w:spacing w:line="440" w:lineRule="exact"/>
        <w:ind w:firstLine="480" w:firstLineChars="200"/>
        <w:rPr>
          <w:rFonts w:ascii="仿宋" w:hAnsi="仿宋" w:eastAsia="仿宋" w:cs="仿宋"/>
          <w:color w:val="auto"/>
          <w:szCs w:val="24"/>
          <w:highlight w:val="none"/>
          <w:lang w:val="en-US"/>
        </w:rPr>
      </w:pPr>
      <w:r>
        <w:rPr>
          <w:rFonts w:hint="eastAsia" w:ascii="仿宋" w:hAnsi="仿宋" w:eastAsia="仿宋" w:cs="仿宋"/>
          <w:bCs/>
          <w:snapToGrid/>
          <w:color w:val="auto"/>
          <w:szCs w:val="24"/>
          <w:highlight w:val="none"/>
          <w:lang w:val="en-US"/>
        </w:rPr>
        <w:t>9.10咨询人需根据</w:t>
      </w:r>
      <w:r>
        <w:rPr>
          <w:rFonts w:hint="eastAsia" w:ascii="仿宋" w:hAnsi="仿宋" w:eastAsia="仿宋" w:cs="仿宋"/>
          <w:color w:val="auto"/>
          <w:szCs w:val="24"/>
          <w:highlight w:val="none"/>
          <w:lang w:val="en-US"/>
        </w:rPr>
        <w:t>委托人</w:t>
      </w:r>
      <w:r>
        <w:rPr>
          <w:rFonts w:hint="eastAsia" w:ascii="仿宋" w:hAnsi="仿宋" w:eastAsia="仿宋" w:cs="仿宋"/>
          <w:bCs/>
          <w:snapToGrid/>
          <w:color w:val="auto"/>
          <w:szCs w:val="24"/>
          <w:highlight w:val="none"/>
          <w:lang w:val="en-US"/>
        </w:rPr>
        <w:t>要求的时间，与招标代理单位就工程量清单及招标控制价完成核</w:t>
      </w:r>
      <w:r>
        <w:rPr>
          <w:rFonts w:hint="eastAsia" w:ascii="仿宋" w:hAnsi="仿宋" w:eastAsia="仿宋" w:cs="仿宋"/>
          <w:color w:val="auto"/>
          <w:szCs w:val="24"/>
          <w:highlight w:val="none"/>
          <w:lang w:val="en-US"/>
        </w:rPr>
        <w:t>对，并出具审核报告。</w:t>
      </w:r>
    </w:p>
    <w:p>
      <w:pPr>
        <w:pStyle w:val="24"/>
        <w:snapToGrid w:val="0"/>
        <w:spacing w:line="440" w:lineRule="exact"/>
        <w:ind w:firstLine="480" w:firstLineChars="200"/>
        <w:rPr>
          <w:rFonts w:ascii="仿宋" w:hAnsi="仿宋" w:eastAsia="仿宋" w:cs="仿宋"/>
          <w:bCs/>
          <w:snapToGrid/>
          <w:color w:val="auto"/>
          <w:szCs w:val="24"/>
          <w:highlight w:val="none"/>
        </w:rPr>
      </w:pPr>
      <w:r>
        <w:rPr>
          <w:rFonts w:hint="eastAsia" w:ascii="仿宋" w:hAnsi="仿宋" w:eastAsia="仿宋" w:cs="仿宋"/>
          <w:bCs/>
          <w:snapToGrid/>
          <w:color w:val="auto"/>
          <w:szCs w:val="24"/>
          <w:highlight w:val="none"/>
          <w:lang w:val="en-US"/>
        </w:rPr>
        <w:t>9.11本合同所有扣款、处罚、违约金，委托人有权从咨询人履约保证金、服务费中</w:t>
      </w:r>
      <w:r>
        <w:rPr>
          <w:rFonts w:hint="eastAsia" w:ascii="仿宋" w:hAnsi="仿宋" w:eastAsia="仿宋" w:cs="仿宋"/>
          <w:bCs/>
          <w:snapToGrid/>
          <w:color w:val="auto"/>
          <w:szCs w:val="24"/>
          <w:highlight w:val="none"/>
        </w:rPr>
        <w:t>扣除，如</w:t>
      </w:r>
      <w:r>
        <w:rPr>
          <w:rFonts w:hint="eastAsia" w:ascii="仿宋" w:hAnsi="仿宋" w:eastAsia="仿宋" w:cs="仿宋"/>
          <w:bCs/>
          <w:snapToGrid/>
          <w:color w:val="auto"/>
          <w:szCs w:val="24"/>
          <w:highlight w:val="none"/>
          <w:lang w:val="en-US"/>
        </w:rPr>
        <w:t>上述费用</w:t>
      </w:r>
      <w:r>
        <w:rPr>
          <w:rFonts w:hint="eastAsia" w:ascii="仿宋" w:hAnsi="仿宋" w:eastAsia="仿宋" w:cs="仿宋"/>
          <w:bCs/>
          <w:snapToGrid/>
          <w:color w:val="auto"/>
          <w:szCs w:val="24"/>
          <w:highlight w:val="none"/>
        </w:rPr>
        <w:t>不足以支付相关</w:t>
      </w:r>
      <w:r>
        <w:rPr>
          <w:rFonts w:hint="eastAsia" w:ascii="仿宋" w:hAnsi="仿宋" w:eastAsia="仿宋" w:cs="仿宋"/>
          <w:bCs/>
          <w:snapToGrid/>
          <w:color w:val="auto"/>
          <w:szCs w:val="24"/>
          <w:highlight w:val="none"/>
          <w:lang w:val="en-US"/>
        </w:rPr>
        <w:t>扣款、处罚、违约金</w:t>
      </w:r>
      <w:r>
        <w:rPr>
          <w:rFonts w:hint="eastAsia" w:ascii="仿宋" w:hAnsi="仿宋" w:eastAsia="仿宋" w:cs="仿宋"/>
          <w:bCs/>
          <w:snapToGrid/>
          <w:color w:val="auto"/>
          <w:szCs w:val="24"/>
          <w:highlight w:val="none"/>
        </w:rPr>
        <w:t>，咨询人需无条件补交。如咨询人拒绝补交，委托人有权终止合同，并不免除受托人应补交的违约款项的责任。</w:t>
      </w:r>
    </w:p>
    <w:p>
      <w:pPr>
        <w:pStyle w:val="24"/>
        <w:snapToGrid w:val="0"/>
        <w:spacing w:line="440" w:lineRule="exact"/>
        <w:ind w:firstLine="480" w:firstLineChars="200"/>
        <w:rPr>
          <w:rFonts w:ascii="仿宋" w:hAnsi="仿宋" w:eastAsia="仿宋" w:cs="仿宋"/>
          <w:bCs/>
          <w:snapToGrid/>
          <w:color w:val="auto"/>
          <w:szCs w:val="24"/>
          <w:highlight w:val="none"/>
          <w:lang w:val="en-US"/>
        </w:rPr>
      </w:pPr>
      <w:r>
        <w:rPr>
          <w:rFonts w:hint="eastAsia" w:ascii="仿宋" w:hAnsi="仿宋" w:eastAsia="仿宋" w:cs="仿宋"/>
          <w:bCs/>
          <w:snapToGrid/>
          <w:color w:val="auto"/>
          <w:szCs w:val="24"/>
          <w:highlight w:val="none"/>
          <w:lang w:val="en-US"/>
        </w:rPr>
        <w:t>9.12</w:t>
      </w:r>
      <w:r>
        <w:rPr>
          <w:rFonts w:hint="eastAsia" w:ascii="仿宋" w:hAnsi="仿宋" w:eastAsia="仿宋" w:cs="仿宋"/>
          <w:b/>
          <w:snapToGrid/>
          <w:color w:val="auto"/>
          <w:szCs w:val="24"/>
          <w:highlight w:val="none"/>
        </w:rPr>
        <w:t>本项目全过程工程咨询单位为浙江五洲工程项目管理有限公司 ，协助甲方管理项目建设。乙方需按合同约定，并积极配合浙江五洲工程项目管理有限公司要求完成合同相关内容。</w:t>
      </w:r>
    </w:p>
    <w:p>
      <w:pPr>
        <w:pStyle w:val="24"/>
        <w:snapToGrid w:val="0"/>
        <w:spacing w:line="440" w:lineRule="exact"/>
        <w:ind w:firstLine="482" w:firstLineChars="200"/>
        <w:rPr>
          <w:rFonts w:ascii="仿宋" w:hAnsi="仿宋" w:eastAsia="仿宋" w:cs="仿宋"/>
          <w:b/>
          <w:snapToGrid/>
          <w:color w:val="auto"/>
          <w:szCs w:val="24"/>
          <w:highlight w:val="none"/>
          <w:lang w:val="en-US"/>
        </w:rPr>
      </w:pPr>
      <w:r>
        <w:rPr>
          <w:rFonts w:hint="eastAsia" w:ascii="仿宋" w:hAnsi="仿宋" w:eastAsia="仿宋" w:cs="仿宋"/>
          <w:b/>
          <w:snapToGrid/>
          <w:color w:val="auto"/>
          <w:szCs w:val="24"/>
          <w:highlight w:val="none"/>
          <w:lang w:val="en-US"/>
        </w:rPr>
        <w:t>9.13每个季度，委托人对咨询人进行服务考核打分，如不及格（及格分为60分），委托人有权单方面终止合同或将剩余跟踪审计服务业务另行委托其他单位，咨询人如有违约则另需按本合同相关条款执行。（详见合同附件</w:t>
      </w:r>
      <w:r>
        <w:rPr>
          <w:rFonts w:hint="eastAsia" w:ascii="仿宋" w:hAnsi="仿宋" w:eastAsia="仿宋" w:cs="仿宋"/>
          <w:b/>
          <w:snapToGrid/>
          <w:color w:val="auto"/>
          <w:sz w:val="28"/>
          <w:szCs w:val="28"/>
          <w:highlight w:val="none"/>
          <w:lang w:val="en-US"/>
        </w:rPr>
        <w:t>二</w:t>
      </w:r>
      <w:r>
        <w:rPr>
          <w:rFonts w:hint="eastAsia" w:ascii="仿宋" w:hAnsi="仿宋" w:eastAsia="仿宋" w:cs="仿宋"/>
          <w:b/>
          <w:snapToGrid/>
          <w:color w:val="auto"/>
          <w:szCs w:val="24"/>
          <w:highlight w:val="none"/>
          <w:lang w:val="en-US"/>
        </w:rPr>
        <w:t>：全过程跟踪审计服务考核评价表）</w:t>
      </w:r>
    </w:p>
    <w:p>
      <w:pPr>
        <w:pStyle w:val="25"/>
        <w:rPr>
          <w:color w:val="auto"/>
          <w:highlight w:val="none"/>
          <w:lang w:val="en-US"/>
        </w:rPr>
      </w:pPr>
    </w:p>
    <w:p>
      <w:pPr>
        <w:tabs>
          <w:tab w:val="left" w:pos="2996"/>
        </w:tabs>
        <w:spacing w:line="440" w:lineRule="exact"/>
        <w:rPr>
          <w:rFonts w:ascii="仿宋" w:hAnsi="仿宋" w:eastAsia="仿宋" w:cs="仿宋"/>
          <w:b/>
          <w:bCs/>
          <w:color w:val="auto"/>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tabs>
          <w:tab w:val="left" w:pos="2996"/>
        </w:tabs>
        <w:spacing w:line="440" w:lineRule="exact"/>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合同附件一</w:t>
      </w:r>
    </w:p>
    <w:p>
      <w:pPr>
        <w:tabs>
          <w:tab w:val="left" w:pos="2996"/>
        </w:tabs>
        <w:spacing w:line="440" w:lineRule="exact"/>
        <w:rPr>
          <w:rFonts w:ascii="仿宋" w:hAnsi="仿宋" w:eastAsia="仿宋" w:cs="仿宋"/>
          <w:b/>
          <w:bCs/>
          <w:color w:val="auto"/>
          <w:sz w:val="32"/>
          <w:szCs w:val="32"/>
          <w:highlight w:val="none"/>
        </w:rPr>
      </w:pPr>
    </w:p>
    <w:p>
      <w:pPr>
        <w:ind w:right="-38" w:rightChars="-18"/>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项目组人员配备表</w:t>
      </w:r>
    </w:p>
    <w:tbl>
      <w:tblPr>
        <w:tblStyle w:val="62"/>
        <w:tblW w:w="4998" w:type="pct"/>
        <w:tblInd w:w="0" w:type="dxa"/>
        <w:tblLayout w:type="autofit"/>
        <w:tblCellMar>
          <w:top w:w="0" w:type="dxa"/>
          <w:left w:w="108" w:type="dxa"/>
          <w:bottom w:w="0" w:type="dxa"/>
          <w:right w:w="108" w:type="dxa"/>
        </w:tblCellMar>
      </w:tblPr>
      <w:tblGrid>
        <w:gridCol w:w="2386"/>
        <w:gridCol w:w="1723"/>
        <w:gridCol w:w="1723"/>
        <w:gridCol w:w="1725"/>
        <w:gridCol w:w="1725"/>
      </w:tblGrid>
      <w:tr>
        <w:tblPrEx>
          <w:tblCellMar>
            <w:top w:w="0" w:type="dxa"/>
            <w:left w:w="108" w:type="dxa"/>
            <w:bottom w:w="0" w:type="dxa"/>
            <w:right w:w="108" w:type="dxa"/>
          </w:tblCellMar>
        </w:tblPrEx>
        <w:trPr>
          <w:trHeight w:val="840" w:hRule="atLeast"/>
        </w:trPr>
        <w:tc>
          <w:tcPr>
            <w:tcW w:w="1285"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b/>
                <w:bCs/>
                <w:color w:val="auto"/>
                <w:sz w:val="24"/>
                <w:highlight w:val="none"/>
              </w:rPr>
            </w:pPr>
            <w:r>
              <w:rPr>
                <w:rFonts w:hint="eastAsia" w:ascii="仿宋" w:hAnsi="仿宋" w:eastAsia="仿宋" w:cs="仿宋"/>
                <w:b/>
                <w:bCs/>
                <w:color w:val="auto"/>
                <w:kern w:val="0"/>
                <w:sz w:val="24"/>
                <w:highlight w:val="none"/>
                <w:lang w:bidi="ar"/>
              </w:rPr>
              <w:t>本项目中职务</w:t>
            </w:r>
          </w:p>
        </w:tc>
        <w:tc>
          <w:tcPr>
            <w:tcW w:w="928"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b/>
                <w:bCs/>
                <w:color w:val="auto"/>
                <w:sz w:val="24"/>
                <w:highlight w:val="none"/>
              </w:rPr>
            </w:pPr>
            <w:r>
              <w:rPr>
                <w:rFonts w:hint="eastAsia" w:ascii="仿宋" w:hAnsi="仿宋" w:eastAsia="仿宋" w:cs="仿宋"/>
                <w:b/>
                <w:bCs/>
                <w:color w:val="auto"/>
                <w:kern w:val="0"/>
                <w:sz w:val="24"/>
                <w:highlight w:val="none"/>
                <w:lang w:bidi="ar"/>
              </w:rPr>
              <w:t>姓名</w:t>
            </w:r>
          </w:p>
        </w:tc>
        <w:tc>
          <w:tcPr>
            <w:tcW w:w="928"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b/>
                <w:bCs/>
                <w:color w:val="auto"/>
                <w:sz w:val="24"/>
                <w:highlight w:val="none"/>
              </w:rPr>
            </w:pPr>
            <w:r>
              <w:rPr>
                <w:rFonts w:hint="eastAsia" w:ascii="仿宋" w:hAnsi="仿宋" w:eastAsia="仿宋" w:cs="仿宋"/>
                <w:b/>
                <w:bCs/>
                <w:color w:val="auto"/>
                <w:kern w:val="0"/>
                <w:sz w:val="24"/>
                <w:highlight w:val="none"/>
                <w:lang w:bidi="ar"/>
              </w:rPr>
              <w:t>职称</w:t>
            </w:r>
          </w:p>
        </w:tc>
        <w:tc>
          <w:tcPr>
            <w:tcW w:w="929"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b/>
                <w:bCs/>
                <w:color w:val="auto"/>
                <w:sz w:val="24"/>
                <w:highlight w:val="none"/>
              </w:rPr>
            </w:pPr>
            <w:r>
              <w:rPr>
                <w:rFonts w:hint="eastAsia" w:ascii="仿宋" w:hAnsi="仿宋" w:eastAsia="仿宋" w:cs="仿宋"/>
                <w:b/>
                <w:bCs/>
                <w:color w:val="auto"/>
                <w:kern w:val="0"/>
                <w:sz w:val="24"/>
                <w:highlight w:val="none"/>
                <w:lang w:bidi="ar"/>
              </w:rPr>
              <w:t>注册职业证书</w:t>
            </w:r>
          </w:p>
        </w:tc>
        <w:tc>
          <w:tcPr>
            <w:tcW w:w="929"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b/>
                <w:bCs/>
                <w:color w:val="auto"/>
                <w:kern w:val="0"/>
                <w:sz w:val="24"/>
                <w:highlight w:val="none"/>
                <w:lang w:bidi="ar"/>
              </w:rPr>
            </w:pPr>
            <w:r>
              <w:rPr>
                <w:rFonts w:hint="eastAsia" w:ascii="仿宋" w:hAnsi="仿宋" w:eastAsia="仿宋" w:cs="仿宋"/>
                <w:b/>
                <w:bCs/>
                <w:color w:val="auto"/>
                <w:kern w:val="0"/>
                <w:sz w:val="24"/>
                <w:highlight w:val="none"/>
                <w:lang w:bidi="ar"/>
              </w:rPr>
              <w:t>工作年限</w:t>
            </w:r>
          </w:p>
        </w:tc>
      </w:tr>
      <w:tr>
        <w:tblPrEx>
          <w:tblCellMar>
            <w:top w:w="0" w:type="dxa"/>
            <w:left w:w="108" w:type="dxa"/>
            <w:bottom w:w="0" w:type="dxa"/>
            <w:right w:w="108" w:type="dxa"/>
          </w:tblCellMar>
        </w:tblPrEx>
        <w:trPr>
          <w:trHeight w:val="711" w:hRule="atLeast"/>
        </w:trPr>
        <w:tc>
          <w:tcPr>
            <w:tcW w:w="1285"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项目负责人</w:t>
            </w: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r>
      <w:tr>
        <w:tblPrEx>
          <w:tblCellMar>
            <w:top w:w="0" w:type="dxa"/>
            <w:left w:w="108" w:type="dxa"/>
            <w:bottom w:w="0" w:type="dxa"/>
            <w:right w:w="108" w:type="dxa"/>
          </w:tblCellMar>
        </w:tblPrEx>
        <w:trPr>
          <w:trHeight w:val="640" w:hRule="atLeast"/>
        </w:trPr>
        <w:tc>
          <w:tcPr>
            <w:tcW w:w="1285"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房建</w:t>
            </w:r>
            <w:r>
              <w:rPr>
                <w:rFonts w:ascii="仿宋" w:hAnsi="仿宋" w:eastAsia="仿宋" w:cs="仿宋"/>
                <w:color w:val="auto"/>
                <w:kern w:val="0"/>
                <w:sz w:val="24"/>
                <w:highlight w:val="none"/>
                <w:lang w:bidi="ar"/>
              </w:rPr>
              <w:t>专业负责人</w:t>
            </w: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r>
      <w:tr>
        <w:trPr>
          <w:trHeight w:val="640" w:hRule="atLeast"/>
        </w:trPr>
        <w:tc>
          <w:tcPr>
            <w:tcW w:w="1285"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市政</w:t>
            </w:r>
            <w:r>
              <w:rPr>
                <w:rFonts w:ascii="仿宋" w:hAnsi="仿宋" w:eastAsia="仿宋" w:cs="仿宋"/>
                <w:color w:val="auto"/>
                <w:kern w:val="0"/>
                <w:sz w:val="24"/>
                <w:highlight w:val="none"/>
                <w:lang w:bidi="ar"/>
              </w:rPr>
              <w:t>专业负责人</w:t>
            </w: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r>
      <w:tr>
        <w:trPr>
          <w:trHeight w:val="640" w:hRule="atLeast"/>
        </w:trPr>
        <w:tc>
          <w:tcPr>
            <w:tcW w:w="1285"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景观</w:t>
            </w:r>
            <w:r>
              <w:rPr>
                <w:rFonts w:ascii="仿宋" w:hAnsi="仿宋" w:eastAsia="仿宋" w:cs="仿宋"/>
                <w:color w:val="auto"/>
                <w:kern w:val="0"/>
                <w:sz w:val="24"/>
                <w:highlight w:val="none"/>
                <w:lang w:bidi="ar"/>
              </w:rPr>
              <w:t>专业负责人</w:t>
            </w: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r>
      <w:tr>
        <w:tblPrEx>
          <w:tblCellMar>
            <w:top w:w="0" w:type="dxa"/>
            <w:left w:w="108" w:type="dxa"/>
            <w:bottom w:w="0" w:type="dxa"/>
            <w:right w:w="108" w:type="dxa"/>
          </w:tblCellMar>
        </w:tblPrEx>
        <w:trPr>
          <w:trHeight w:val="640" w:hRule="atLeast"/>
        </w:trPr>
        <w:tc>
          <w:tcPr>
            <w:tcW w:w="1285"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安装</w:t>
            </w:r>
            <w:r>
              <w:rPr>
                <w:rFonts w:ascii="仿宋" w:hAnsi="仿宋" w:eastAsia="仿宋" w:cs="仿宋"/>
                <w:color w:val="auto"/>
                <w:kern w:val="0"/>
                <w:sz w:val="24"/>
                <w:highlight w:val="none"/>
                <w:lang w:bidi="ar"/>
              </w:rPr>
              <w:t>专业负责人</w:t>
            </w: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r>
      <w:tr>
        <w:tblPrEx>
          <w:tblCellMar>
            <w:top w:w="0" w:type="dxa"/>
            <w:left w:w="108" w:type="dxa"/>
            <w:bottom w:w="0" w:type="dxa"/>
            <w:right w:w="108" w:type="dxa"/>
          </w:tblCellMar>
        </w:tblPrEx>
        <w:trPr>
          <w:trHeight w:val="640" w:hRule="atLeast"/>
        </w:trPr>
        <w:tc>
          <w:tcPr>
            <w:tcW w:w="1285"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其他项目组人员</w:t>
            </w: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noWrap/>
            <w:vAlign w:val="center"/>
          </w:tcPr>
          <w:p>
            <w:pPr>
              <w:rPr>
                <w:rFonts w:ascii="仿宋" w:hAnsi="仿宋" w:eastAsia="仿宋" w:cs="仿宋"/>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noWrap/>
            <w:vAlign w:val="center"/>
          </w:tcPr>
          <w:p>
            <w:pPr>
              <w:rPr>
                <w:rFonts w:ascii="仿宋" w:hAnsi="仿宋" w:eastAsia="仿宋" w:cs="仿宋"/>
                <w:color w:val="auto"/>
                <w:sz w:val="24"/>
                <w:highlight w:val="none"/>
              </w:rPr>
            </w:pPr>
          </w:p>
        </w:tc>
      </w:tr>
      <w:tr>
        <w:trPr>
          <w:trHeight w:val="640" w:hRule="atLeast"/>
        </w:trPr>
        <w:tc>
          <w:tcPr>
            <w:tcW w:w="1285"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w:t>
            </w: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noWrap/>
            <w:vAlign w:val="center"/>
          </w:tcPr>
          <w:p>
            <w:pPr>
              <w:rPr>
                <w:rFonts w:ascii="仿宋" w:hAnsi="仿宋" w:eastAsia="仿宋" w:cs="仿宋"/>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noWrap/>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640" w:hRule="atLeast"/>
        </w:trPr>
        <w:tc>
          <w:tcPr>
            <w:tcW w:w="1285"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驻场专业人员</w:t>
            </w: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noWrap/>
            <w:vAlign w:val="center"/>
          </w:tcPr>
          <w:p>
            <w:pPr>
              <w:rPr>
                <w:rFonts w:ascii="仿宋" w:hAnsi="仿宋" w:eastAsia="仿宋" w:cs="仿宋"/>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noWrap/>
            <w:vAlign w:val="center"/>
          </w:tcPr>
          <w:p>
            <w:pPr>
              <w:rPr>
                <w:rFonts w:ascii="仿宋" w:hAnsi="仿宋" w:eastAsia="仿宋" w:cs="仿宋"/>
                <w:color w:val="auto"/>
                <w:sz w:val="24"/>
                <w:highlight w:val="none"/>
              </w:rPr>
            </w:pPr>
          </w:p>
        </w:tc>
      </w:tr>
      <w:tr>
        <w:tblPrEx>
          <w:tblCellMar>
            <w:top w:w="0" w:type="dxa"/>
            <w:left w:w="108" w:type="dxa"/>
            <w:bottom w:w="0" w:type="dxa"/>
            <w:right w:w="108" w:type="dxa"/>
          </w:tblCellMar>
        </w:tblPrEx>
        <w:trPr>
          <w:trHeight w:val="640" w:hRule="atLeast"/>
        </w:trPr>
        <w:tc>
          <w:tcPr>
            <w:tcW w:w="1285"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w:t>
            </w: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8"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noWrap/>
            <w:vAlign w:val="center"/>
          </w:tcPr>
          <w:p>
            <w:pPr>
              <w:rPr>
                <w:rFonts w:ascii="仿宋" w:hAnsi="仿宋" w:eastAsia="仿宋" w:cs="仿宋"/>
                <w:color w:val="auto"/>
                <w:sz w:val="24"/>
                <w:highlight w:val="none"/>
              </w:rPr>
            </w:pPr>
          </w:p>
        </w:tc>
        <w:tc>
          <w:tcPr>
            <w:tcW w:w="929" w:type="pct"/>
            <w:tcBorders>
              <w:top w:val="single" w:color="000000" w:sz="8" w:space="0"/>
              <w:left w:val="single" w:color="000000" w:sz="8" w:space="0"/>
              <w:bottom w:val="single" w:color="000000" w:sz="8" w:space="0"/>
              <w:right w:val="single" w:color="000000" w:sz="8" w:space="0"/>
            </w:tcBorders>
            <w:noWrap/>
            <w:vAlign w:val="center"/>
          </w:tcPr>
          <w:p>
            <w:pPr>
              <w:rPr>
                <w:rFonts w:ascii="仿宋" w:hAnsi="仿宋" w:eastAsia="仿宋" w:cs="仿宋"/>
                <w:color w:val="auto"/>
                <w:sz w:val="24"/>
                <w:highlight w:val="none"/>
              </w:rPr>
            </w:pPr>
          </w:p>
        </w:tc>
      </w:tr>
    </w:tbl>
    <w:p>
      <w:pPr>
        <w:pStyle w:val="6"/>
        <w:rPr>
          <w:color w:val="auto"/>
          <w:highlight w:val="none"/>
        </w:rPr>
        <w:sectPr>
          <w:pgSz w:w="11906" w:h="16838"/>
          <w:pgMar w:top="1276" w:right="1418" w:bottom="1247" w:left="1418" w:header="851" w:footer="992" w:gutter="0"/>
          <w:cols w:space="720" w:num="1"/>
          <w:titlePg/>
          <w:docGrid w:linePitch="312" w:charSpace="0"/>
        </w:sectPr>
      </w:pPr>
    </w:p>
    <w:p>
      <w:pPr>
        <w:tabs>
          <w:tab w:val="left" w:pos="2996"/>
        </w:tabs>
        <w:spacing w:line="440" w:lineRule="exact"/>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合同附件二</w:t>
      </w:r>
    </w:p>
    <w:p>
      <w:pPr>
        <w:jc w:val="center"/>
        <w:rPr>
          <w:color w:val="auto"/>
          <w:highlight w:val="none"/>
        </w:rPr>
      </w:pPr>
    </w:p>
    <w:p>
      <w:pPr>
        <w:jc w:val="center"/>
        <w:rPr>
          <w:rFonts w:ascii="仿宋" w:hAnsi="仿宋" w:eastAsia="仿宋" w:cs="仿宋"/>
          <w:color w:val="auto"/>
          <w:sz w:val="24"/>
          <w:highlight w:val="none"/>
        </w:rPr>
      </w:pPr>
      <w:r>
        <w:rPr>
          <w:rFonts w:hint="eastAsia" w:ascii="仿宋" w:hAnsi="仿宋" w:eastAsia="仿宋" w:cs="仿宋"/>
          <w:b/>
          <w:color w:val="auto"/>
          <w:sz w:val="24"/>
          <w:highlight w:val="none"/>
        </w:rPr>
        <w:t>全过程跟踪审计服务考核评价表</w:t>
      </w:r>
    </w:p>
    <w:tbl>
      <w:tblPr>
        <w:tblStyle w:val="62"/>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456"/>
        <w:gridCol w:w="2685"/>
        <w:gridCol w:w="811"/>
        <w:gridCol w:w="3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2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填表人</w:t>
            </w:r>
          </w:p>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单位</w:t>
            </w:r>
          </w:p>
        </w:tc>
        <w:tc>
          <w:tcPr>
            <w:tcW w:w="8173"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杭州市卫生健康事业发展中心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2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评价</w:t>
            </w:r>
          </w:p>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项目</w:t>
            </w:r>
          </w:p>
        </w:tc>
        <w:tc>
          <w:tcPr>
            <w:tcW w:w="8173"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22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填表人</w:t>
            </w:r>
          </w:p>
        </w:tc>
        <w:tc>
          <w:tcPr>
            <w:tcW w:w="414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地址</w:t>
            </w:r>
          </w:p>
        </w:tc>
        <w:tc>
          <w:tcPr>
            <w:tcW w:w="32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2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电话</w:t>
            </w:r>
          </w:p>
        </w:tc>
        <w:tc>
          <w:tcPr>
            <w:tcW w:w="414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传真</w:t>
            </w:r>
          </w:p>
        </w:tc>
        <w:tc>
          <w:tcPr>
            <w:tcW w:w="32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7" w:type="dxa"/>
            <w:vMerge w:val="restart"/>
            <w:tcBorders>
              <w:top w:val="single" w:color="auto" w:sz="4" w:space="0"/>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对全过程跟踪审计服务单位的评价</w:t>
            </w:r>
          </w:p>
        </w:tc>
        <w:tc>
          <w:tcPr>
            <w:tcW w:w="414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评分项</w:t>
            </w:r>
          </w:p>
        </w:tc>
        <w:tc>
          <w:tcPr>
            <w:tcW w:w="8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分值</w:t>
            </w:r>
          </w:p>
        </w:tc>
        <w:tc>
          <w:tcPr>
            <w:tcW w:w="32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评分</w:t>
            </w:r>
          </w:p>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7" w:type="dxa"/>
            <w:vMerge w:val="continue"/>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1456" w:type="dxa"/>
            <w:tcBorders>
              <w:top w:val="single" w:color="auto" w:sz="4" w:space="0"/>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人员配备</w:t>
            </w:r>
          </w:p>
        </w:tc>
        <w:tc>
          <w:tcPr>
            <w:tcW w:w="2685" w:type="dxa"/>
            <w:tcBorders>
              <w:top w:val="single" w:color="auto" w:sz="4" w:space="0"/>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全过程跟踪审计服务</w:t>
            </w:r>
          </w:p>
          <w:p>
            <w:pPr>
              <w:spacing w:line="440" w:lineRule="exact"/>
              <w:jc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人员配备情况</w:t>
            </w:r>
          </w:p>
        </w:tc>
        <w:tc>
          <w:tcPr>
            <w:tcW w:w="811" w:type="dxa"/>
            <w:tcBorders>
              <w:top w:val="single" w:color="auto" w:sz="4" w:space="0"/>
              <w:left w:val="single" w:color="auto" w:sz="4" w:space="0"/>
              <w:right w:val="single" w:color="auto" w:sz="4" w:space="0"/>
            </w:tcBorders>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7</w:t>
            </w:r>
          </w:p>
        </w:tc>
        <w:tc>
          <w:tcPr>
            <w:tcW w:w="32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7" w:type="dxa"/>
            <w:vMerge w:val="continue"/>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1456" w:type="dxa"/>
            <w:vMerge w:val="restart"/>
            <w:tcBorders>
              <w:top w:val="single" w:color="auto" w:sz="4" w:space="0"/>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能力水平</w:t>
            </w:r>
          </w:p>
        </w:tc>
        <w:tc>
          <w:tcPr>
            <w:tcW w:w="26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项目负责人能力</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10</w:t>
            </w:r>
          </w:p>
        </w:tc>
        <w:tc>
          <w:tcPr>
            <w:tcW w:w="32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7" w:type="dxa"/>
            <w:vMerge w:val="continue"/>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1456" w:type="dxa"/>
            <w:vMerge w:val="continue"/>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房建专业负责人能力</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4</w:t>
            </w:r>
          </w:p>
        </w:tc>
        <w:tc>
          <w:tcPr>
            <w:tcW w:w="32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7" w:type="dxa"/>
            <w:vMerge w:val="continue"/>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1456" w:type="dxa"/>
            <w:vMerge w:val="continue"/>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市政专业负责人能力</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4</w:t>
            </w:r>
          </w:p>
        </w:tc>
        <w:tc>
          <w:tcPr>
            <w:tcW w:w="32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227" w:type="dxa"/>
            <w:vMerge w:val="continue"/>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1456" w:type="dxa"/>
            <w:vMerge w:val="continue"/>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景观专业负责人能力</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4</w:t>
            </w:r>
          </w:p>
        </w:tc>
        <w:tc>
          <w:tcPr>
            <w:tcW w:w="32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1227" w:type="dxa"/>
            <w:vMerge w:val="continue"/>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1456" w:type="dxa"/>
            <w:vMerge w:val="continue"/>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安装专业负责人能力</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4</w:t>
            </w:r>
          </w:p>
        </w:tc>
        <w:tc>
          <w:tcPr>
            <w:tcW w:w="32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1227" w:type="dxa"/>
            <w:vMerge w:val="continue"/>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1456" w:type="dxa"/>
            <w:vMerge w:val="continue"/>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其他项目组成员能力</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4</w:t>
            </w:r>
          </w:p>
        </w:tc>
        <w:tc>
          <w:tcPr>
            <w:tcW w:w="32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1227" w:type="dxa"/>
            <w:vMerge w:val="continue"/>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1456" w:type="dxa"/>
            <w:vMerge w:val="continue"/>
            <w:tcBorders>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驻场人员能力</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3</w:t>
            </w:r>
          </w:p>
        </w:tc>
        <w:tc>
          <w:tcPr>
            <w:tcW w:w="32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1227" w:type="dxa"/>
            <w:vMerge w:val="continue"/>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1456" w:type="dxa"/>
            <w:tcBorders>
              <w:top w:val="single" w:color="auto" w:sz="4" w:space="0"/>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服务质量</w:t>
            </w:r>
          </w:p>
        </w:tc>
        <w:tc>
          <w:tcPr>
            <w:tcW w:w="2685" w:type="dxa"/>
            <w:tcBorders>
              <w:top w:val="single" w:color="auto" w:sz="4" w:space="0"/>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全过程跟踪审计服务</w:t>
            </w:r>
          </w:p>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成果质量</w:t>
            </w:r>
          </w:p>
        </w:tc>
        <w:tc>
          <w:tcPr>
            <w:tcW w:w="811" w:type="dxa"/>
            <w:tcBorders>
              <w:top w:val="single" w:color="auto" w:sz="4" w:space="0"/>
              <w:left w:val="single" w:color="auto" w:sz="4" w:space="0"/>
              <w:right w:val="single" w:color="auto" w:sz="4" w:space="0"/>
            </w:tcBorders>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40</w:t>
            </w:r>
          </w:p>
        </w:tc>
        <w:tc>
          <w:tcPr>
            <w:tcW w:w="32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1227" w:type="dxa"/>
            <w:vMerge w:val="continue"/>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1456" w:type="dxa"/>
            <w:tcBorders>
              <w:top w:val="single" w:color="auto" w:sz="4" w:space="0"/>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服务态度</w:t>
            </w:r>
          </w:p>
        </w:tc>
        <w:tc>
          <w:tcPr>
            <w:tcW w:w="26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服务及配合态度</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15</w:t>
            </w:r>
          </w:p>
        </w:tc>
        <w:tc>
          <w:tcPr>
            <w:tcW w:w="32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7" w:type="dxa"/>
            <w:vMerge w:val="continue"/>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1456" w:type="dxa"/>
            <w:tcBorders>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其他评价</w:t>
            </w:r>
          </w:p>
        </w:tc>
        <w:tc>
          <w:tcPr>
            <w:tcW w:w="2685" w:type="dxa"/>
            <w:tcBorders>
              <w:top w:val="single" w:color="auto" w:sz="4" w:space="0"/>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工作效率</w:t>
            </w:r>
          </w:p>
        </w:tc>
        <w:tc>
          <w:tcPr>
            <w:tcW w:w="811" w:type="dxa"/>
            <w:tcBorders>
              <w:top w:val="single" w:color="auto" w:sz="4" w:space="0"/>
              <w:left w:val="single" w:color="auto" w:sz="4" w:space="0"/>
              <w:right w:val="single" w:color="auto" w:sz="4" w:space="0"/>
            </w:tcBorders>
            <w:vAlign w:val="center"/>
          </w:tcPr>
          <w:p>
            <w:pPr>
              <w:widowControl/>
              <w:jc w:val="center"/>
              <w:textAlignment w:val="center"/>
              <w:rPr>
                <w:rFonts w:ascii="仿宋" w:hAnsi="仿宋" w:eastAsia="仿宋" w:cs="仿宋"/>
                <w:color w:val="auto"/>
                <w:sz w:val="24"/>
                <w:highlight w:val="none"/>
              </w:rPr>
            </w:pPr>
            <w:r>
              <w:rPr>
                <w:color w:val="auto"/>
                <w:kern w:val="0"/>
                <w:szCs w:val="21"/>
                <w:highlight w:val="none"/>
                <w:lang w:bidi="ar"/>
              </w:rPr>
              <w:t>5</w:t>
            </w:r>
          </w:p>
        </w:tc>
        <w:tc>
          <w:tcPr>
            <w:tcW w:w="3221" w:type="dxa"/>
            <w:tcBorders>
              <w:top w:val="single" w:color="auto" w:sz="4" w:space="0"/>
              <w:left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1227" w:type="dxa"/>
            <w:vMerge w:val="continue"/>
            <w:tcBorders>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c>
          <w:tcPr>
            <w:tcW w:w="414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合计</w:t>
            </w:r>
          </w:p>
        </w:tc>
        <w:tc>
          <w:tcPr>
            <w:tcW w:w="403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22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对全过程跟踪审计服务单位的意见和要求</w:t>
            </w:r>
          </w:p>
        </w:tc>
        <w:tc>
          <w:tcPr>
            <w:tcW w:w="8173"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22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备注</w:t>
            </w:r>
          </w:p>
        </w:tc>
        <w:tc>
          <w:tcPr>
            <w:tcW w:w="8173"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此表不作受托人业绩证明</w:t>
            </w:r>
          </w:p>
        </w:tc>
      </w:tr>
    </w:tbl>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填表人（招标/采购经办部门）签字盖章：           </w:t>
      </w:r>
    </w:p>
    <w:p>
      <w:pPr>
        <w:wordWrap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wordWrap w:val="0"/>
        <w:jc w:val="center"/>
        <w:rPr>
          <w:rFonts w:ascii="仿宋" w:hAnsi="仿宋" w:eastAsia="仿宋" w:cs="仿宋"/>
          <w:color w:val="auto"/>
          <w:sz w:val="24"/>
          <w:highlight w:val="none"/>
        </w:rPr>
      </w:pPr>
    </w:p>
    <w:p>
      <w:pPr>
        <w:wordWrap w:val="0"/>
        <w:jc w:val="center"/>
        <w:rPr>
          <w:rFonts w:ascii="仿宋" w:hAnsi="仿宋" w:eastAsia="仿宋" w:cs="仿宋_GB2312"/>
          <w:b/>
          <w:color w:val="auto"/>
          <w:sz w:val="36"/>
          <w:szCs w:val="20"/>
          <w:highlight w:val="none"/>
        </w:rPr>
        <w:sectPr>
          <w:pgSz w:w="11906" w:h="16838"/>
          <w:pgMar w:top="1276" w:right="1418" w:bottom="1247" w:left="1418" w:header="851" w:footer="992" w:gutter="0"/>
          <w:cols w:space="720" w:num="1"/>
          <w:titlePg/>
          <w:docGrid w:linePitch="312" w:charSpace="0"/>
        </w:sectPr>
      </w:pPr>
      <w:r>
        <w:rPr>
          <w:rFonts w:hint="eastAsia" w:ascii="仿宋" w:hAnsi="仿宋" w:eastAsia="仿宋" w:cs="仿宋"/>
          <w:color w:val="auto"/>
          <w:sz w:val="24"/>
          <w:highlight w:val="none"/>
        </w:rPr>
        <w:t xml:space="preserve"> 日期：       </w:t>
      </w:r>
    </w:p>
    <w:p>
      <w:pPr>
        <w:pStyle w:val="25"/>
        <w:rPr>
          <w:color w:val="auto"/>
          <w:highlight w:val="none"/>
          <w:lang w:val="en-US"/>
        </w:rPr>
      </w:pPr>
    </w:p>
    <w:p>
      <w:pPr>
        <w:tabs>
          <w:tab w:val="left" w:pos="2996"/>
        </w:tabs>
        <w:spacing w:line="440" w:lineRule="exact"/>
        <w:rPr>
          <w:rFonts w:ascii="仿宋" w:hAnsi="仿宋" w:eastAsia="仿宋" w:cs="仿宋"/>
          <w:b/>
          <w:bCs/>
          <w:color w:val="auto"/>
          <w:sz w:val="32"/>
          <w:szCs w:val="32"/>
          <w:highlight w:val="none"/>
        </w:rPr>
      </w:pPr>
      <w:bookmarkStart w:id="512" w:name="_bookmark50"/>
      <w:bookmarkEnd w:id="512"/>
      <w:r>
        <w:rPr>
          <w:rFonts w:hint="eastAsia" w:ascii="仿宋" w:hAnsi="仿宋" w:eastAsia="仿宋" w:cs="仿宋"/>
          <w:b/>
          <w:bCs/>
          <w:color w:val="auto"/>
          <w:sz w:val="32"/>
          <w:szCs w:val="32"/>
          <w:highlight w:val="none"/>
        </w:rPr>
        <w:t>合同附件三</w:t>
      </w:r>
    </w:p>
    <w:p>
      <w:pPr>
        <w:tabs>
          <w:tab w:val="left" w:pos="2996"/>
        </w:tabs>
        <w:spacing w:line="440" w:lineRule="exact"/>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廉政协议</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909" w:type="dxa"/>
            <w:vAlign w:val="center"/>
          </w:tcPr>
          <w:p>
            <w:pPr>
              <w:tabs>
                <w:tab w:val="left" w:pos="6570"/>
              </w:tabs>
              <w:spacing w:line="360" w:lineRule="auto"/>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甲方：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3" w:hRule="atLeast"/>
          <w:jc w:val="center"/>
        </w:trPr>
        <w:tc>
          <w:tcPr>
            <w:tcW w:w="8909" w:type="dxa"/>
            <w:vAlign w:val="center"/>
          </w:tcPr>
          <w:p>
            <w:pPr>
              <w:tabs>
                <w:tab w:val="left" w:pos="6570"/>
              </w:tabs>
              <w:spacing w:line="360" w:lineRule="auto"/>
              <w:rPr>
                <w:rFonts w:ascii="仿宋" w:hAnsi="仿宋" w:eastAsia="仿宋" w:cs="仿宋"/>
                <w:b/>
                <w:bCs/>
                <w:color w:val="auto"/>
                <w:sz w:val="24"/>
                <w:highlight w:val="none"/>
                <w:shd w:val="clear" w:color="auto" w:fill="FFFFFF"/>
              </w:rPr>
            </w:pPr>
            <w:r>
              <w:rPr>
                <w:rFonts w:hint="eastAsia" w:ascii="仿宋" w:hAnsi="仿宋" w:eastAsia="仿宋" w:cs="仿宋"/>
                <w:color w:val="auto"/>
                <w:sz w:val="24"/>
                <w:highlight w:val="none"/>
                <w:shd w:val="clear" w:color="auto" w:fill="FFFFFF"/>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jc w:val="center"/>
        </w:trPr>
        <w:tc>
          <w:tcPr>
            <w:tcW w:w="8909" w:type="dxa"/>
            <w:vAlign w:val="center"/>
          </w:tcPr>
          <w:p>
            <w:pPr>
              <w:spacing w:line="360" w:lineRule="auto"/>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09" w:type="dxa"/>
            <w:vAlign w:val="center"/>
          </w:tcPr>
          <w:p>
            <w:pPr>
              <w:tabs>
                <w:tab w:val="left" w:pos="6570"/>
              </w:tabs>
              <w:spacing w:line="360" w:lineRule="auto"/>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09" w:type="dxa"/>
            <w:vAlign w:val="center"/>
          </w:tcPr>
          <w:p>
            <w:pPr>
              <w:tabs>
                <w:tab w:val="left" w:pos="6570"/>
              </w:tabs>
              <w:spacing w:line="360" w:lineRule="auto"/>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8909" w:type="dxa"/>
            <w:vAlign w:val="center"/>
          </w:tcPr>
          <w:p>
            <w:pPr>
              <w:tabs>
                <w:tab w:val="left" w:pos="6570"/>
              </w:tabs>
              <w:spacing w:line="360" w:lineRule="auto"/>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甲方项目负责人：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09" w:type="dxa"/>
            <w:vAlign w:val="center"/>
          </w:tcPr>
          <w:p>
            <w:pPr>
              <w:tabs>
                <w:tab w:val="left" w:pos="6570"/>
              </w:tabs>
              <w:spacing w:line="360" w:lineRule="auto"/>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乙方项目负责人：                  电话：</w:t>
            </w:r>
          </w:p>
        </w:tc>
      </w:tr>
    </w:tbl>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为加强廉政建设，规范双方的各项活动，防止发生各种谋取不正当利益的违法违纪行为，保护国家、集体和当事人的合法权益，根据国家有关法律法规和廉政建设责任制度规定，特签订廉政协议。</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第一条  甲、乙双方约定：</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（一）甲、乙双方应共同严格遵守国家和省市以及委托人主管部门关于市场准入、项目招标投标、市场经济活动等有关法律、法规和相关政策，以及项目廉政建设的各项规定。</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（二）甲、乙双方应认真执行双方签订的合同文件，自觉按合同约定履行责任。</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（三）甲、乙双方的业务活动必须坚持公开、公平、公正、诚信、透明的原则（除法律法规另有规定者外）。不得为获取不正当的利益，损害国家、集体和对方利益；不得违反管理相关规章制度。</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（四）甲、乙双方有对本方人员开展廉政告知、廉政教育和职业道德教育的义务。</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（五）甲、乙双方应加强对本方人员廉政监督，建立健全廉政制度，认真严肃查处本方人员违法违纪行为。</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（六）甲、乙双方如发现对方人员在业务活动中有违规、违纪、违法行为的，应及时提醒对方并督促其纠正，或直接向对方法人代表、纪检监察部门及检察机关如实反映情况。</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第二条  乙方的廉政责任</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（一）乙方不得以任何理由向甲方工作人员赠送礼金、有价证券、贵重物品、信用卡及其他支付凭证。</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（二）乙方不得以任何理由或名义向甲方及其工作人员支付回扣、好处费、感谢费等。</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（三）乙方不得以任何理由或名义为甲方及其工作人员报销任何应由甲方个人支付的费用。</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（四）乙方不得以任何理由为甲方及其工作人员购置或长期提供通信工具、交通工具等。</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（五）乙方不得以任何理由为甲方及其工作人员的个人装修住房、婚丧嫁娶、配偶子女的工作安排以及出国（境）、旅游等提供方便。</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（六）乙方不得以任何理由为甲方及其工作人员组织有可能影响公正执行公务的宴请和各类休闲娱乐等活动。</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（七）乙方及其工作人员必须严格按照有关规程办事，不得与其他单位互相串通，损害甲方利益。</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第三条  违约责任</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一）乙方工作人员有违反本协议第一、二条责任行为的，按照管理权限，依据有关法律法规和乙方单位及其上级党政部门党风廉政建设规定给予当事人批评教育、组织处理或党纪政纪处分；涉嫌犯罪的，移交司法机关追究刑事责任；给甲方单位造成经济损失的，应予以赔偿。</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（二）乙方贿赂甲方人员的，被纪检监察部门或检察机关立案查处的，甲方有权中止项目合同，由此造成甲方的损失以及一切费用均由乙方承担。</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p>
    <w:p>
      <w:pPr>
        <w:tabs>
          <w:tab w:val="left" w:pos="6570"/>
        </w:tabs>
        <w:spacing w:line="360" w:lineRule="auto"/>
        <w:ind w:firstLine="480" w:firstLineChars="200"/>
        <w:rPr>
          <w:rFonts w:ascii="仿宋" w:hAnsi="仿宋" w:eastAsia="仿宋" w:cs="仿宋"/>
          <w:color w:val="auto"/>
          <w:sz w:val="24"/>
          <w:highlight w:val="none"/>
          <w:shd w:val="clear" w:color="auto" w:fill="FFFFFF"/>
        </w:rPr>
      </w:pPr>
    </w:p>
    <w:p>
      <w:pPr>
        <w:tabs>
          <w:tab w:val="left" w:pos="6570"/>
        </w:tabs>
        <w:spacing w:line="360" w:lineRule="auto"/>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甲方单位：                                    乙方单位（公章）：</w:t>
      </w:r>
    </w:p>
    <w:p>
      <w:pPr>
        <w:tabs>
          <w:tab w:val="left" w:pos="6570"/>
        </w:tabs>
        <w:spacing w:line="360" w:lineRule="auto"/>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甲方代表：                                    乙方代表（签字）：</w:t>
      </w:r>
    </w:p>
    <w:p>
      <w:pPr>
        <w:tabs>
          <w:tab w:val="left" w:pos="6570"/>
        </w:tabs>
        <w:spacing w:line="360" w:lineRule="auto"/>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电话：                                        电话：</w:t>
      </w:r>
    </w:p>
    <w:p>
      <w:pPr>
        <w:tabs>
          <w:tab w:val="left" w:pos="6570"/>
        </w:tabs>
        <w:spacing w:line="360" w:lineRule="auto"/>
        <w:ind w:firstLine="480" w:firstLineChars="200"/>
        <w:rPr>
          <w:rFonts w:ascii="仿宋" w:hAnsi="仿宋" w:eastAsia="仿宋" w:cs="仿宋"/>
          <w:color w:val="auto"/>
          <w:sz w:val="24"/>
          <w:highlight w:val="none"/>
          <w:shd w:val="clear" w:color="auto" w:fill="FFFFFF"/>
        </w:rPr>
      </w:pPr>
    </w:p>
    <w:p>
      <w:pPr>
        <w:keepNext/>
        <w:keepLines/>
        <w:snapToGrid w:val="0"/>
        <w:spacing w:line="360" w:lineRule="auto"/>
        <w:jc w:val="center"/>
        <w:outlineLvl w:val="0"/>
        <w:rPr>
          <w:rFonts w:ascii="仿宋" w:hAnsi="仿宋" w:eastAsia="仿宋" w:cs="仿宋"/>
          <w:b/>
          <w:bCs/>
          <w:color w:val="auto"/>
          <w:kern w:val="44"/>
          <w:sz w:val="24"/>
          <w:szCs w:val="44"/>
          <w:highlight w:val="none"/>
          <w:shd w:val="clear" w:color="auto" w:fill="FFFFFF"/>
        </w:rPr>
      </w:pPr>
      <w:r>
        <w:rPr>
          <w:rFonts w:hint="eastAsia" w:ascii="仿宋" w:hAnsi="仿宋" w:eastAsia="仿宋" w:cs="仿宋"/>
          <w:b/>
          <w:bCs/>
          <w:color w:val="auto"/>
          <w:kern w:val="44"/>
          <w:sz w:val="24"/>
          <w:szCs w:val="44"/>
          <w:highlight w:val="none"/>
          <w:shd w:val="clear" w:color="auto" w:fill="FFFFFF"/>
        </w:rPr>
        <w:t xml:space="preserve">                                           </w:t>
      </w:r>
      <w:bookmarkStart w:id="513" w:name="_Toc17067"/>
      <w:bookmarkStart w:id="514" w:name="_Toc8887"/>
      <w:bookmarkStart w:id="515" w:name="_Toc28090"/>
      <w:bookmarkStart w:id="516" w:name="_Toc29254"/>
      <w:bookmarkStart w:id="517" w:name="_Toc6211"/>
      <w:r>
        <w:rPr>
          <w:rFonts w:hint="eastAsia" w:ascii="仿宋" w:hAnsi="仿宋" w:eastAsia="仿宋" w:cs="仿宋"/>
          <w:b/>
          <w:bCs/>
          <w:color w:val="auto"/>
          <w:kern w:val="44"/>
          <w:sz w:val="24"/>
          <w:szCs w:val="44"/>
          <w:highlight w:val="none"/>
          <w:shd w:val="clear" w:color="auto" w:fill="FFFFFF"/>
        </w:rPr>
        <w:t>年     月     日</w:t>
      </w:r>
      <w:bookmarkEnd w:id="513"/>
      <w:bookmarkEnd w:id="514"/>
      <w:bookmarkEnd w:id="515"/>
      <w:bookmarkEnd w:id="516"/>
      <w:bookmarkEnd w:id="517"/>
    </w:p>
    <w:p>
      <w:pPr>
        <w:rPr>
          <w:rFonts w:ascii="仿宋" w:hAnsi="仿宋" w:eastAsia="仿宋" w:cs="仿宋"/>
          <w:color w:val="auto"/>
          <w:sz w:val="24"/>
          <w:highlight w:val="none"/>
        </w:rPr>
      </w:pPr>
    </w:p>
    <w:p>
      <w:pPr>
        <w:pStyle w:val="6"/>
        <w:spacing w:line="400" w:lineRule="exact"/>
        <w:rPr>
          <w:rFonts w:ascii="仿宋" w:hAnsi="仿宋" w:eastAsia="仿宋" w:cs="仿宋"/>
          <w:b/>
          <w:bCs/>
          <w:color w:val="auto"/>
          <w:sz w:val="24"/>
          <w:szCs w:val="24"/>
          <w:highlight w:val="none"/>
        </w:rPr>
      </w:pPr>
    </w:p>
    <w:p>
      <w:pPr>
        <w:pStyle w:val="6"/>
        <w:spacing w:line="400" w:lineRule="exact"/>
        <w:rPr>
          <w:rFonts w:ascii="仿宋" w:hAnsi="仿宋" w:eastAsia="仿宋" w:cs="仿宋"/>
          <w:b/>
          <w:bCs/>
          <w:color w:val="auto"/>
          <w:sz w:val="24"/>
          <w:szCs w:val="24"/>
          <w:highlight w:val="none"/>
        </w:rPr>
      </w:pPr>
    </w:p>
    <w:p>
      <w:pPr>
        <w:pStyle w:val="6"/>
        <w:spacing w:line="400" w:lineRule="exact"/>
        <w:rPr>
          <w:rFonts w:ascii="仿宋" w:hAnsi="仿宋" w:eastAsia="仿宋" w:cs="仿宋"/>
          <w:b/>
          <w:bCs/>
          <w:color w:val="auto"/>
          <w:sz w:val="24"/>
          <w:szCs w:val="24"/>
          <w:highlight w:val="none"/>
        </w:rPr>
      </w:pPr>
    </w:p>
    <w:p>
      <w:pPr>
        <w:pStyle w:val="6"/>
        <w:spacing w:line="400" w:lineRule="exact"/>
        <w:rPr>
          <w:rFonts w:ascii="仿宋" w:hAnsi="仿宋" w:eastAsia="仿宋" w:cs="仿宋"/>
          <w:b/>
          <w:bCs/>
          <w:color w:val="auto"/>
          <w:sz w:val="24"/>
          <w:szCs w:val="24"/>
          <w:highlight w:val="none"/>
        </w:rPr>
      </w:pPr>
    </w:p>
    <w:p>
      <w:pPr>
        <w:spacing w:line="360" w:lineRule="auto"/>
        <w:ind w:left="720" w:firstLine="723" w:firstLineChars="200"/>
        <w:outlineLvl w:val="0"/>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6"/>
      <w:r>
        <w:rPr>
          <w:rFonts w:hint="eastAsia" w:ascii="仿宋" w:hAnsi="仿宋" w:eastAsia="仿宋" w:cs="仿宋"/>
          <w:b/>
          <w:color w:val="auto"/>
          <w:sz w:val="36"/>
          <w:szCs w:val="20"/>
          <w:highlight w:val="none"/>
        </w:rPr>
        <w:t xml:space="preserve"> </w:t>
      </w:r>
      <w:bookmarkEnd w:id="397"/>
      <w:r>
        <w:rPr>
          <w:rFonts w:hint="eastAsia" w:ascii="仿宋" w:hAnsi="仿宋" w:eastAsia="仿宋" w:cs="仿宋"/>
          <w:b/>
          <w:color w:val="auto"/>
          <w:sz w:val="36"/>
          <w:szCs w:val="20"/>
          <w:highlight w:val="none"/>
        </w:rPr>
        <w:t>应提交的有关格式范例</w:t>
      </w:r>
    </w:p>
    <w:p>
      <w:pPr>
        <w:spacing w:line="360" w:lineRule="auto"/>
        <w:jc w:val="center"/>
        <w:outlineLvl w:val="0"/>
        <w:rPr>
          <w:rFonts w:ascii="仿宋" w:hAnsi="仿宋" w:eastAsia="仿宋" w:cs="仿宋"/>
          <w:b/>
          <w:color w:val="auto"/>
          <w:kern w:val="0"/>
          <w:sz w:val="36"/>
          <w:szCs w:val="36"/>
          <w:highlight w:val="none"/>
        </w:rPr>
      </w:pP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r>
        <w:rPr>
          <w:rFonts w:hint="eastAsia" w:ascii="仿宋" w:hAnsi="仿宋" w:eastAsia="仿宋" w:cs="仿宋"/>
          <w:color w:val="auto"/>
          <w:sz w:val="24"/>
          <w:highlight w:val="none"/>
        </w:rPr>
        <w:t>：</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我方参与</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u w:val="single"/>
        </w:rPr>
        <w:t>（采购编号）</w:t>
      </w:r>
      <w:r>
        <w:rPr>
          <w:rFonts w:hint="eastAsia" w:ascii="仿宋" w:hAnsi="仿宋" w:eastAsia="仿宋" w:cs="仿宋"/>
          <w:color w:val="auto"/>
          <w:sz w:val="24"/>
          <w:highlight w:val="none"/>
        </w:rPr>
        <w:t>】政府采购活动，郑重承诺：</w:t>
      </w:r>
    </w:p>
    <w:p>
      <w:pPr>
        <w:snapToGrid w:val="0"/>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rPr>
          <w:rFonts w:ascii="仿宋" w:hAnsi="仿宋" w:eastAsia="仿宋" w:cs="仿宋"/>
          <w:color w:val="auto"/>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firstLine="321" w:firstLineChars="10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widowControl/>
        <w:spacing w:line="360" w:lineRule="auto"/>
        <w:ind w:left="150" w:firstLine="321" w:firstLineChars="100"/>
        <w:rPr>
          <w:rFonts w:hint="eastAsia" w:ascii="仿宋" w:hAnsi="仿宋" w:eastAsia="仿宋" w:cs="仿宋"/>
          <w:b/>
          <w:color w:val="auto"/>
          <w:kern w:val="0"/>
          <w:sz w:val="32"/>
          <w:szCs w:val="32"/>
          <w:highlight w:val="none"/>
        </w:rPr>
      </w:pPr>
    </w:p>
    <w:p>
      <w:pPr>
        <w:widowControl/>
        <w:spacing w:line="360" w:lineRule="auto"/>
        <w:ind w:left="150" w:firstLine="321" w:firstLineChars="10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ascii="仿宋" w:hAnsi="仿宋" w:eastAsia="仿宋" w:cs="仿宋"/>
          <w:color w:val="auto"/>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pacing w:line="360" w:lineRule="auto"/>
        <w:jc w:val="center"/>
        <w:outlineLvl w:val="0"/>
        <w:rPr>
          <w:rFonts w:ascii="仿宋" w:hAnsi="仿宋" w:eastAsia="仿宋" w:cs="仿宋"/>
          <w:b/>
          <w:color w:val="auto"/>
          <w:kern w:val="0"/>
          <w:sz w:val="36"/>
          <w:szCs w:val="36"/>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pacing w:line="360" w:lineRule="auto"/>
        <w:jc w:val="center"/>
        <w:outlineLvl w:val="0"/>
        <w:rPr>
          <w:rFonts w:ascii="仿宋" w:hAnsi="仿宋" w:eastAsia="仿宋" w:cs="仿宋"/>
          <w:b/>
          <w:color w:val="auto"/>
          <w:kern w:val="0"/>
          <w:sz w:val="36"/>
          <w:szCs w:val="36"/>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pacing w:line="360" w:lineRule="auto"/>
        <w:jc w:val="center"/>
        <w:outlineLvl w:val="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（1）投标函……………………………………………………………………（页码）</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（2）授权委托书或法定代表人（单位负责人、自然人本人）身份证明…（页码）</w:t>
      </w:r>
    </w:p>
    <w:p>
      <w:pPr>
        <w:snapToGrid w:val="0"/>
        <w:spacing w:line="360" w:lineRule="auto"/>
        <w:ind w:left="479" w:leftChars="228"/>
        <w:jc w:val="left"/>
        <w:rPr>
          <w:rFonts w:ascii="仿宋" w:hAnsi="仿宋" w:eastAsia="仿宋" w:cs="仿宋"/>
          <w:color w:val="auto"/>
          <w:sz w:val="24"/>
          <w:highlight w:val="none"/>
        </w:rPr>
      </w:pPr>
      <w:r>
        <w:rPr>
          <w:rFonts w:hint="eastAsia" w:ascii="仿宋" w:hAnsi="仿宋" w:eastAsia="仿宋" w:cs="仿宋"/>
          <w:color w:val="auto"/>
          <w:sz w:val="24"/>
          <w:highlight w:val="none"/>
        </w:rPr>
        <w:t>（3）符合性审查资料…………………………………………………………（页码）</w:t>
      </w:r>
    </w:p>
    <w:p>
      <w:pPr>
        <w:snapToGrid w:val="0"/>
        <w:spacing w:line="360" w:lineRule="auto"/>
        <w:ind w:left="479" w:leftChars="228"/>
        <w:jc w:val="left"/>
        <w:rPr>
          <w:rFonts w:ascii="仿宋" w:hAnsi="仿宋" w:eastAsia="仿宋" w:cs="仿宋"/>
          <w:color w:val="auto"/>
          <w:sz w:val="24"/>
          <w:highlight w:val="none"/>
        </w:rPr>
      </w:pPr>
      <w:r>
        <w:rPr>
          <w:rFonts w:hint="eastAsia" w:ascii="仿宋" w:hAnsi="仿宋" w:eastAsia="仿宋" w:cs="仿宋"/>
          <w:color w:val="auto"/>
          <w:sz w:val="24"/>
          <w:highlight w:val="none"/>
        </w:rPr>
        <w:t>（4）投标人业绩………………………………………………………………（页码）</w:t>
      </w:r>
    </w:p>
    <w:p>
      <w:pPr>
        <w:snapToGrid w:val="0"/>
        <w:spacing w:line="360" w:lineRule="auto"/>
        <w:ind w:left="479" w:leftChars="228"/>
        <w:jc w:val="left"/>
        <w:rPr>
          <w:rFonts w:ascii="仿宋" w:hAnsi="仿宋" w:eastAsia="仿宋" w:cs="仿宋"/>
          <w:color w:val="auto"/>
          <w:sz w:val="24"/>
          <w:highlight w:val="none"/>
        </w:rPr>
      </w:pPr>
      <w:r>
        <w:rPr>
          <w:rFonts w:hint="eastAsia" w:ascii="仿宋" w:hAnsi="仿宋" w:eastAsia="仿宋" w:cs="仿宋"/>
          <w:color w:val="auto"/>
          <w:sz w:val="24"/>
          <w:highlight w:val="none"/>
        </w:rPr>
        <w:t>（5）项目负责人业绩…………………………………………………………（页码）</w:t>
      </w:r>
    </w:p>
    <w:p>
      <w:pPr>
        <w:snapToGrid w:val="0"/>
        <w:spacing w:line="360" w:lineRule="auto"/>
        <w:ind w:left="479" w:leftChars="228"/>
        <w:jc w:val="left"/>
        <w:rPr>
          <w:rFonts w:ascii="仿宋" w:hAnsi="仿宋" w:eastAsia="仿宋" w:cs="仿宋"/>
          <w:color w:val="auto"/>
          <w:sz w:val="24"/>
          <w:highlight w:val="none"/>
        </w:rPr>
      </w:pPr>
      <w:r>
        <w:rPr>
          <w:rFonts w:hint="eastAsia" w:ascii="仿宋" w:hAnsi="仿宋" w:eastAsia="仿宋" w:cs="仿宋"/>
          <w:color w:val="auto"/>
          <w:sz w:val="24"/>
          <w:highlight w:val="none"/>
        </w:rPr>
        <w:t>（6）项目负责人能力…………………………………………………………（页码）</w:t>
      </w:r>
    </w:p>
    <w:p>
      <w:pPr>
        <w:snapToGrid w:val="0"/>
        <w:spacing w:line="360" w:lineRule="auto"/>
        <w:ind w:left="479" w:leftChars="228"/>
        <w:jc w:val="left"/>
        <w:rPr>
          <w:rFonts w:ascii="仿宋" w:hAnsi="仿宋" w:eastAsia="仿宋" w:cs="仿宋"/>
          <w:color w:val="auto"/>
          <w:sz w:val="24"/>
          <w:highlight w:val="none"/>
        </w:rPr>
      </w:pPr>
      <w:r>
        <w:rPr>
          <w:rFonts w:hint="eastAsia" w:ascii="仿宋" w:hAnsi="仿宋" w:eastAsia="仿宋" w:cs="仿宋"/>
          <w:color w:val="auto"/>
          <w:sz w:val="24"/>
          <w:highlight w:val="none"/>
        </w:rPr>
        <w:t>（7）项目组人员配置及分工（需提供拟派本项目人员汇总表，驻场各专业人员须单独注明，项目组人员专业结构搭配合理）……………………………… （页码）</w:t>
      </w:r>
    </w:p>
    <w:p>
      <w:pPr>
        <w:snapToGrid w:val="0"/>
        <w:spacing w:line="360" w:lineRule="auto"/>
        <w:ind w:left="479" w:leftChars="228"/>
        <w:jc w:val="left"/>
        <w:rPr>
          <w:rFonts w:ascii="仿宋" w:hAnsi="仿宋" w:eastAsia="仿宋" w:cs="仿宋"/>
          <w:color w:val="auto"/>
          <w:sz w:val="24"/>
          <w:highlight w:val="none"/>
        </w:rPr>
      </w:pPr>
      <w:r>
        <w:rPr>
          <w:rFonts w:hint="eastAsia" w:ascii="仿宋" w:hAnsi="仿宋" w:eastAsia="仿宋" w:cs="仿宋"/>
          <w:color w:val="auto"/>
          <w:sz w:val="24"/>
          <w:highlight w:val="none"/>
        </w:rPr>
        <w:t>（8）全过程跟踪审计服务大纲………………………………………………（页码）</w:t>
      </w:r>
    </w:p>
    <w:p>
      <w:pPr>
        <w:snapToGrid w:val="0"/>
        <w:spacing w:line="360" w:lineRule="auto"/>
        <w:ind w:left="479" w:leftChars="228"/>
        <w:jc w:val="left"/>
        <w:rPr>
          <w:color w:val="auto"/>
          <w:highlight w:val="none"/>
        </w:rPr>
      </w:pPr>
      <w:r>
        <w:rPr>
          <w:rFonts w:hint="eastAsia" w:ascii="仿宋" w:hAnsi="仿宋" w:eastAsia="仿宋" w:cs="仿宋"/>
          <w:color w:val="auto"/>
          <w:sz w:val="24"/>
          <w:highlight w:val="none"/>
        </w:rPr>
        <w:t>（9）全过程跟踪审计服务措施………………………………………………（页码）</w:t>
      </w:r>
    </w:p>
    <w:p>
      <w:pPr>
        <w:snapToGrid w:val="0"/>
        <w:spacing w:line="360" w:lineRule="auto"/>
        <w:ind w:left="479" w:leftChars="228"/>
        <w:jc w:val="left"/>
        <w:rPr>
          <w:rFonts w:ascii="仿宋" w:hAnsi="仿宋" w:eastAsia="仿宋" w:cs="仿宋"/>
          <w:color w:val="auto"/>
          <w:sz w:val="24"/>
          <w:highlight w:val="none"/>
        </w:rPr>
      </w:pPr>
      <w:r>
        <w:rPr>
          <w:rFonts w:hint="eastAsia" w:ascii="仿宋" w:hAnsi="仿宋" w:eastAsia="仿宋" w:cs="仿宋"/>
          <w:color w:val="auto"/>
          <w:sz w:val="24"/>
          <w:highlight w:val="none"/>
        </w:rPr>
        <w:t>（10）全过程跟踪审计服务的疑难点考虑……………………………………（页码）</w:t>
      </w:r>
    </w:p>
    <w:p>
      <w:pPr>
        <w:snapToGrid w:val="0"/>
        <w:spacing w:line="360" w:lineRule="auto"/>
        <w:ind w:left="479" w:leftChars="228"/>
        <w:jc w:val="left"/>
        <w:rPr>
          <w:rFonts w:ascii="仿宋" w:hAnsi="仿宋" w:eastAsia="仿宋" w:cs="仿宋"/>
          <w:color w:val="auto"/>
          <w:sz w:val="24"/>
          <w:highlight w:val="none"/>
        </w:rPr>
      </w:pPr>
      <w:r>
        <w:rPr>
          <w:rFonts w:hint="eastAsia" w:ascii="仿宋" w:hAnsi="仿宋" w:eastAsia="仿宋" w:cs="仿宋"/>
          <w:color w:val="auto"/>
          <w:sz w:val="24"/>
          <w:highlight w:val="none"/>
        </w:rPr>
        <w:t>（11）对全过程跟踪审计服务的合理化建议…………………………………（页码）</w:t>
      </w:r>
    </w:p>
    <w:p>
      <w:pPr>
        <w:snapToGrid w:val="0"/>
        <w:spacing w:line="360" w:lineRule="auto"/>
        <w:ind w:left="479" w:leftChars="228"/>
        <w:jc w:val="left"/>
        <w:rPr>
          <w:rFonts w:ascii="仿宋" w:hAnsi="仿宋" w:eastAsia="仿宋" w:cs="仿宋"/>
          <w:color w:val="auto"/>
          <w:sz w:val="24"/>
          <w:highlight w:val="none"/>
        </w:rPr>
      </w:pPr>
      <w:r>
        <w:rPr>
          <w:rFonts w:hint="eastAsia" w:ascii="仿宋" w:hAnsi="仿宋" w:eastAsia="仿宋" w:cs="仿宋"/>
          <w:color w:val="auto"/>
          <w:sz w:val="24"/>
          <w:highlight w:val="none"/>
        </w:rPr>
        <w:t>（12）商务技术偏离表 ………………………………………………………（页码）</w:t>
      </w:r>
    </w:p>
    <w:p>
      <w:pPr>
        <w:snapToGrid w:val="0"/>
        <w:spacing w:line="360" w:lineRule="auto"/>
        <w:ind w:left="479" w:leftChars="228"/>
        <w:jc w:val="left"/>
        <w:rPr>
          <w:rFonts w:ascii="仿宋" w:hAnsi="仿宋" w:eastAsia="仿宋" w:cs="仿宋"/>
          <w:color w:val="auto"/>
          <w:sz w:val="24"/>
          <w:highlight w:val="none"/>
        </w:rPr>
      </w:pPr>
      <w:r>
        <w:rPr>
          <w:rFonts w:hint="eastAsia" w:ascii="仿宋" w:hAnsi="仿宋" w:eastAsia="仿宋" w:cs="仿宋"/>
          <w:color w:val="auto"/>
          <w:sz w:val="24"/>
          <w:highlight w:val="none"/>
        </w:rPr>
        <w:t>（13）</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sz w:val="24"/>
          <w:highlight w:val="none"/>
        </w:rPr>
        <w:t xml:space="preserve"> ……………………………………（页码）</w:t>
      </w:r>
    </w:p>
    <w:p>
      <w:pPr>
        <w:snapToGrid w:val="0"/>
        <w:spacing w:line="360" w:lineRule="auto"/>
        <w:ind w:left="479" w:leftChars="228"/>
        <w:jc w:val="left"/>
        <w:rPr>
          <w:rFonts w:ascii="仿宋" w:hAnsi="仿宋" w:eastAsia="仿宋" w:cs="仿宋"/>
          <w:color w:val="auto"/>
          <w:sz w:val="24"/>
          <w:highlight w:val="none"/>
        </w:rPr>
      </w:pPr>
      <w:r>
        <w:rPr>
          <w:rFonts w:hint="eastAsia" w:ascii="仿宋" w:hAnsi="仿宋" w:eastAsia="仿宋" w:cs="仿宋"/>
          <w:color w:val="auto"/>
          <w:sz w:val="24"/>
          <w:highlight w:val="none"/>
        </w:rPr>
        <w:t>（14）投标方针对评分规则需要说明的其他文件和说明（格式自拟） …（页码）</w:t>
      </w:r>
    </w:p>
    <w:p>
      <w:pP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jc w:val="center"/>
        <w:outlineLvl w:val="0"/>
        <w:rPr>
          <w:rFonts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360" w:lineRule="auto"/>
        <w:ind w:left="210" w:leftChars="1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2.2.2授权委托书或法定代表人（单位负责人、自然人本人）身份证明；</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2.2.3符合性审查资料；</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2.2.4投标人业绩；</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2.2.5项目负责人业绩；</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2.2.6项目负责人能力；</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2.2.7项目组人员配置及分工（需提供拟派本项目人员汇总表，驻场各专业人员须单独注明，项目组人员专业结构搭配合理）；</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2.2.8全过程跟踪审计服务大纲；</w:t>
      </w:r>
    </w:p>
    <w:p>
      <w:pPr>
        <w:snapToGrid w:val="0"/>
        <w:spacing w:line="360" w:lineRule="auto"/>
        <w:ind w:firstLine="960" w:firstLineChars="400"/>
        <w:rPr>
          <w:color w:val="auto"/>
          <w:highlight w:val="none"/>
        </w:rPr>
      </w:pPr>
      <w:r>
        <w:rPr>
          <w:rFonts w:hint="eastAsia" w:ascii="仿宋" w:hAnsi="仿宋" w:eastAsia="仿宋" w:cs="仿宋"/>
          <w:color w:val="auto"/>
          <w:sz w:val="24"/>
          <w:highlight w:val="none"/>
        </w:rPr>
        <w:t>2.2.9全过程跟踪审计服务措施；</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2.2.10全过程跟踪审计服务的疑难点考虑；</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2.2.11对全过程跟踪审计服务的合理化建议；</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2.2.12商务技术偏离表；</w:t>
      </w:r>
    </w:p>
    <w:p>
      <w:pPr>
        <w:snapToGrid w:val="0"/>
        <w:spacing w:line="360" w:lineRule="auto"/>
        <w:ind w:firstLine="960" w:firstLineChars="400"/>
        <w:rPr>
          <w:rFonts w:ascii="仿宋" w:hAnsi="仿宋" w:eastAsia="仿宋" w:cs="仿宋"/>
          <w:color w:val="auto"/>
          <w:sz w:val="24"/>
          <w:highlight w:val="none"/>
          <w:lang w:val="zh-CN"/>
        </w:rPr>
      </w:pPr>
      <w:r>
        <w:rPr>
          <w:rFonts w:hint="eastAsia" w:ascii="仿宋" w:hAnsi="仿宋" w:eastAsia="仿宋" w:cs="仿宋"/>
          <w:color w:val="auto"/>
          <w:sz w:val="24"/>
          <w:highlight w:val="none"/>
        </w:rPr>
        <w:t>2.2.13</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960" w:firstLineChars="400"/>
        <w:rPr>
          <w:rFonts w:ascii="仿宋" w:hAnsi="仿宋" w:eastAsia="仿宋" w:cs="仿宋"/>
          <w:color w:val="auto"/>
          <w:sz w:val="24"/>
          <w:highlight w:val="none"/>
          <w:lang w:val="zh-CN"/>
        </w:rPr>
      </w:pPr>
      <w:r>
        <w:rPr>
          <w:rFonts w:hint="eastAsia" w:ascii="仿宋" w:hAnsi="仿宋" w:eastAsia="仿宋" w:cs="仿宋"/>
          <w:color w:val="auto"/>
          <w:sz w:val="24"/>
          <w:highlight w:val="none"/>
        </w:rPr>
        <w:t xml:space="preserve">2.2.14投标方针对评分规则需要说明的其他文件和说明（格式自拟）。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ascii="仿宋" w:hAnsi="仿宋" w:eastAsia="仿宋" w:cs="仿宋"/>
          <w:color w:val="auto"/>
          <w:kern w:val="0"/>
          <w:sz w:val="24"/>
          <w:highlight w:val="none"/>
          <w:u w:val="singl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rPr>
          <w:rFonts w:ascii="仿宋" w:hAnsi="仿宋" w:eastAsia="仿宋" w:cs="仿宋"/>
          <w:color w:val="auto"/>
          <w:sz w:val="24"/>
          <w:highlight w:val="none"/>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rPr>
          <w:rFonts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br w:type="page"/>
      </w:r>
    </w:p>
    <w:p>
      <w:pPr>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3511" w:firstLineChars="1093"/>
        <w:rPr>
          <w:rFonts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w:t>
      </w:r>
      <w:r>
        <w:rPr>
          <w:rFonts w:hint="eastAsia" w:ascii="仿宋" w:hAnsi="仿宋" w:eastAsia="仿宋" w:cs="仿宋"/>
          <w:b/>
          <w:color w:val="auto"/>
          <w:kern w:val="0"/>
          <w:sz w:val="32"/>
          <w:szCs w:val="32"/>
          <w:highlight w:val="none"/>
        </w:rPr>
        <w:t xml:space="preserve"> </w:t>
      </w:r>
      <w:r>
        <w:rPr>
          <w:rFonts w:hint="eastAsia" w:ascii="仿宋" w:hAnsi="仿宋" w:eastAsia="仿宋" w:cs="仿宋"/>
          <w:color w:val="auto"/>
          <w:highlight w:val="none"/>
        </w:rPr>
        <w:t xml:space="preserve">                            </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autoSpaceDE w:val="0"/>
        <w:autoSpaceDN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47"/>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2" w:hRule="atLeast"/>
          <w:jc w:val="center"/>
        </w:trPr>
        <w:tc>
          <w:tcPr>
            <w:tcW w:w="9207" w:type="dxa"/>
          </w:tcPr>
          <w:p>
            <w:pPr>
              <w:pStyle w:val="147"/>
              <w:adjustRightIn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47"/>
              <w:adjustRightInd w:val="0"/>
              <w:spacing w:line="360" w:lineRule="auto"/>
              <w:rPr>
                <w:rFonts w:ascii="仿宋" w:hAnsi="仿宋" w:eastAsia="仿宋" w:cs="仿宋"/>
                <w:bCs/>
                <w:color w:val="auto"/>
                <w:sz w:val="24"/>
                <w:highlight w:val="none"/>
              </w:rPr>
            </w:pPr>
          </w:p>
        </w:tc>
      </w:tr>
    </w:tbl>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三、符合性审查资料</w:t>
      </w:r>
    </w:p>
    <w:p>
      <w:pPr>
        <w:jc w:val="center"/>
        <w:rPr>
          <w:rFonts w:ascii="仿宋" w:hAnsi="仿宋" w:eastAsia="仿宋" w:cs="仿宋"/>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节能产品认证证书（本项目拟采购的产品不属于政府强制采购的节能产品品目清单范围的，无需提供）</w:t>
            </w:r>
          </w:p>
        </w:tc>
        <w:tc>
          <w:tcPr>
            <w:tcW w:w="1418" w:type="dxa"/>
          </w:tcPr>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见投标文件</w:t>
            </w:r>
          </w:p>
          <w:p>
            <w:pPr>
              <w:pStyle w:val="2"/>
              <w:rPr>
                <w:rFonts w:ascii="仿宋" w:eastAsia="仿宋" w:cs="仿宋"/>
                <w:color w:val="auto"/>
                <w:highlight w:val="none"/>
                <w:lang w:val="en-US"/>
              </w:rPr>
            </w:pPr>
            <w:r>
              <w:rPr>
                <w:rFonts w:hint="eastAsia" w:ascii="仿宋" w:eastAsia="仿宋" w:cs="仿宋"/>
                <w:b w:val="0"/>
                <w:bCs w:val="0"/>
                <w:color w:val="auto"/>
                <w:sz w:val="24"/>
                <w:szCs w:val="24"/>
                <w:highlight w:val="none"/>
                <w:lang w:val="en-US"/>
              </w:rPr>
              <w:t>第</w:t>
            </w:r>
            <w:r>
              <w:rPr>
                <w:rFonts w:hint="eastAsia" w:ascii="仿宋" w:eastAsia="仿宋" w:cs="仿宋"/>
                <w:b w:val="0"/>
                <w:bCs w:val="0"/>
                <w:color w:val="auto"/>
                <w:sz w:val="24"/>
                <w:szCs w:val="24"/>
                <w:highlight w:val="none"/>
                <w:u w:val="single"/>
                <w:lang w:val="en-US"/>
              </w:rPr>
              <w:t xml:space="preserve">  </w:t>
            </w:r>
            <w:r>
              <w:rPr>
                <w:rFonts w:hint="eastAsia" w:asci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color w:val="auto"/>
          <w:highlight w:val="none"/>
        </w:rPr>
      </w:pPr>
      <w:r>
        <w:rPr>
          <w:rFonts w:hint="eastAsia" w:ascii="仿宋" w:hAnsi="仿宋" w:eastAsia="仿宋" w:cs="仿宋"/>
          <w:b/>
          <w:color w:val="auto"/>
          <w:kern w:val="0"/>
          <w:sz w:val="32"/>
          <w:szCs w:val="32"/>
          <w:highlight w:val="none"/>
        </w:rPr>
        <w:t>四、评标标准相应的商务技术资料</w:t>
      </w:r>
    </w:p>
    <w:p>
      <w:pPr>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bl>
    <w:p>
      <w:pPr>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1911" w:firstLineChars="595"/>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ascii="仿宋" w:hAnsi="仿宋" w:eastAsia="仿宋" w:cs="仿宋"/>
          <w:b/>
          <w:bCs/>
          <w:color w:val="auto"/>
          <w:sz w:val="24"/>
          <w:highlight w:val="none"/>
        </w:rPr>
      </w:pPr>
    </w:p>
    <w:p>
      <w:pPr>
        <w:spacing w:line="360" w:lineRule="auto"/>
        <w:jc w:val="center"/>
        <w:rPr>
          <w:rFonts w:ascii="仿宋" w:hAnsi="仿宋" w:eastAsia="仿宋" w:cs="仿宋"/>
          <w:b/>
          <w:bCs/>
          <w:color w:val="auto"/>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ascii="仿宋" w:hAnsi="仿宋" w:eastAsia="仿宋" w:cs="仿宋"/>
          <w:b/>
          <w:color w:val="auto"/>
          <w:kern w:val="0"/>
          <w:sz w:val="36"/>
          <w:szCs w:val="36"/>
          <w:highlight w:val="none"/>
        </w:rPr>
      </w:pPr>
    </w:p>
    <w:p>
      <w:pPr>
        <w:numPr>
          <w:ilvl w:val="0"/>
          <w:numId w:val="14"/>
        </w:num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开标一览表（报价表）………………………………………………………（页码）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2"/>
        <w:tblW w:w="879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3557"/>
        <w:gridCol w:w="2909"/>
        <w:gridCol w:w="16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0" w:hRule="atLeast"/>
          <w:tblHeader/>
          <w:jc w:val="center"/>
        </w:trPr>
        <w:tc>
          <w:tcPr>
            <w:tcW w:w="709" w:type="dxa"/>
            <w:vAlign w:val="center"/>
          </w:tcPr>
          <w:p>
            <w:pPr>
              <w:jc w:val="center"/>
              <w:rPr>
                <w:rFonts w:ascii="仿宋" w:hAnsi="仿宋" w:eastAsia="仿宋" w:cs="仿宋"/>
                <w:b/>
                <w:color w:val="auto"/>
                <w:sz w:val="24"/>
                <w:highlight w:val="none"/>
                <w:lang w:val="en-GB"/>
              </w:rPr>
            </w:pPr>
            <w:r>
              <w:rPr>
                <w:rFonts w:hint="eastAsia" w:ascii="仿宋" w:hAnsi="仿宋" w:eastAsia="仿宋" w:cs="仿宋"/>
                <w:b/>
                <w:color w:val="auto"/>
                <w:sz w:val="24"/>
                <w:highlight w:val="none"/>
                <w:lang w:val="en-GB"/>
              </w:rPr>
              <w:t>序号</w:t>
            </w:r>
          </w:p>
        </w:tc>
        <w:tc>
          <w:tcPr>
            <w:tcW w:w="3557" w:type="dxa"/>
            <w:vAlign w:val="center"/>
          </w:tcPr>
          <w:p>
            <w:pPr>
              <w:jc w:val="center"/>
              <w:rPr>
                <w:rFonts w:ascii="仿宋" w:hAnsi="仿宋" w:eastAsia="仿宋" w:cs="仿宋"/>
                <w:b/>
                <w:color w:val="auto"/>
                <w:sz w:val="24"/>
                <w:highlight w:val="none"/>
                <w:lang w:val="en-GB"/>
              </w:rPr>
            </w:pPr>
            <w:r>
              <w:rPr>
                <w:rFonts w:hint="eastAsia" w:ascii="仿宋" w:hAnsi="仿宋" w:eastAsia="仿宋" w:cs="仿宋"/>
                <w:b/>
                <w:color w:val="auto"/>
                <w:sz w:val="24"/>
                <w:highlight w:val="none"/>
                <w:lang w:val="en-GB"/>
              </w:rPr>
              <w:t>名称</w:t>
            </w:r>
          </w:p>
        </w:tc>
        <w:tc>
          <w:tcPr>
            <w:tcW w:w="2909" w:type="dxa"/>
            <w:vAlign w:val="center"/>
          </w:tcPr>
          <w:p>
            <w:pPr>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报价</w:t>
            </w:r>
          </w:p>
        </w:tc>
        <w:tc>
          <w:tcPr>
            <w:tcW w:w="1622"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18" w:hRule="atLeast"/>
          <w:tblHeader/>
          <w:jc w:val="center"/>
        </w:trPr>
        <w:tc>
          <w:tcPr>
            <w:tcW w:w="709"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3557" w:type="dxa"/>
            <w:vAlign w:val="center"/>
          </w:tcPr>
          <w:p>
            <w:pPr>
              <w:adjustRightInd/>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杭州市第一人民医院新院区建设工程全过程跟踪审计服务项目</w:t>
            </w:r>
          </w:p>
        </w:tc>
        <w:tc>
          <w:tcPr>
            <w:tcW w:w="2909"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w:t>
            </w:r>
          </w:p>
        </w:tc>
        <w:tc>
          <w:tcPr>
            <w:tcW w:w="1622"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18" w:hRule="atLeast"/>
          <w:tblHeader/>
          <w:jc w:val="center"/>
        </w:trPr>
        <w:tc>
          <w:tcPr>
            <w:tcW w:w="4266" w:type="dxa"/>
            <w:gridSpan w:val="2"/>
            <w:vAlign w:val="center"/>
          </w:tcPr>
          <w:p>
            <w:pPr>
              <w:spacing w:line="360" w:lineRule="auto"/>
              <w:jc w:val="center"/>
              <w:rPr>
                <w:rFonts w:hint="eastAsia" w:ascii="仿宋" w:hAnsi="仿宋" w:eastAsia="仿宋" w:cs="仿宋"/>
                <w:color w:val="auto"/>
                <w:sz w:val="24"/>
                <w:highlight w:val="none"/>
              </w:rPr>
            </w:pPr>
            <w:r>
              <w:rPr>
                <w:rFonts w:hint="eastAsia" w:ascii="仿宋_GB2312" w:hAnsi="仿宋" w:eastAsia="仿宋_GB2312" w:cs="仿宋_GB2312"/>
                <w:b/>
                <w:sz w:val="24"/>
              </w:rPr>
              <w:t>投标报价（小写）</w:t>
            </w:r>
          </w:p>
        </w:tc>
        <w:tc>
          <w:tcPr>
            <w:tcW w:w="2909" w:type="dxa"/>
            <w:vAlign w:val="center"/>
          </w:tcPr>
          <w:p>
            <w:pPr>
              <w:rPr>
                <w:rFonts w:hint="eastAsia" w:ascii="仿宋" w:hAnsi="仿宋" w:eastAsia="仿宋" w:cs="仿宋"/>
                <w:color w:val="auto"/>
                <w:sz w:val="24"/>
                <w:highlight w:val="none"/>
                <w:u w:val="single"/>
              </w:rPr>
            </w:pPr>
          </w:p>
        </w:tc>
        <w:tc>
          <w:tcPr>
            <w:tcW w:w="1622"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18" w:hRule="atLeast"/>
          <w:tblHeader/>
          <w:jc w:val="center"/>
        </w:trPr>
        <w:tc>
          <w:tcPr>
            <w:tcW w:w="4266" w:type="dxa"/>
            <w:gridSpan w:val="2"/>
            <w:vAlign w:val="center"/>
          </w:tcPr>
          <w:p>
            <w:pPr>
              <w:spacing w:line="360" w:lineRule="auto"/>
              <w:jc w:val="center"/>
              <w:rPr>
                <w:rFonts w:hint="eastAsia" w:ascii="仿宋" w:hAnsi="仿宋" w:eastAsia="仿宋" w:cs="仿宋"/>
                <w:color w:val="auto"/>
                <w:sz w:val="24"/>
                <w:highlight w:val="none"/>
              </w:rPr>
            </w:pPr>
            <w:r>
              <w:rPr>
                <w:rFonts w:hint="eastAsia" w:ascii="仿宋_GB2312" w:hAnsi="仿宋" w:eastAsia="仿宋_GB2312" w:cs="仿宋_GB2312"/>
                <w:b/>
                <w:sz w:val="24"/>
              </w:rPr>
              <w:t>投标报价（大写）</w:t>
            </w:r>
          </w:p>
        </w:tc>
        <w:tc>
          <w:tcPr>
            <w:tcW w:w="2909" w:type="dxa"/>
            <w:vAlign w:val="center"/>
          </w:tcPr>
          <w:p>
            <w:pPr>
              <w:rPr>
                <w:rFonts w:hint="eastAsia" w:ascii="仿宋" w:hAnsi="仿宋" w:eastAsia="仿宋" w:cs="仿宋"/>
                <w:color w:val="auto"/>
                <w:sz w:val="24"/>
                <w:highlight w:val="none"/>
                <w:u w:val="single"/>
              </w:rPr>
            </w:pPr>
          </w:p>
        </w:tc>
        <w:tc>
          <w:tcPr>
            <w:tcW w:w="1622" w:type="dxa"/>
            <w:vAlign w:val="center"/>
          </w:tcPr>
          <w:p>
            <w:pPr>
              <w:jc w:val="center"/>
              <w:rPr>
                <w:rFonts w:ascii="仿宋" w:hAnsi="仿宋" w:eastAsia="仿宋" w:cs="仿宋"/>
                <w:color w:val="auto"/>
                <w:sz w:val="24"/>
                <w:highlight w:val="none"/>
              </w:rPr>
            </w:pPr>
          </w:p>
        </w:tc>
      </w:tr>
    </w:tbl>
    <w:p>
      <w:pPr>
        <w:spacing w:line="360" w:lineRule="auto"/>
        <w:ind w:firstLine="5160" w:firstLineChars="2150"/>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ind w:firstLine="5160" w:firstLineChars="215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spacing w:line="360" w:lineRule="auto"/>
        <w:ind w:firstLine="5160" w:firstLineChars="2150"/>
        <w:rPr>
          <w:rFonts w:ascii="仿宋" w:hAnsi="仿宋" w:eastAsia="仿宋" w:cs="仿宋"/>
          <w:color w:val="auto"/>
          <w:sz w:val="24"/>
          <w:highlight w:val="none"/>
        </w:rPr>
      </w:pPr>
      <w:r>
        <w:rPr>
          <w:rFonts w:hint="eastAsia" w:ascii="仿宋" w:hAnsi="仿宋" w:eastAsia="仿宋" w:cs="仿宋"/>
          <w:color w:val="auto"/>
          <w:sz w:val="24"/>
          <w:highlight w:val="none"/>
        </w:rPr>
        <w:t>法定代表人或授权代表(签字或盖章)</w:t>
      </w:r>
    </w:p>
    <w:p>
      <w:pPr>
        <w:pStyle w:val="6"/>
        <w:spacing w:line="420" w:lineRule="exact"/>
        <w:ind w:firstLine="5160" w:firstLineChars="2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p>
    <w:p>
      <w:pPr>
        <w:spacing w:line="360" w:lineRule="auto"/>
        <w:jc w:val="left"/>
        <w:rPr>
          <w:rFonts w:ascii="仿宋" w:hAnsi="仿宋" w:eastAsia="仿宋" w:cs="仿宋"/>
          <w:color w:val="auto"/>
          <w:szCs w:val="21"/>
          <w:highlight w:val="none"/>
        </w:rPr>
      </w:pPr>
    </w:p>
    <w:p>
      <w:pPr>
        <w:snapToGrid w:val="0"/>
        <w:spacing w:line="360" w:lineRule="auto"/>
        <w:ind w:left="480"/>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1、投标人需按本表格式填写，不得自行更改。</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zh-CN"/>
        </w:rPr>
        <w:t>、特别提示：采购机构将对项目名称和项目编号，中标供应商名称、地址和中标金额，主要中标标的的名称、规格型号、数量、单价、服务要求等予以公示。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 w:hAnsi="仿宋" w:eastAsia="仿宋" w:cs="仿宋"/>
          <w:color w:val="auto"/>
          <w:sz w:val="32"/>
          <w:szCs w:val="32"/>
          <w:highlight w:val="none"/>
        </w:rPr>
        <w:sectPr>
          <w:pgSz w:w="11906" w:h="16838"/>
          <w:pgMar w:top="1247" w:right="1418" w:bottom="1276" w:left="1418" w:header="851" w:footer="992" w:gutter="0"/>
          <w:cols w:space="720" w:num="1"/>
          <w:titlePg/>
          <w:docGrid w:linePitch="312" w:charSpace="0"/>
        </w:sectPr>
      </w:pPr>
      <w:r>
        <w:rPr>
          <w:rFonts w:hint="eastAsia" w:ascii="仿宋" w:hAnsi="仿宋" w:eastAsia="仿宋" w:cs="仿宋"/>
          <w:color w:val="auto"/>
          <w:kern w:val="0"/>
          <w:sz w:val="24"/>
          <w:szCs w:val="22"/>
          <w:highlight w:val="none"/>
        </w:rPr>
        <w:t>4</w:t>
      </w:r>
      <w:r>
        <w:rPr>
          <w:rFonts w:hint="eastAsia" w:ascii="仿宋" w:hAnsi="仿宋" w:eastAsia="仿宋" w:cs="仿宋"/>
          <w:color w:val="auto"/>
          <w:kern w:val="0"/>
          <w:sz w:val="24"/>
          <w:szCs w:val="22"/>
          <w:highlight w:val="none"/>
          <w:lang w:val="zh-CN"/>
        </w:rPr>
        <w:t>、</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outlineLvl w:val="9"/>
        <w:rPr>
          <w:rFonts w:ascii="仿宋" w:hAnsi="仿宋" w:eastAsia="仿宋" w:cs="仿宋"/>
          <w:color w:val="auto"/>
          <w:sz w:val="32"/>
          <w:szCs w:val="32"/>
          <w:highlight w:val="none"/>
        </w:rPr>
      </w:pPr>
      <w:r>
        <w:rPr>
          <w:rFonts w:hint="eastAsia" w:ascii="仿宋" w:hAnsi="仿宋" w:eastAsia="仿宋" w:cs="仿宋"/>
          <w:color w:val="auto"/>
          <w:kern w:val="2"/>
          <w:sz w:val="32"/>
          <w:szCs w:val="32"/>
          <w:highlight w:val="none"/>
          <w:lang w:val="en-US" w:eastAsia="zh-CN"/>
        </w:rPr>
        <w:t>二</w:t>
      </w:r>
      <w:r>
        <w:rPr>
          <w:rFonts w:hint="eastAsia" w:ascii="仿宋" w:hAnsi="仿宋" w:eastAsia="仿宋" w:cs="仿宋"/>
          <w:color w:val="auto"/>
          <w:kern w:val="2"/>
          <w:sz w:val="32"/>
          <w:szCs w:val="32"/>
          <w:highlight w:val="none"/>
        </w:rPr>
        <w:t>、</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jc w:val="both"/>
        <w:outlineLvl w:val="9"/>
        <w:rPr>
          <w:rFonts w:ascii="仿宋" w:hAnsi="仿宋" w:eastAsia="仿宋" w:cs="仿宋"/>
          <w:color w:val="auto"/>
          <w:kern w:val="2"/>
          <w:sz w:val="32"/>
          <w:szCs w:val="32"/>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pStyle w:val="2"/>
        <w:rPr>
          <w:rFonts w:ascii="仿宋" w:hAnsi="仿宋" w:eastAsia="仿宋" w:cs="仿宋"/>
          <w:b/>
          <w:color w:val="auto"/>
          <w:kern w:val="0"/>
          <w:sz w:val="36"/>
          <w:szCs w:val="36"/>
          <w:highlight w:val="none"/>
        </w:rPr>
      </w:pPr>
    </w:p>
    <w:p>
      <w:pPr>
        <w:rPr>
          <w:rFonts w:ascii="仿宋" w:hAnsi="仿宋" w:eastAsia="仿宋" w:cs="仿宋"/>
          <w:b/>
          <w:color w:val="auto"/>
          <w:kern w:val="0"/>
          <w:sz w:val="36"/>
          <w:szCs w:val="36"/>
          <w:highlight w:val="none"/>
        </w:rPr>
      </w:pPr>
    </w:p>
    <w:p>
      <w:pPr>
        <w:pStyle w:val="2"/>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tabs>
          <w:tab w:val="left" w:pos="8085"/>
        </w:tabs>
        <w:spacing w:line="360" w:lineRule="auto"/>
        <w:ind w:firstLine="1285" w:firstLineChars="400"/>
        <w:jc w:val="left"/>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三、　政府采购信用融资操作流程：</w:t>
      </w:r>
    </w:p>
    <w:p>
      <w:pPr>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pStyle w:val="2"/>
        <w:numPr>
          <w:ilvl w:val="255"/>
          <w:numId w:val="0"/>
        </w:numPr>
        <w:ind w:firstLine="960" w:firstLineChars="400"/>
        <w:rPr>
          <w:rFonts w:ascii="仿宋" w:eastAsia="仿宋" w:cs="仿宋"/>
          <w:b w:val="0"/>
          <w:bCs w:val="0"/>
          <w:color w:val="auto"/>
          <w:sz w:val="24"/>
          <w:szCs w:val="24"/>
          <w:highlight w:val="none"/>
          <w:lang w:val="en-US"/>
        </w:rPr>
      </w:pPr>
      <w:r>
        <w:rPr>
          <w:rFonts w:hint="eastAsia" w:ascii="仿宋" w:eastAsia="仿宋" w:cs="仿宋"/>
          <w:b w:val="0"/>
          <w:bCs w:val="0"/>
          <w:color w:val="auto"/>
          <w:sz w:val="24"/>
          <w:szCs w:val="24"/>
          <w:highlight w:val="none"/>
          <w:lang w:val="en-US"/>
        </w:rPr>
        <w:t>（三）杭州e融平台申请融资</w:t>
      </w:r>
    </w:p>
    <w:p>
      <w:pPr>
        <w:pStyle w:val="2"/>
        <w:numPr>
          <w:ilvl w:val="255"/>
          <w:numId w:val="0"/>
        </w:numPr>
        <w:ind w:firstLine="960" w:firstLineChars="400"/>
        <w:rPr>
          <w:rFonts w:ascii="仿宋" w:eastAsia="仿宋" w:cs="仿宋"/>
          <w:b w:val="0"/>
          <w:bCs w:val="0"/>
          <w:color w:val="auto"/>
          <w:sz w:val="24"/>
          <w:szCs w:val="24"/>
          <w:highlight w:val="none"/>
          <w:lang w:val="en-US"/>
        </w:rPr>
      </w:pPr>
      <w:r>
        <w:rPr>
          <w:rFonts w:hint="eastAsia" w:ascii="仿宋" w:eastAsia="仿宋" w:cs="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仿宋" w:hAnsi="仿宋" w:eastAsia="仿宋" w:cs="仿宋"/>
          <w:b/>
          <w:bCs/>
          <w:color w:val="auto"/>
          <w:kern w:val="0"/>
          <w:sz w:val="24"/>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仿宋" w:hAnsi="仿宋" w:eastAsia="仿宋" w:cs="仿宋"/>
          <w:color w:val="auto"/>
          <w:highlight w:val="none"/>
        </w:rPr>
      </w:pPr>
      <w:bookmarkStart w:id="518" w:name="_Toc465665161"/>
      <w:r>
        <w:rPr>
          <w:rFonts w:hint="eastAsia" w:ascii="仿宋" w:hAnsi="仿宋" w:eastAsia="仿宋" w:cs="仿宋"/>
          <w:color w:val="auto"/>
          <w:highlight w:val="none"/>
        </w:rPr>
        <w:t>附件</w:t>
      </w:r>
      <w:bookmarkEnd w:id="518"/>
    </w:p>
    <w:p>
      <w:pPr>
        <w:spacing w:line="360" w:lineRule="auto"/>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ascii="仿宋" w:hAnsi="仿宋" w:eastAsia="仿宋" w:cs="仿宋"/>
          <w:b/>
          <w:color w:val="auto"/>
          <w:spacing w:val="6"/>
          <w:sz w:val="32"/>
          <w:szCs w:val="32"/>
          <w:highlight w:val="none"/>
        </w:rPr>
      </w:pPr>
      <w:bookmarkStart w:id="519" w:name="OLE_LINK14"/>
      <w:bookmarkStart w:id="520" w:name="OLE_LINK13"/>
      <w:r>
        <w:rPr>
          <w:rFonts w:hint="eastAsia" w:ascii="仿宋" w:hAnsi="仿宋" w:eastAsia="仿宋" w:cs="仿宋"/>
          <w:b/>
          <w:color w:val="auto"/>
          <w:spacing w:val="6"/>
          <w:sz w:val="32"/>
          <w:szCs w:val="32"/>
          <w:highlight w:val="none"/>
        </w:rPr>
        <w:t>残疾人福利性单位声明函</w:t>
      </w:r>
    </w:p>
    <w:bookmarkEnd w:id="519"/>
    <w:bookmarkEnd w:id="520"/>
    <w:p>
      <w:pPr>
        <w:spacing w:line="360" w:lineRule="auto"/>
        <w:rPr>
          <w:rFonts w:ascii="仿宋" w:hAnsi="仿宋" w:eastAsia="仿宋" w:cs="仿宋"/>
          <w:b/>
          <w:color w:val="auto"/>
          <w:spacing w:val="6"/>
          <w:sz w:val="30"/>
          <w:szCs w:val="30"/>
          <w:highlight w:val="none"/>
        </w:rPr>
      </w:pP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ascii="仿宋" w:hAnsi="仿宋" w:eastAsia="仿宋" w:cs="仿宋"/>
          <w:color w:val="auto"/>
          <w:sz w:val="24"/>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color w:val="auto"/>
          <w:sz w:val="30"/>
          <w:szCs w:val="30"/>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color w:val="auto"/>
          <w:sz w:val="24"/>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right="480" w:firstLine="4080" w:firstLineChars="1700"/>
        <w:rPr>
          <w:rFonts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中小企业声明函（工程、服务）</w:t>
      </w:r>
    </w:p>
    <w:p>
      <w:pPr>
        <w:spacing w:line="360" w:lineRule="auto"/>
        <w:rPr>
          <w:rFonts w:ascii="仿宋" w:hAnsi="仿宋" w:eastAsia="仿宋" w:cs="仿宋"/>
          <w:color w:val="auto"/>
          <w:highlight w:val="none"/>
        </w:rPr>
      </w:pPr>
    </w:p>
    <w:p>
      <w:pPr>
        <w:spacing w:line="360" w:lineRule="auto"/>
        <w:ind w:firstLine="360" w:firstLineChars="150"/>
        <w:jc w:val="left"/>
        <w:rPr>
          <w:rFonts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ascii="仿宋" w:hAnsi="仿宋" w:eastAsia="仿宋" w:cs="仿宋"/>
          <w:color w:val="auto"/>
          <w:sz w:val="24"/>
          <w:highlight w:val="none"/>
        </w:rPr>
      </w:pP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仿宋" w:eastAsia="仿宋" w:cs="仿宋"/>
          <w:color w:val="auto"/>
          <w:highlight w:val="none"/>
          <w:lang w:val="en-US"/>
        </w:rPr>
      </w:pPr>
    </w:p>
    <w:p>
      <w:pPr>
        <w:spacing w:line="360" w:lineRule="auto"/>
        <w:ind w:right="420"/>
        <w:rPr>
          <w:rFonts w:ascii="仿宋" w:hAnsi="仿宋" w:eastAsia="仿宋" w:cs="仿宋"/>
          <w:color w:val="auto"/>
          <w:highlight w:val="none"/>
        </w:rPr>
      </w:pPr>
    </w:p>
    <w:p>
      <w:pPr>
        <w:spacing w:line="360" w:lineRule="auto"/>
        <w:rPr>
          <w:rFonts w:ascii="仿宋" w:hAnsi="仿宋" w:eastAsia="仿宋" w:cs="仿宋"/>
          <w:bCs/>
          <w:color w:val="auto"/>
          <w:sz w:val="24"/>
          <w:highlight w:val="none"/>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21" w:name="_Toc36110187"/>
    <w:bookmarkStart w:id="522" w:name="_Toc91899912"/>
    <w:bookmarkStart w:id="523" w:name="_Toc131845147"/>
    <w:bookmarkStart w:id="524" w:name="_Toc164085800"/>
    <w:r>
      <w:rPr>
        <w:rFonts w:hint="eastAsia" w:ascii="仿宋_GB2312" w:eastAsia="仿宋_GB2312"/>
        <w:kern w:val="0"/>
        <w:szCs w:val="21"/>
      </w:rPr>
      <w:t xml:space="preserve"> 页</w:t>
    </w:r>
    <w:bookmarkEnd w:id="521"/>
    <w:bookmarkEnd w:id="522"/>
    <w:bookmarkEnd w:id="523"/>
    <w:bookmarkEnd w:id="52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41"/>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54F85"/>
    <w:multiLevelType w:val="singleLevel"/>
    <w:tmpl w:val="94454F85"/>
    <w:lvl w:ilvl="0" w:tentative="0">
      <w:start w:val="1"/>
      <w:numFmt w:val="decimal"/>
      <w:lvlText w:val="(%1)"/>
      <w:lvlJc w:val="left"/>
      <w:pPr>
        <w:ind w:left="425" w:hanging="425"/>
      </w:pPr>
      <w:rPr>
        <w:rFonts w:hint="default"/>
      </w:rPr>
    </w:lvl>
  </w:abstractNum>
  <w:abstractNum w:abstractNumId="1">
    <w:nsid w:val="9751A9AA"/>
    <w:multiLevelType w:val="singleLevel"/>
    <w:tmpl w:val="9751A9AA"/>
    <w:lvl w:ilvl="0" w:tentative="0">
      <w:start w:val="1"/>
      <w:numFmt w:val="decimalEnclosedCircleChinese"/>
      <w:suff w:val="nothing"/>
      <w:lvlText w:val="%1　"/>
      <w:lvlJc w:val="left"/>
      <w:pPr>
        <w:ind w:left="0" w:firstLine="400"/>
      </w:pPr>
      <w:rPr>
        <w:rFonts w:hint="eastAsia"/>
      </w:rPr>
    </w:lvl>
  </w:abstractNum>
  <w:abstractNum w:abstractNumId="2">
    <w:nsid w:val="A09A07B5"/>
    <w:multiLevelType w:val="singleLevel"/>
    <w:tmpl w:val="A09A07B5"/>
    <w:lvl w:ilvl="0" w:tentative="0">
      <w:start w:val="1"/>
      <w:numFmt w:val="decimal"/>
      <w:lvlText w:val="%1)"/>
      <w:lvlJc w:val="left"/>
      <w:pPr>
        <w:tabs>
          <w:tab w:val="left" w:pos="312"/>
        </w:tabs>
      </w:pPr>
    </w:lvl>
  </w:abstractNum>
  <w:abstractNum w:abstractNumId="3">
    <w:nsid w:val="A8B2ED77"/>
    <w:multiLevelType w:val="singleLevel"/>
    <w:tmpl w:val="A8B2ED77"/>
    <w:lvl w:ilvl="0" w:tentative="0">
      <w:start w:val="1"/>
      <w:numFmt w:val="decimal"/>
      <w:suff w:val="nothing"/>
      <w:lvlText w:val="%1）"/>
      <w:lvlJc w:val="left"/>
    </w:lvl>
  </w:abstractNum>
  <w:abstractNum w:abstractNumId="4">
    <w:nsid w:val="C3F7A8E4"/>
    <w:multiLevelType w:val="singleLevel"/>
    <w:tmpl w:val="C3F7A8E4"/>
    <w:lvl w:ilvl="0" w:tentative="0">
      <w:start w:val="3"/>
      <w:numFmt w:val="chineseCounting"/>
      <w:suff w:val="space"/>
      <w:lvlText w:val="第%1部分"/>
      <w:lvlJc w:val="left"/>
      <w:rPr>
        <w:rFonts w:hint="eastAsia"/>
      </w:rPr>
    </w:lvl>
  </w:abstractNum>
  <w:abstractNum w:abstractNumId="5">
    <w:nsid w:val="E5DF19A6"/>
    <w:multiLevelType w:val="singleLevel"/>
    <w:tmpl w:val="E5DF19A6"/>
    <w:lvl w:ilvl="0" w:tentative="0">
      <w:start w:val="1"/>
      <w:numFmt w:val="decimal"/>
      <w:lvlText w:val="%1)"/>
      <w:lvlJc w:val="left"/>
      <w:pPr>
        <w:tabs>
          <w:tab w:val="left" w:pos="420"/>
        </w:tabs>
        <w:ind w:left="845" w:hanging="425"/>
      </w:pPr>
      <w:rPr>
        <w:rFonts w:hint="default"/>
      </w:rPr>
    </w:lvl>
  </w:abstractNum>
  <w:abstractNum w:abstractNumId="6">
    <w:nsid w:val="F69F4742"/>
    <w:multiLevelType w:val="singleLevel"/>
    <w:tmpl w:val="F69F4742"/>
    <w:lvl w:ilvl="0" w:tentative="0">
      <w:start w:val="1"/>
      <w:numFmt w:val="decimal"/>
      <w:lvlText w:val="%1)"/>
      <w:lvlJc w:val="left"/>
      <w:pPr>
        <w:tabs>
          <w:tab w:val="left" w:pos="420"/>
        </w:tabs>
        <w:ind w:left="845" w:hanging="425"/>
      </w:pPr>
      <w:rPr>
        <w:rFonts w:hint="default"/>
      </w:rPr>
    </w:lvl>
  </w:abstractNum>
  <w:abstractNum w:abstractNumId="7">
    <w:nsid w:val="0BD28E89"/>
    <w:multiLevelType w:val="multilevel"/>
    <w:tmpl w:val="0BD28E89"/>
    <w:lvl w:ilvl="0" w:tentative="0">
      <w:start w:val="1"/>
      <w:numFmt w:val="decimal"/>
      <w:lvlText w:val="(%1)"/>
      <w:lvlJc w:val="left"/>
      <w:pPr>
        <w:tabs>
          <w:tab w:val="left" w:pos="420"/>
        </w:tabs>
        <w:ind w:left="845" w:hanging="425"/>
      </w:pPr>
      <w:rPr>
        <w:rFonts w:hint="default"/>
      </w:rPr>
    </w:lvl>
    <w:lvl w:ilvl="1" w:tentative="0">
      <w:start w:val="1"/>
      <w:numFmt w:val="decimalEnclosedCircleChinese"/>
      <w:lvlText w:val="%2"/>
      <w:lvlJc w:val="left"/>
      <w:pPr>
        <w:tabs>
          <w:tab w:val="left" w:pos="840"/>
        </w:tabs>
        <w:ind w:left="1260" w:hanging="420"/>
      </w:pPr>
      <w:rPr>
        <w:rFonts w:hint="default"/>
      </w:rPr>
    </w:lvl>
    <w:lvl w:ilvl="2" w:tentative="0">
      <w:start w:val="1"/>
      <w:numFmt w:val="decimal"/>
      <w:lvlText w:val="%3)"/>
      <w:lvlJc w:val="left"/>
      <w:pPr>
        <w:tabs>
          <w:tab w:val="left" w:pos="1260"/>
        </w:tabs>
        <w:ind w:left="1680" w:hanging="420"/>
      </w:pPr>
      <w:rPr>
        <w:rFonts w:hint="default"/>
      </w:rPr>
    </w:lvl>
    <w:lvl w:ilvl="3" w:tentative="0">
      <w:start w:val="1"/>
      <w:numFmt w:val="lowerLetter"/>
      <w:lvlText w:val="%4."/>
      <w:lvlJc w:val="left"/>
      <w:pPr>
        <w:tabs>
          <w:tab w:val="left" w:pos="1680"/>
        </w:tabs>
        <w:ind w:left="2100" w:hanging="420"/>
      </w:pPr>
      <w:rPr>
        <w:rFonts w:hint="default"/>
      </w:rPr>
    </w:lvl>
    <w:lvl w:ilvl="4" w:tentative="0">
      <w:start w:val="1"/>
      <w:numFmt w:val="lowerLetter"/>
      <w:lvlText w:val="%5)"/>
      <w:lvlJc w:val="left"/>
      <w:pPr>
        <w:tabs>
          <w:tab w:val="left" w:pos="2100"/>
        </w:tabs>
        <w:ind w:left="2520" w:hanging="420"/>
      </w:pPr>
      <w:rPr>
        <w:rFonts w:hint="default"/>
      </w:rPr>
    </w:lvl>
    <w:lvl w:ilvl="5" w:tentative="0">
      <w:start w:val="1"/>
      <w:numFmt w:val="lowerRoman"/>
      <w:lvlText w:val="%6."/>
      <w:lvlJc w:val="left"/>
      <w:pPr>
        <w:tabs>
          <w:tab w:val="left" w:pos="2520"/>
        </w:tabs>
        <w:ind w:left="2940" w:hanging="420"/>
      </w:pPr>
      <w:rPr>
        <w:rFonts w:hint="default"/>
      </w:rPr>
    </w:lvl>
    <w:lvl w:ilvl="6" w:tentative="0">
      <w:start w:val="1"/>
      <w:numFmt w:val="lowerRoman"/>
      <w:lvlText w:val="%7)"/>
      <w:lvlJc w:val="left"/>
      <w:pPr>
        <w:tabs>
          <w:tab w:val="left" w:pos="2940"/>
        </w:tabs>
        <w:ind w:left="3360" w:hanging="420"/>
      </w:pPr>
      <w:rPr>
        <w:rFonts w:hint="default"/>
      </w:rPr>
    </w:lvl>
    <w:lvl w:ilvl="7" w:tentative="0">
      <w:start w:val="1"/>
      <w:numFmt w:val="lowerLetter"/>
      <w:lvlText w:val="%8."/>
      <w:lvlJc w:val="left"/>
      <w:pPr>
        <w:tabs>
          <w:tab w:val="left" w:pos="3360"/>
        </w:tabs>
        <w:ind w:left="3780" w:hanging="420"/>
      </w:pPr>
      <w:rPr>
        <w:rFonts w:hint="default"/>
      </w:rPr>
    </w:lvl>
    <w:lvl w:ilvl="8" w:tentative="0">
      <w:start w:val="1"/>
      <w:numFmt w:val="lowerLetter"/>
      <w:lvlText w:val="%9)"/>
      <w:lvlJc w:val="left"/>
      <w:pPr>
        <w:tabs>
          <w:tab w:val="left" w:pos="3780"/>
        </w:tabs>
        <w:ind w:left="4200" w:hanging="420"/>
      </w:pPr>
      <w:rPr>
        <w:rFonts w:hint="default"/>
      </w:rPr>
    </w:lvl>
  </w:abstractNum>
  <w:abstractNum w:abstractNumId="8">
    <w:nsid w:val="25324536"/>
    <w:multiLevelType w:val="singleLevel"/>
    <w:tmpl w:val="25324536"/>
    <w:lvl w:ilvl="0" w:tentative="0">
      <w:start w:val="1"/>
      <w:numFmt w:val="decimal"/>
      <w:lvlText w:val="(%1)"/>
      <w:lvlJc w:val="left"/>
      <w:pPr>
        <w:tabs>
          <w:tab w:val="left" w:pos="420"/>
        </w:tabs>
        <w:ind w:left="845" w:hanging="425"/>
      </w:pPr>
      <w:rPr>
        <w:rFonts w:hint="default"/>
      </w:rPr>
    </w:lvl>
  </w:abstractNum>
  <w:abstractNum w:abstractNumId="9">
    <w:nsid w:val="38284220"/>
    <w:multiLevelType w:val="singleLevel"/>
    <w:tmpl w:val="38284220"/>
    <w:lvl w:ilvl="0" w:tentative="0">
      <w:start w:val="1"/>
      <w:numFmt w:val="decimalEnclosedCircleChinese"/>
      <w:suff w:val="nothing"/>
      <w:lvlText w:val="%1　"/>
      <w:lvlJc w:val="left"/>
      <w:pPr>
        <w:ind w:left="0" w:firstLine="400"/>
      </w:pPr>
      <w:rPr>
        <w:rFonts w:hint="eastAsia"/>
      </w:rPr>
    </w:lvl>
  </w:abstractNum>
  <w:abstractNum w:abstractNumId="10">
    <w:nsid w:val="4FE82E1F"/>
    <w:multiLevelType w:val="multilevel"/>
    <w:tmpl w:val="4FE82E1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568294D6"/>
    <w:multiLevelType w:val="singleLevel"/>
    <w:tmpl w:val="568294D6"/>
    <w:lvl w:ilvl="0" w:tentative="0">
      <w:start w:val="1"/>
      <w:numFmt w:val="decimal"/>
      <w:suff w:val="nothing"/>
      <w:lvlText w:val="%1）"/>
      <w:lvlJc w:val="left"/>
    </w:lvl>
  </w:abstractNum>
  <w:abstractNum w:abstractNumId="12">
    <w:nsid w:val="631C03F0"/>
    <w:multiLevelType w:val="multilevel"/>
    <w:tmpl w:val="631C03F0"/>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6CA77204"/>
    <w:multiLevelType w:val="singleLevel"/>
    <w:tmpl w:val="6CA77204"/>
    <w:lvl w:ilvl="0" w:tentative="0">
      <w:start w:val="1"/>
      <w:numFmt w:val="decimal"/>
      <w:suff w:val="nothing"/>
      <w:lvlText w:val="（%1）"/>
      <w:lvlJc w:val="left"/>
    </w:lvl>
  </w:abstractNum>
  <w:num w:numId="1">
    <w:abstractNumId w:val="12"/>
  </w:num>
  <w:num w:numId="2">
    <w:abstractNumId w:val="4"/>
  </w:num>
  <w:num w:numId="3">
    <w:abstractNumId w:val="3"/>
  </w:num>
  <w:num w:numId="4">
    <w:abstractNumId w:val="6"/>
  </w:num>
  <w:num w:numId="5">
    <w:abstractNumId w:val="5"/>
  </w:num>
  <w:num w:numId="6">
    <w:abstractNumId w:val="11"/>
  </w:num>
  <w:num w:numId="7">
    <w:abstractNumId w:val="2"/>
  </w:num>
  <w:num w:numId="8">
    <w:abstractNumId w:val="1"/>
  </w:num>
  <w:num w:numId="9">
    <w:abstractNumId w:val="9"/>
  </w:num>
  <w:num w:numId="10">
    <w:abstractNumId w:val="7"/>
  </w:num>
  <w:num w:numId="11">
    <w:abstractNumId w:val="10"/>
  </w:num>
  <w:num w:numId="12">
    <w:abstractNumId w:val="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4DD7"/>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2C7A"/>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600"/>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64F"/>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0CC"/>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3BB"/>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0A6"/>
    <w:rsid w:val="00680326"/>
    <w:rsid w:val="00680714"/>
    <w:rsid w:val="0068071D"/>
    <w:rsid w:val="00680C6B"/>
    <w:rsid w:val="006811F3"/>
    <w:rsid w:val="00681240"/>
    <w:rsid w:val="00683068"/>
    <w:rsid w:val="00683B1D"/>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3025"/>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071"/>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89"/>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3FE"/>
    <w:rsid w:val="008B67E6"/>
    <w:rsid w:val="008B69B8"/>
    <w:rsid w:val="008B7042"/>
    <w:rsid w:val="008B770C"/>
    <w:rsid w:val="008C0325"/>
    <w:rsid w:val="008C094A"/>
    <w:rsid w:val="008C1570"/>
    <w:rsid w:val="008C1792"/>
    <w:rsid w:val="008C17B2"/>
    <w:rsid w:val="008C1E3E"/>
    <w:rsid w:val="008C2059"/>
    <w:rsid w:val="008C21D0"/>
    <w:rsid w:val="008C26D3"/>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FB5"/>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3AA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2B67"/>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CE9"/>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0F91"/>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54F"/>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7"/>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1DB3"/>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174DB"/>
    <w:rsid w:val="036634D2"/>
    <w:rsid w:val="03DD35E4"/>
    <w:rsid w:val="04076900"/>
    <w:rsid w:val="041A5A3B"/>
    <w:rsid w:val="042311BA"/>
    <w:rsid w:val="042B157A"/>
    <w:rsid w:val="048F763B"/>
    <w:rsid w:val="049F330E"/>
    <w:rsid w:val="049F51EA"/>
    <w:rsid w:val="04AA775C"/>
    <w:rsid w:val="04AF1889"/>
    <w:rsid w:val="04F605AC"/>
    <w:rsid w:val="04F66F48"/>
    <w:rsid w:val="05251E14"/>
    <w:rsid w:val="05A16594"/>
    <w:rsid w:val="05A7762D"/>
    <w:rsid w:val="05FF7FA1"/>
    <w:rsid w:val="060E5941"/>
    <w:rsid w:val="06110FAF"/>
    <w:rsid w:val="06493CA7"/>
    <w:rsid w:val="065A6178"/>
    <w:rsid w:val="066F1CF3"/>
    <w:rsid w:val="06930BB8"/>
    <w:rsid w:val="070D0A20"/>
    <w:rsid w:val="07245D42"/>
    <w:rsid w:val="07264C62"/>
    <w:rsid w:val="076879C9"/>
    <w:rsid w:val="0779354C"/>
    <w:rsid w:val="08061376"/>
    <w:rsid w:val="083D1205"/>
    <w:rsid w:val="08452D77"/>
    <w:rsid w:val="086401F8"/>
    <w:rsid w:val="08751CAA"/>
    <w:rsid w:val="087E4C40"/>
    <w:rsid w:val="089E30DC"/>
    <w:rsid w:val="08B10BFF"/>
    <w:rsid w:val="08D66AD6"/>
    <w:rsid w:val="08DA33A3"/>
    <w:rsid w:val="08E80F13"/>
    <w:rsid w:val="09021DF6"/>
    <w:rsid w:val="09335624"/>
    <w:rsid w:val="0944690F"/>
    <w:rsid w:val="09535675"/>
    <w:rsid w:val="095F057D"/>
    <w:rsid w:val="09642282"/>
    <w:rsid w:val="09733572"/>
    <w:rsid w:val="09772C16"/>
    <w:rsid w:val="098353B5"/>
    <w:rsid w:val="098767D5"/>
    <w:rsid w:val="09A92330"/>
    <w:rsid w:val="09B06B87"/>
    <w:rsid w:val="09C13146"/>
    <w:rsid w:val="09CC137C"/>
    <w:rsid w:val="09E04166"/>
    <w:rsid w:val="09F74B6A"/>
    <w:rsid w:val="0A1C0718"/>
    <w:rsid w:val="0A3E7710"/>
    <w:rsid w:val="0A5B7E63"/>
    <w:rsid w:val="0AA374A5"/>
    <w:rsid w:val="0AAB7649"/>
    <w:rsid w:val="0ABC5606"/>
    <w:rsid w:val="0B2914E7"/>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AA26B6"/>
    <w:rsid w:val="0CC007F7"/>
    <w:rsid w:val="0CFE707A"/>
    <w:rsid w:val="0D063BDA"/>
    <w:rsid w:val="0D08375F"/>
    <w:rsid w:val="0D184CFB"/>
    <w:rsid w:val="0D4A7419"/>
    <w:rsid w:val="0D5F0C90"/>
    <w:rsid w:val="0D827401"/>
    <w:rsid w:val="0D84094E"/>
    <w:rsid w:val="0D8A00E9"/>
    <w:rsid w:val="0D8D589E"/>
    <w:rsid w:val="0DA01C73"/>
    <w:rsid w:val="0DD63300"/>
    <w:rsid w:val="0DF50604"/>
    <w:rsid w:val="0DF702FE"/>
    <w:rsid w:val="0E060E51"/>
    <w:rsid w:val="0E5604B2"/>
    <w:rsid w:val="0E6352A8"/>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152C44"/>
    <w:rsid w:val="102307C0"/>
    <w:rsid w:val="104217D9"/>
    <w:rsid w:val="10646583"/>
    <w:rsid w:val="107D4B15"/>
    <w:rsid w:val="108A3C80"/>
    <w:rsid w:val="10C26171"/>
    <w:rsid w:val="10F33360"/>
    <w:rsid w:val="10FC16EA"/>
    <w:rsid w:val="110F1D40"/>
    <w:rsid w:val="11266F33"/>
    <w:rsid w:val="118963A1"/>
    <w:rsid w:val="11C6522A"/>
    <w:rsid w:val="11E104CC"/>
    <w:rsid w:val="11E20309"/>
    <w:rsid w:val="12255233"/>
    <w:rsid w:val="12353CB2"/>
    <w:rsid w:val="12530213"/>
    <w:rsid w:val="127723A9"/>
    <w:rsid w:val="127E16F6"/>
    <w:rsid w:val="12862074"/>
    <w:rsid w:val="12883966"/>
    <w:rsid w:val="129E45B4"/>
    <w:rsid w:val="12D12C5D"/>
    <w:rsid w:val="12D81596"/>
    <w:rsid w:val="13072A44"/>
    <w:rsid w:val="135F4BE2"/>
    <w:rsid w:val="136C6F57"/>
    <w:rsid w:val="139B1A0A"/>
    <w:rsid w:val="139D25C7"/>
    <w:rsid w:val="13BF3CE4"/>
    <w:rsid w:val="141008D8"/>
    <w:rsid w:val="14125FE6"/>
    <w:rsid w:val="146D271E"/>
    <w:rsid w:val="14873E05"/>
    <w:rsid w:val="14982588"/>
    <w:rsid w:val="149A5AD9"/>
    <w:rsid w:val="14A02873"/>
    <w:rsid w:val="14A7619D"/>
    <w:rsid w:val="14AF15E4"/>
    <w:rsid w:val="150536C3"/>
    <w:rsid w:val="150C1963"/>
    <w:rsid w:val="151447A0"/>
    <w:rsid w:val="154A6454"/>
    <w:rsid w:val="15762120"/>
    <w:rsid w:val="15A31DD9"/>
    <w:rsid w:val="165677F9"/>
    <w:rsid w:val="16A8729C"/>
    <w:rsid w:val="16B33777"/>
    <w:rsid w:val="16BC70A7"/>
    <w:rsid w:val="16C6339E"/>
    <w:rsid w:val="172F2D79"/>
    <w:rsid w:val="17557BEF"/>
    <w:rsid w:val="17D349C1"/>
    <w:rsid w:val="181411F4"/>
    <w:rsid w:val="1830729E"/>
    <w:rsid w:val="1870062C"/>
    <w:rsid w:val="18817102"/>
    <w:rsid w:val="18830A15"/>
    <w:rsid w:val="18852B28"/>
    <w:rsid w:val="188B5321"/>
    <w:rsid w:val="19227000"/>
    <w:rsid w:val="195C5947"/>
    <w:rsid w:val="19932372"/>
    <w:rsid w:val="19A20DD5"/>
    <w:rsid w:val="19AE03F1"/>
    <w:rsid w:val="1A071A03"/>
    <w:rsid w:val="1A187CBA"/>
    <w:rsid w:val="1A1F16AE"/>
    <w:rsid w:val="1A3B5C77"/>
    <w:rsid w:val="1A83501C"/>
    <w:rsid w:val="1A984BAD"/>
    <w:rsid w:val="1A9D707B"/>
    <w:rsid w:val="1AB8220E"/>
    <w:rsid w:val="1AE4166C"/>
    <w:rsid w:val="1AF06CFB"/>
    <w:rsid w:val="1AF11B8D"/>
    <w:rsid w:val="1B11359C"/>
    <w:rsid w:val="1B1E4E3E"/>
    <w:rsid w:val="1B2A271F"/>
    <w:rsid w:val="1B530544"/>
    <w:rsid w:val="1B713184"/>
    <w:rsid w:val="1BA209CF"/>
    <w:rsid w:val="1BB4777D"/>
    <w:rsid w:val="1BD75AB8"/>
    <w:rsid w:val="1C0459C2"/>
    <w:rsid w:val="1C1B3B4A"/>
    <w:rsid w:val="1C5A616E"/>
    <w:rsid w:val="1C88086E"/>
    <w:rsid w:val="1CFC62E8"/>
    <w:rsid w:val="1D266CE1"/>
    <w:rsid w:val="1D3963AF"/>
    <w:rsid w:val="1D6A673C"/>
    <w:rsid w:val="1D9247AE"/>
    <w:rsid w:val="1D95533F"/>
    <w:rsid w:val="1D9827F2"/>
    <w:rsid w:val="1DB567EC"/>
    <w:rsid w:val="1DB64ACD"/>
    <w:rsid w:val="1DF51A98"/>
    <w:rsid w:val="1E2955F7"/>
    <w:rsid w:val="1E3D060F"/>
    <w:rsid w:val="1E3F7D2E"/>
    <w:rsid w:val="1E4134E4"/>
    <w:rsid w:val="1E5062B3"/>
    <w:rsid w:val="1E523514"/>
    <w:rsid w:val="1E714A66"/>
    <w:rsid w:val="1E802593"/>
    <w:rsid w:val="1EA703CC"/>
    <w:rsid w:val="1EB7330C"/>
    <w:rsid w:val="1F052CF7"/>
    <w:rsid w:val="1F0A0FF3"/>
    <w:rsid w:val="1F5771FF"/>
    <w:rsid w:val="1F7B5667"/>
    <w:rsid w:val="1FE868A9"/>
    <w:rsid w:val="20034907"/>
    <w:rsid w:val="20173E4B"/>
    <w:rsid w:val="204E48BC"/>
    <w:rsid w:val="208921B3"/>
    <w:rsid w:val="20973DEB"/>
    <w:rsid w:val="20B26522"/>
    <w:rsid w:val="20B44310"/>
    <w:rsid w:val="210F3395"/>
    <w:rsid w:val="211116EB"/>
    <w:rsid w:val="216133FC"/>
    <w:rsid w:val="217A3826"/>
    <w:rsid w:val="21D56769"/>
    <w:rsid w:val="21E52EF3"/>
    <w:rsid w:val="21FB5D7B"/>
    <w:rsid w:val="220B1C3D"/>
    <w:rsid w:val="221D1D20"/>
    <w:rsid w:val="22334A87"/>
    <w:rsid w:val="224D5D49"/>
    <w:rsid w:val="22BE6801"/>
    <w:rsid w:val="2333470B"/>
    <w:rsid w:val="233500BF"/>
    <w:rsid w:val="23377FF7"/>
    <w:rsid w:val="23521C50"/>
    <w:rsid w:val="236B425F"/>
    <w:rsid w:val="23725E97"/>
    <w:rsid w:val="23836192"/>
    <w:rsid w:val="23901F29"/>
    <w:rsid w:val="239C0061"/>
    <w:rsid w:val="23B908A4"/>
    <w:rsid w:val="23C44CD2"/>
    <w:rsid w:val="23E95BEF"/>
    <w:rsid w:val="23FD0064"/>
    <w:rsid w:val="24155E5F"/>
    <w:rsid w:val="24174538"/>
    <w:rsid w:val="245375B0"/>
    <w:rsid w:val="24642C0A"/>
    <w:rsid w:val="24B22173"/>
    <w:rsid w:val="24B95AD9"/>
    <w:rsid w:val="24BE24DA"/>
    <w:rsid w:val="24CF5825"/>
    <w:rsid w:val="24D663E6"/>
    <w:rsid w:val="24D77F2B"/>
    <w:rsid w:val="258B00E2"/>
    <w:rsid w:val="25A917A6"/>
    <w:rsid w:val="25BE27CC"/>
    <w:rsid w:val="25F74A5C"/>
    <w:rsid w:val="26160B5A"/>
    <w:rsid w:val="2628662C"/>
    <w:rsid w:val="262D45DE"/>
    <w:rsid w:val="263317DE"/>
    <w:rsid w:val="26A53EF9"/>
    <w:rsid w:val="26A94201"/>
    <w:rsid w:val="26AC274F"/>
    <w:rsid w:val="27044A29"/>
    <w:rsid w:val="27111B1F"/>
    <w:rsid w:val="271C6CE3"/>
    <w:rsid w:val="271D34C8"/>
    <w:rsid w:val="276142BF"/>
    <w:rsid w:val="27783712"/>
    <w:rsid w:val="27907362"/>
    <w:rsid w:val="27B57D7C"/>
    <w:rsid w:val="28256DF1"/>
    <w:rsid w:val="28333E1D"/>
    <w:rsid w:val="28454BD6"/>
    <w:rsid w:val="28455253"/>
    <w:rsid w:val="28551971"/>
    <w:rsid w:val="285B1C53"/>
    <w:rsid w:val="28911FA3"/>
    <w:rsid w:val="289F7086"/>
    <w:rsid w:val="28C32028"/>
    <w:rsid w:val="28CC490F"/>
    <w:rsid w:val="28DE40AA"/>
    <w:rsid w:val="29095F6E"/>
    <w:rsid w:val="29345E77"/>
    <w:rsid w:val="294C65AD"/>
    <w:rsid w:val="29806583"/>
    <w:rsid w:val="298B3C4C"/>
    <w:rsid w:val="29937C03"/>
    <w:rsid w:val="29F26D24"/>
    <w:rsid w:val="2A15033F"/>
    <w:rsid w:val="2A1662C1"/>
    <w:rsid w:val="2A1C7367"/>
    <w:rsid w:val="2A2815FA"/>
    <w:rsid w:val="2A465D46"/>
    <w:rsid w:val="2A5004CD"/>
    <w:rsid w:val="2A6D6092"/>
    <w:rsid w:val="2A7D76B4"/>
    <w:rsid w:val="2B3109E2"/>
    <w:rsid w:val="2B3A6DE7"/>
    <w:rsid w:val="2B437463"/>
    <w:rsid w:val="2B7807EE"/>
    <w:rsid w:val="2BAB4349"/>
    <w:rsid w:val="2BBF00EC"/>
    <w:rsid w:val="2BC37CFD"/>
    <w:rsid w:val="2BD5237F"/>
    <w:rsid w:val="2BE536CE"/>
    <w:rsid w:val="2BE758D9"/>
    <w:rsid w:val="2C09049E"/>
    <w:rsid w:val="2C0A653C"/>
    <w:rsid w:val="2C191F85"/>
    <w:rsid w:val="2C2068A2"/>
    <w:rsid w:val="2CB9786A"/>
    <w:rsid w:val="2CD45F6A"/>
    <w:rsid w:val="2CE82D6F"/>
    <w:rsid w:val="2D343236"/>
    <w:rsid w:val="2DD15014"/>
    <w:rsid w:val="2DF72DE4"/>
    <w:rsid w:val="2E0220AF"/>
    <w:rsid w:val="2E4B082A"/>
    <w:rsid w:val="2E5D4E86"/>
    <w:rsid w:val="2E5D790B"/>
    <w:rsid w:val="2E9A3C18"/>
    <w:rsid w:val="2EBB0FEE"/>
    <w:rsid w:val="2EBD0A75"/>
    <w:rsid w:val="2EC63002"/>
    <w:rsid w:val="2F0A6B38"/>
    <w:rsid w:val="2F7A2214"/>
    <w:rsid w:val="2F946CCB"/>
    <w:rsid w:val="2FD25781"/>
    <w:rsid w:val="2FFD7934"/>
    <w:rsid w:val="30007114"/>
    <w:rsid w:val="305C411D"/>
    <w:rsid w:val="30733ACD"/>
    <w:rsid w:val="308C3862"/>
    <w:rsid w:val="309379D8"/>
    <w:rsid w:val="30A270F7"/>
    <w:rsid w:val="30DF1478"/>
    <w:rsid w:val="30EC586F"/>
    <w:rsid w:val="319C6071"/>
    <w:rsid w:val="31AC537E"/>
    <w:rsid w:val="31DC5198"/>
    <w:rsid w:val="31E3679B"/>
    <w:rsid w:val="31E732FD"/>
    <w:rsid w:val="32517576"/>
    <w:rsid w:val="32B326B3"/>
    <w:rsid w:val="32BE5C2C"/>
    <w:rsid w:val="32D3696F"/>
    <w:rsid w:val="32EF6438"/>
    <w:rsid w:val="32FB6478"/>
    <w:rsid w:val="33263B3F"/>
    <w:rsid w:val="336963EB"/>
    <w:rsid w:val="33816EEB"/>
    <w:rsid w:val="33912741"/>
    <w:rsid w:val="33EB55CD"/>
    <w:rsid w:val="33EC4C02"/>
    <w:rsid w:val="340D2360"/>
    <w:rsid w:val="3410665D"/>
    <w:rsid w:val="34211214"/>
    <w:rsid w:val="342E63AB"/>
    <w:rsid w:val="3450758E"/>
    <w:rsid w:val="348C3C0A"/>
    <w:rsid w:val="34950E68"/>
    <w:rsid w:val="34986E94"/>
    <w:rsid w:val="34AF62C9"/>
    <w:rsid w:val="34CB4388"/>
    <w:rsid w:val="34D12511"/>
    <w:rsid w:val="34D7686D"/>
    <w:rsid w:val="34F72EA3"/>
    <w:rsid w:val="34FA6E12"/>
    <w:rsid w:val="353D2ACD"/>
    <w:rsid w:val="354568B6"/>
    <w:rsid w:val="358D5588"/>
    <w:rsid w:val="363A3B40"/>
    <w:rsid w:val="365302AE"/>
    <w:rsid w:val="36607A0A"/>
    <w:rsid w:val="366E227C"/>
    <w:rsid w:val="366F2E0D"/>
    <w:rsid w:val="36732C1E"/>
    <w:rsid w:val="367B6A5C"/>
    <w:rsid w:val="36A74ADA"/>
    <w:rsid w:val="36AD60D5"/>
    <w:rsid w:val="36B224F9"/>
    <w:rsid w:val="36B42142"/>
    <w:rsid w:val="36EC0CC9"/>
    <w:rsid w:val="37200A38"/>
    <w:rsid w:val="373F410B"/>
    <w:rsid w:val="375C1681"/>
    <w:rsid w:val="37EE7094"/>
    <w:rsid w:val="38027F56"/>
    <w:rsid w:val="38296C89"/>
    <w:rsid w:val="383002EB"/>
    <w:rsid w:val="38586797"/>
    <w:rsid w:val="38BC0149"/>
    <w:rsid w:val="38D87D1C"/>
    <w:rsid w:val="38E63CAE"/>
    <w:rsid w:val="393077AE"/>
    <w:rsid w:val="39333919"/>
    <w:rsid w:val="39636459"/>
    <w:rsid w:val="396B7F6C"/>
    <w:rsid w:val="39B417A9"/>
    <w:rsid w:val="39FC5695"/>
    <w:rsid w:val="3A006D8E"/>
    <w:rsid w:val="3A3651E5"/>
    <w:rsid w:val="3A3B1D4C"/>
    <w:rsid w:val="3A744481"/>
    <w:rsid w:val="3A8C7BEF"/>
    <w:rsid w:val="3A906246"/>
    <w:rsid w:val="3A980D7D"/>
    <w:rsid w:val="3AFD3086"/>
    <w:rsid w:val="3B111C96"/>
    <w:rsid w:val="3B140424"/>
    <w:rsid w:val="3B2349B7"/>
    <w:rsid w:val="3B616CFF"/>
    <w:rsid w:val="3B6259F6"/>
    <w:rsid w:val="3B976654"/>
    <w:rsid w:val="3BC01EFC"/>
    <w:rsid w:val="3BCA786A"/>
    <w:rsid w:val="3BD31E2F"/>
    <w:rsid w:val="3BF15831"/>
    <w:rsid w:val="3C105946"/>
    <w:rsid w:val="3C471448"/>
    <w:rsid w:val="3C5F759A"/>
    <w:rsid w:val="3C6C525A"/>
    <w:rsid w:val="3C860D00"/>
    <w:rsid w:val="3CBF0D5C"/>
    <w:rsid w:val="3CCE23CB"/>
    <w:rsid w:val="3CD17D17"/>
    <w:rsid w:val="3D2F4655"/>
    <w:rsid w:val="3D3C7F39"/>
    <w:rsid w:val="3D440F09"/>
    <w:rsid w:val="3D4504A0"/>
    <w:rsid w:val="3D8734BB"/>
    <w:rsid w:val="3D9A11D4"/>
    <w:rsid w:val="3D9D1F07"/>
    <w:rsid w:val="3D9D22B9"/>
    <w:rsid w:val="3DA16D89"/>
    <w:rsid w:val="3DA364BE"/>
    <w:rsid w:val="3DAC04C6"/>
    <w:rsid w:val="3DC97B11"/>
    <w:rsid w:val="3DDB1C99"/>
    <w:rsid w:val="3DE041CB"/>
    <w:rsid w:val="3DE23DBE"/>
    <w:rsid w:val="3E0D48F6"/>
    <w:rsid w:val="3E1868B4"/>
    <w:rsid w:val="3E214A0F"/>
    <w:rsid w:val="3E227F19"/>
    <w:rsid w:val="3E2B2A8C"/>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155788"/>
    <w:rsid w:val="418F0D2A"/>
    <w:rsid w:val="41D01505"/>
    <w:rsid w:val="42474939"/>
    <w:rsid w:val="424C3C57"/>
    <w:rsid w:val="42613FF3"/>
    <w:rsid w:val="42660D96"/>
    <w:rsid w:val="428667D2"/>
    <w:rsid w:val="42B45D29"/>
    <w:rsid w:val="42CD1CE0"/>
    <w:rsid w:val="42E1381E"/>
    <w:rsid w:val="42ED6459"/>
    <w:rsid w:val="42FE58DD"/>
    <w:rsid w:val="43174B3D"/>
    <w:rsid w:val="434B790E"/>
    <w:rsid w:val="434D3A87"/>
    <w:rsid w:val="4360274F"/>
    <w:rsid w:val="43977AB6"/>
    <w:rsid w:val="43A3342B"/>
    <w:rsid w:val="43C77C27"/>
    <w:rsid w:val="43DE09EE"/>
    <w:rsid w:val="43DE5960"/>
    <w:rsid w:val="44002FAD"/>
    <w:rsid w:val="449101DD"/>
    <w:rsid w:val="44DE1391"/>
    <w:rsid w:val="44DE7F46"/>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5C1B59"/>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756E7"/>
    <w:rsid w:val="49F6167F"/>
    <w:rsid w:val="4A064FA0"/>
    <w:rsid w:val="4A16615C"/>
    <w:rsid w:val="4A4424D7"/>
    <w:rsid w:val="4AB82D0F"/>
    <w:rsid w:val="4AD42A66"/>
    <w:rsid w:val="4AEB7664"/>
    <w:rsid w:val="4AFD7C19"/>
    <w:rsid w:val="4B0567D1"/>
    <w:rsid w:val="4B236AAE"/>
    <w:rsid w:val="4B707271"/>
    <w:rsid w:val="4B9739F7"/>
    <w:rsid w:val="4BEE2503"/>
    <w:rsid w:val="4C245A30"/>
    <w:rsid w:val="4CB6685F"/>
    <w:rsid w:val="4CC367FE"/>
    <w:rsid w:val="4CC748AA"/>
    <w:rsid w:val="4D077F3C"/>
    <w:rsid w:val="4D123355"/>
    <w:rsid w:val="4D232B92"/>
    <w:rsid w:val="4D2A3B31"/>
    <w:rsid w:val="4D312C52"/>
    <w:rsid w:val="4D6A420D"/>
    <w:rsid w:val="4D905305"/>
    <w:rsid w:val="4D964A72"/>
    <w:rsid w:val="4D9C1254"/>
    <w:rsid w:val="4DC4703C"/>
    <w:rsid w:val="4E793892"/>
    <w:rsid w:val="4E800872"/>
    <w:rsid w:val="4EC569ED"/>
    <w:rsid w:val="4ED220A8"/>
    <w:rsid w:val="4ED50EA1"/>
    <w:rsid w:val="4EEC050C"/>
    <w:rsid w:val="4F104EC3"/>
    <w:rsid w:val="4F2B1D4E"/>
    <w:rsid w:val="4F47354A"/>
    <w:rsid w:val="4F71072F"/>
    <w:rsid w:val="4F835B6F"/>
    <w:rsid w:val="4F911C54"/>
    <w:rsid w:val="4FA67C67"/>
    <w:rsid w:val="4FE625E0"/>
    <w:rsid w:val="5021480F"/>
    <w:rsid w:val="5043693E"/>
    <w:rsid w:val="50962ECB"/>
    <w:rsid w:val="50A02AF8"/>
    <w:rsid w:val="50A42E38"/>
    <w:rsid w:val="50A4577F"/>
    <w:rsid w:val="50B25A73"/>
    <w:rsid w:val="50B73D1F"/>
    <w:rsid w:val="50BD5BC9"/>
    <w:rsid w:val="50C11EEE"/>
    <w:rsid w:val="50E97CFC"/>
    <w:rsid w:val="50FA4028"/>
    <w:rsid w:val="510C31D4"/>
    <w:rsid w:val="510D65B7"/>
    <w:rsid w:val="511157AB"/>
    <w:rsid w:val="512742DD"/>
    <w:rsid w:val="5142540C"/>
    <w:rsid w:val="518832C8"/>
    <w:rsid w:val="51A0432A"/>
    <w:rsid w:val="51A86090"/>
    <w:rsid w:val="51B7396D"/>
    <w:rsid w:val="51D05781"/>
    <w:rsid w:val="522E4CC3"/>
    <w:rsid w:val="5244713B"/>
    <w:rsid w:val="52615633"/>
    <w:rsid w:val="527D33AC"/>
    <w:rsid w:val="52977FD4"/>
    <w:rsid w:val="52A25790"/>
    <w:rsid w:val="52A96B6F"/>
    <w:rsid w:val="52AD557B"/>
    <w:rsid w:val="52B45975"/>
    <w:rsid w:val="52CE4DD5"/>
    <w:rsid w:val="52D94AA4"/>
    <w:rsid w:val="52EA3A62"/>
    <w:rsid w:val="52F50BB8"/>
    <w:rsid w:val="53097272"/>
    <w:rsid w:val="53117355"/>
    <w:rsid w:val="53544462"/>
    <w:rsid w:val="5397158E"/>
    <w:rsid w:val="53C26E4D"/>
    <w:rsid w:val="53F67B1E"/>
    <w:rsid w:val="54013861"/>
    <w:rsid w:val="54487265"/>
    <w:rsid w:val="544D6070"/>
    <w:rsid w:val="545B74F3"/>
    <w:rsid w:val="54605E1E"/>
    <w:rsid w:val="54B3506A"/>
    <w:rsid w:val="54CA0D16"/>
    <w:rsid w:val="54DD4057"/>
    <w:rsid w:val="54E7490F"/>
    <w:rsid w:val="54ED6A07"/>
    <w:rsid w:val="550764A4"/>
    <w:rsid w:val="550B2BF6"/>
    <w:rsid w:val="55214EB5"/>
    <w:rsid w:val="552F4781"/>
    <w:rsid w:val="55364EFD"/>
    <w:rsid w:val="555D4828"/>
    <w:rsid w:val="557A4C8B"/>
    <w:rsid w:val="558931E1"/>
    <w:rsid w:val="55923347"/>
    <w:rsid w:val="55925180"/>
    <w:rsid w:val="55983B1B"/>
    <w:rsid w:val="55A8376B"/>
    <w:rsid w:val="55DC29B6"/>
    <w:rsid w:val="55DD4241"/>
    <w:rsid w:val="566B6D1E"/>
    <w:rsid w:val="56E80398"/>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85EF9"/>
    <w:rsid w:val="581E0BB1"/>
    <w:rsid w:val="588B707D"/>
    <w:rsid w:val="58917D2F"/>
    <w:rsid w:val="5894085C"/>
    <w:rsid w:val="58AE4F0C"/>
    <w:rsid w:val="58B85899"/>
    <w:rsid w:val="58E363A9"/>
    <w:rsid w:val="59424DEC"/>
    <w:rsid w:val="595E1678"/>
    <w:rsid w:val="596D5BD4"/>
    <w:rsid w:val="597E3DD8"/>
    <w:rsid w:val="59AD18E4"/>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CCA3550"/>
    <w:rsid w:val="5D0C4701"/>
    <w:rsid w:val="5D0F0395"/>
    <w:rsid w:val="5D221076"/>
    <w:rsid w:val="5D397964"/>
    <w:rsid w:val="5D5A391C"/>
    <w:rsid w:val="5D5F10C0"/>
    <w:rsid w:val="5D891B7B"/>
    <w:rsid w:val="5D9134B1"/>
    <w:rsid w:val="5DAD38EE"/>
    <w:rsid w:val="5DF2623A"/>
    <w:rsid w:val="5E006862"/>
    <w:rsid w:val="5E0207B9"/>
    <w:rsid w:val="5E1834A1"/>
    <w:rsid w:val="5E261785"/>
    <w:rsid w:val="5E4A7017"/>
    <w:rsid w:val="5E552BBA"/>
    <w:rsid w:val="5E611C10"/>
    <w:rsid w:val="5E663BD9"/>
    <w:rsid w:val="5E6C2F34"/>
    <w:rsid w:val="5EE407AE"/>
    <w:rsid w:val="5EFC7377"/>
    <w:rsid w:val="5F06174D"/>
    <w:rsid w:val="5F337731"/>
    <w:rsid w:val="5F3A3602"/>
    <w:rsid w:val="5F4468BF"/>
    <w:rsid w:val="5F526F5D"/>
    <w:rsid w:val="5F6277C6"/>
    <w:rsid w:val="5F6D0B1D"/>
    <w:rsid w:val="5F7022C0"/>
    <w:rsid w:val="5F8D0B82"/>
    <w:rsid w:val="5FCC5339"/>
    <w:rsid w:val="5FE34A5B"/>
    <w:rsid w:val="5FFE1E36"/>
    <w:rsid w:val="60232584"/>
    <w:rsid w:val="607330CE"/>
    <w:rsid w:val="60825176"/>
    <w:rsid w:val="609F2AC4"/>
    <w:rsid w:val="60C904EA"/>
    <w:rsid w:val="60FA2EE8"/>
    <w:rsid w:val="61054A27"/>
    <w:rsid w:val="610A52BC"/>
    <w:rsid w:val="611D2366"/>
    <w:rsid w:val="61421856"/>
    <w:rsid w:val="615227C4"/>
    <w:rsid w:val="61654E3F"/>
    <w:rsid w:val="6182292A"/>
    <w:rsid w:val="619F7F92"/>
    <w:rsid w:val="61C125A1"/>
    <w:rsid w:val="61F94C26"/>
    <w:rsid w:val="62000E56"/>
    <w:rsid w:val="621C1871"/>
    <w:rsid w:val="623B36D1"/>
    <w:rsid w:val="624F3E49"/>
    <w:rsid w:val="62632286"/>
    <w:rsid w:val="62885958"/>
    <w:rsid w:val="62992D43"/>
    <w:rsid w:val="62D21B79"/>
    <w:rsid w:val="62F40B65"/>
    <w:rsid w:val="62FC2CFE"/>
    <w:rsid w:val="63024505"/>
    <w:rsid w:val="635B1DB5"/>
    <w:rsid w:val="636218DD"/>
    <w:rsid w:val="63711FED"/>
    <w:rsid w:val="63880DDC"/>
    <w:rsid w:val="638D750D"/>
    <w:rsid w:val="63AC6CC0"/>
    <w:rsid w:val="64055776"/>
    <w:rsid w:val="64240056"/>
    <w:rsid w:val="643C2042"/>
    <w:rsid w:val="643E143A"/>
    <w:rsid w:val="648B6EEF"/>
    <w:rsid w:val="64C158BF"/>
    <w:rsid w:val="64CE2EAA"/>
    <w:rsid w:val="653C3090"/>
    <w:rsid w:val="65723276"/>
    <w:rsid w:val="65854376"/>
    <w:rsid w:val="658767BE"/>
    <w:rsid w:val="65892531"/>
    <w:rsid w:val="66195831"/>
    <w:rsid w:val="662E75B1"/>
    <w:rsid w:val="6630539F"/>
    <w:rsid w:val="66342C2E"/>
    <w:rsid w:val="663E784C"/>
    <w:rsid w:val="668B6A45"/>
    <w:rsid w:val="672F3F24"/>
    <w:rsid w:val="673E055F"/>
    <w:rsid w:val="67551CE3"/>
    <w:rsid w:val="675B5F0E"/>
    <w:rsid w:val="67A22552"/>
    <w:rsid w:val="67B22DCC"/>
    <w:rsid w:val="67BE71AA"/>
    <w:rsid w:val="67D90273"/>
    <w:rsid w:val="67DE5875"/>
    <w:rsid w:val="67E55852"/>
    <w:rsid w:val="67EB1AB4"/>
    <w:rsid w:val="67FA1285"/>
    <w:rsid w:val="682B7831"/>
    <w:rsid w:val="68551F4F"/>
    <w:rsid w:val="687C10C9"/>
    <w:rsid w:val="68840C16"/>
    <w:rsid w:val="68876EFB"/>
    <w:rsid w:val="68884654"/>
    <w:rsid w:val="689F444F"/>
    <w:rsid w:val="68B96DBB"/>
    <w:rsid w:val="68CA2805"/>
    <w:rsid w:val="68E30A3E"/>
    <w:rsid w:val="68E937A3"/>
    <w:rsid w:val="693E15D3"/>
    <w:rsid w:val="69627681"/>
    <w:rsid w:val="6977531D"/>
    <w:rsid w:val="69CC2BFF"/>
    <w:rsid w:val="69FD55B8"/>
    <w:rsid w:val="6A0B1C62"/>
    <w:rsid w:val="6A2406C8"/>
    <w:rsid w:val="6A990AB5"/>
    <w:rsid w:val="6ADE0BD1"/>
    <w:rsid w:val="6AE96859"/>
    <w:rsid w:val="6B147746"/>
    <w:rsid w:val="6B24787C"/>
    <w:rsid w:val="6B573233"/>
    <w:rsid w:val="6B5B6274"/>
    <w:rsid w:val="6B935D53"/>
    <w:rsid w:val="6BAA1484"/>
    <w:rsid w:val="6C196F71"/>
    <w:rsid w:val="6C226FCB"/>
    <w:rsid w:val="6C31226F"/>
    <w:rsid w:val="6C3B6AE1"/>
    <w:rsid w:val="6C4920F3"/>
    <w:rsid w:val="6C552F0B"/>
    <w:rsid w:val="6C8C67B7"/>
    <w:rsid w:val="6C9D744C"/>
    <w:rsid w:val="6CD145D0"/>
    <w:rsid w:val="6D167928"/>
    <w:rsid w:val="6D26299B"/>
    <w:rsid w:val="6D4772EC"/>
    <w:rsid w:val="6D827E13"/>
    <w:rsid w:val="6D9078AF"/>
    <w:rsid w:val="6DAA3FEF"/>
    <w:rsid w:val="6DC0172B"/>
    <w:rsid w:val="6DCB690C"/>
    <w:rsid w:val="6DD41A5B"/>
    <w:rsid w:val="6DEC28AA"/>
    <w:rsid w:val="6DF43C2E"/>
    <w:rsid w:val="6DF51CA3"/>
    <w:rsid w:val="6E6010B5"/>
    <w:rsid w:val="6E8335BD"/>
    <w:rsid w:val="6E8E12EF"/>
    <w:rsid w:val="6E972936"/>
    <w:rsid w:val="6ED446C5"/>
    <w:rsid w:val="6F01451D"/>
    <w:rsid w:val="6F0E7F1A"/>
    <w:rsid w:val="6F2A7D94"/>
    <w:rsid w:val="6F3F4551"/>
    <w:rsid w:val="6F8331F1"/>
    <w:rsid w:val="6FAE1A09"/>
    <w:rsid w:val="6FD75BF8"/>
    <w:rsid w:val="700E3A7D"/>
    <w:rsid w:val="7047716A"/>
    <w:rsid w:val="705B6978"/>
    <w:rsid w:val="707723D0"/>
    <w:rsid w:val="70F5661B"/>
    <w:rsid w:val="71360107"/>
    <w:rsid w:val="713B688E"/>
    <w:rsid w:val="715E3769"/>
    <w:rsid w:val="71617872"/>
    <w:rsid w:val="71D43752"/>
    <w:rsid w:val="71F1796A"/>
    <w:rsid w:val="720930EC"/>
    <w:rsid w:val="72154626"/>
    <w:rsid w:val="72262B5D"/>
    <w:rsid w:val="72283FF7"/>
    <w:rsid w:val="722E7212"/>
    <w:rsid w:val="723A0474"/>
    <w:rsid w:val="725923E4"/>
    <w:rsid w:val="72864BF7"/>
    <w:rsid w:val="729023FC"/>
    <w:rsid w:val="72CE0D44"/>
    <w:rsid w:val="72EA5BD6"/>
    <w:rsid w:val="73C0646E"/>
    <w:rsid w:val="742222F5"/>
    <w:rsid w:val="74476126"/>
    <w:rsid w:val="745126A4"/>
    <w:rsid w:val="74706664"/>
    <w:rsid w:val="747F3682"/>
    <w:rsid w:val="749C4185"/>
    <w:rsid w:val="74C8718C"/>
    <w:rsid w:val="75067759"/>
    <w:rsid w:val="752E6DCD"/>
    <w:rsid w:val="753E6B46"/>
    <w:rsid w:val="7551380D"/>
    <w:rsid w:val="75600BE5"/>
    <w:rsid w:val="7564475C"/>
    <w:rsid w:val="7583797F"/>
    <w:rsid w:val="75841868"/>
    <w:rsid w:val="75D20F1D"/>
    <w:rsid w:val="75DA2C18"/>
    <w:rsid w:val="75F54412"/>
    <w:rsid w:val="761D08E0"/>
    <w:rsid w:val="765D347C"/>
    <w:rsid w:val="76826699"/>
    <w:rsid w:val="76C87133"/>
    <w:rsid w:val="76CD08D5"/>
    <w:rsid w:val="76DB4B92"/>
    <w:rsid w:val="76DD2A5B"/>
    <w:rsid w:val="77052AA4"/>
    <w:rsid w:val="77136511"/>
    <w:rsid w:val="77340A39"/>
    <w:rsid w:val="77351FD0"/>
    <w:rsid w:val="77414FEE"/>
    <w:rsid w:val="77472422"/>
    <w:rsid w:val="777F31F2"/>
    <w:rsid w:val="77D1700D"/>
    <w:rsid w:val="77EC04CC"/>
    <w:rsid w:val="7823017C"/>
    <w:rsid w:val="78775729"/>
    <w:rsid w:val="78A42DB0"/>
    <w:rsid w:val="78A656AB"/>
    <w:rsid w:val="78B2245C"/>
    <w:rsid w:val="78E172CC"/>
    <w:rsid w:val="78EA1D1F"/>
    <w:rsid w:val="7904172F"/>
    <w:rsid w:val="790F7E27"/>
    <w:rsid w:val="792A231A"/>
    <w:rsid w:val="7930448F"/>
    <w:rsid w:val="79316829"/>
    <w:rsid w:val="794750A1"/>
    <w:rsid w:val="797E66A9"/>
    <w:rsid w:val="79A17A69"/>
    <w:rsid w:val="79A97383"/>
    <w:rsid w:val="79B32B50"/>
    <w:rsid w:val="79E27E8B"/>
    <w:rsid w:val="79F850CE"/>
    <w:rsid w:val="79FD443C"/>
    <w:rsid w:val="7A1D1975"/>
    <w:rsid w:val="7A3E5150"/>
    <w:rsid w:val="7A4670D6"/>
    <w:rsid w:val="7A534B63"/>
    <w:rsid w:val="7A615382"/>
    <w:rsid w:val="7A67303B"/>
    <w:rsid w:val="7AAB1D04"/>
    <w:rsid w:val="7ABA4368"/>
    <w:rsid w:val="7AD05746"/>
    <w:rsid w:val="7AD9074D"/>
    <w:rsid w:val="7B257FFD"/>
    <w:rsid w:val="7B343476"/>
    <w:rsid w:val="7B565DEF"/>
    <w:rsid w:val="7B5A2978"/>
    <w:rsid w:val="7B5A7E4C"/>
    <w:rsid w:val="7B667AF9"/>
    <w:rsid w:val="7B7468F8"/>
    <w:rsid w:val="7BD867BE"/>
    <w:rsid w:val="7BEE0103"/>
    <w:rsid w:val="7C0A0FE4"/>
    <w:rsid w:val="7C1A6627"/>
    <w:rsid w:val="7C254906"/>
    <w:rsid w:val="7C590818"/>
    <w:rsid w:val="7C595B6B"/>
    <w:rsid w:val="7C7C10F6"/>
    <w:rsid w:val="7C853BEA"/>
    <w:rsid w:val="7C881368"/>
    <w:rsid w:val="7CB551F1"/>
    <w:rsid w:val="7CE27788"/>
    <w:rsid w:val="7D0C32F1"/>
    <w:rsid w:val="7D0F408D"/>
    <w:rsid w:val="7D491C6C"/>
    <w:rsid w:val="7D5429C0"/>
    <w:rsid w:val="7D6E6D43"/>
    <w:rsid w:val="7DB57A34"/>
    <w:rsid w:val="7DE60973"/>
    <w:rsid w:val="7DEF0916"/>
    <w:rsid w:val="7E1E5218"/>
    <w:rsid w:val="7E8258B4"/>
    <w:rsid w:val="7E9A4E1F"/>
    <w:rsid w:val="7EA7723A"/>
    <w:rsid w:val="7EAC032C"/>
    <w:rsid w:val="7ECB6EF2"/>
    <w:rsid w:val="7EF56FBB"/>
    <w:rsid w:val="7F0768EB"/>
    <w:rsid w:val="7F143BEC"/>
    <w:rsid w:val="7F715AF2"/>
    <w:rsid w:val="7F886E69"/>
    <w:rsid w:val="7F9229B1"/>
    <w:rsid w:val="7F9F1206"/>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6"/>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123"/>
    <w:qFormat/>
    <w:uiPriority w:val="0"/>
    <w:rPr>
      <w:rFonts w:ascii="宋体" w:hAnsi="Courier New" w:cs="Arial"/>
      <w:snapToGrid w:val="0"/>
      <w:szCs w:val="21"/>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7"/>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0"/>
    <w:qFormat/>
    <w:uiPriority w:val="0"/>
    <w:pPr>
      <w:shd w:val="clear" w:color="auto" w:fill="000080"/>
    </w:pPr>
  </w:style>
  <w:style w:type="paragraph" w:styleId="20">
    <w:name w:val="annotation text"/>
    <w:basedOn w:val="1"/>
    <w:link w:val="342"/>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8"/>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319"/>
    <w:qFormat/>
    <w:uiPriority w:val="0"/>
    <w:pPr>
      <w:ind w:firstLine="420"/>
    </w:pPr>
    <w:rPr>
      <w:rFonts w:hAnsi="Calibri" w:cs="Times New Roman"/>
      <w:snapToGrid/>
      <w:szCs w:val="20"/>
    </w:rPr>
  </w:style>
  <w:style w:type="paragraph" w:styleId="26">
    <w:name w:val="toc 6"/>
    <w:basedOn w:val="1"/>
    <w:next w:val="1"/>
    <w:qFormat/>
    <w:uiPriority w:val="0"/>
    <w:pPr>
      <w:ind w:left="2100" w:leftChars="1000"/>
    </w:pPr>
  </w:style>
  <w:style w:type="paragraph" w:styleId="27">
    <w:name w:val="Body Text Indent"/>
    <w:basedOn w:val="1"/>
    <w:link w:val="263"/>
    <w:qFormat/>
    <w:uiPriority w:val="0"/>
    <w:pPr>
      <w:spacing w:line="480" w:lineRule="exact"/>
      <w:ind w:firstLine="480" w:firstLineChars="200"/>
    </w:pPr>
    <w:rPr>
      <w:rFonts w:ascii="宋体" w:hAnsi="宋体"/>
      <w:sz w:val="24"/>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1"/>
    <w:qFormat/>
    <w:uiPriority w:val="99"/>
    <w:pPr>
      <w:tabs>
        <w:tab w:val="center" w:pos="4153"/>
        <w:tab w:val="right" w:pos="8306"/>
      </w:tabs>
      <w:snapToGrid w:val="0"/>
      <w:jc w:val="left"/>
    </w:pPr>
    <w:rPr>
      <w:sz w:val="18"/>
      <w:szCs w:val="18"/>
    </w:rPr>
  </w:style>
  <w:style w:type="paragraph" w:styleId="42">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basedOn w:val="1"/>
    <w:next w:val="1"/>
    <w:link w:val="968"/>
    <w:qFormat/>
    <w:uiPriority w:val="0"/>
    <w:pPr>
      <w:snapToGrid w:val="0"/>
      <w:spacing w:before="240" w:after="480"/>
      <w:jc w:val="center"/>
    </w:pPr>
    <w:rPr>
      <w:rFonts w:ascii="Arial" w:hAnsi="Arial" w:eastAsia="隶书"/>
      <w:b/>
      <w:bCs/>
      <w:kern w:val="28"/>
      <w:sz w:val="44"/>
      <w:szCs w:val="32"/>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6"/>
    <w:link w:val="308"/>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33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4"/>
    <w:qFormat/>
    <w:uiPriority w:val="0"/>
    <w:rPr>
      <w:b/>
      <w:bCs/>
    </w:rPr>
  </w:style>
  <w:style w:type="paragraph" w:styleId="61">
    <w:name w:val="Body Text First Indent 2"/>
    <w:basedOn w:val="27"/>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表格文字"/>
    <w:basedOn w:val="1"/>
    <w:next w:val="24"/>
    <w:qFormat/>
    <w:uiPriority w:val="0"/>
    <w:pPr>
      <w:adjustRightInd/>
      <w:ind w:firstLine="200" w:firstLineChars="200"/>
    </w:pPr>
    <w:rPr>
      <w:rFonts w:ascii="Arial" w:hAnsi="Arial"/>
      <w:spacing w:val="-5"/>
      <w:kern w:val="0"/>
      <w:sz w:val="24"/>
      <w:szCs w:val="20"/>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字符"/>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文本首行缩进 2 字符"/>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字符1"/>
    <w:link w:val="6"/>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字符"/>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字符"/>
    <w:link w:val="8"/>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2"/>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字符"/>
    <w:link w:val="37"/>
    <w:qFormat/>
    <w:uiPriority w:val="0"/>
    <w:rPr>
      <w:rFonts w:ascii="宋体"/>
      <w:kern w:val="2"/>
      <w:sz w:val="24"/>
      <w:szCs w:val="21"/>
      <w:lang w:val="zh-CN"/>
    </w:rPr>
  </w:style>
  <w:style w:type="character" w:customStyle="1" w:styleId="180">
    <w:name w:val="标题 9 字符"/>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字符1"/>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16"/>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字符"/>
    <w:link w:val="19"/>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字符"/>
    <w:link w:val="32"/>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5"/>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字符"/>
    <w:link w:val="17"/>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字符1"/>
    <w:link w:val="27"/>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字符1"/>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字符"/>
    <w:qFormat/>
    <w:uiPriority w:val="10"/>
    <w:rPr>
      <w:b/>
      <w:sz w:val="24"/>
      <w:lang w:val="en-GB"/>
    </w:rPr>
  </w:style>
  <w:style w:type="character" w:customStyle="1" w:styleId="285">
    <w:name w:val="font81"/>
    <w:basedOn w:val="69"/>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字符"/>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字符"/>
    <w:link w:val="21"/>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字符"/>
    <w:link w:val="57"/>
    <w:qFormat/>
    <w:uiPriority w:val="0"/>
    <w:rPr>
      <w:rFonts w:ascii="黑体" w:hAnsi="Courier New" w:eastAsia="黑体"/>
    </w:rPr>
  </w:style>
  <w:style w:type="character" w:customStyle="1" w:styleId="300">
    <w:name w:val="正文文本 2 字符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5"/>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字符"/>
    <w:link w:val="9"/>
    <w:qFormat/>
    <w:uiPriority w:val="0"/>
    <w:rPr>
      <w:b/>
      <w:bCs/>
      <w:kern w:val="2"/>
      <w:sz w:val="24"/>
      <w:szCs w:val="24"/>
    </w:rPr>
  </w:style>
  <w:style w:type="character" w:customStyle="1" w:styleId="306">
    <w:name w:val="正文文本缩进 2 字符"/>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字符"/>
    <w:link w:val="51"/>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文本首行缩进 字符"/>
    <w:link w:val="25"/>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字符1"/>
    <w:link w:val="5"/>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字符"/>
    <w:link w:val="22"/>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字符1"/>
    <w:link w:val="59"/>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字符1"/>
    <w:link w:val="20"/>
    <w:qFormat/>
    <w:uiPriority w:val="0"/>
    <w:rPr>
      <w:kern w:val="2"/>
      <w:sz w:val="21"/>
      <w:szCs w:val="24"/>
    </w:rPr>
  </w:style>
  <w:style w:type="character" w:customStyle="1" w:styleId="343">
    <w:name w:val="签名 字符"/>
    <w:link w:val="43"/>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字符"/>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字符"/>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字符2"/>
    <w:link w:val="41"/>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字符2"/>
    <w:link w:val="42"/>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5"/>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2"/>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3"/>
    <w:next w:val="233"/>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3"/>
    <w:next w:val="233"/>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6"/>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9"/>
    <w:qFormat/>
    <w:uiPriority w:val="0"/>
    <w:rPr>
      <w:kern w:val="2"/>
      <w:sz w:val="21"/>
      <w:szCs w:val="24"/>
      <w:lang w:val="zh-CN"/>
    </w:rPr>
  </w:style>
  <w:style w:type="character" w:customStyle="1" w:styleId="930">
    <w:name w:val="无间隔 字符"/>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6"/>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列出段落"/>
    <w:basedOn w:val="1"/>
    <w:qFormat/>
    <w:uiPriority w:val="0"/>
    <w:pPr>
      <w:ind w:firstLine="420" w:firstLineChars="200"/>
    </w:pPr>
    <w:rPr>
      <w:rFonts w:ascii="Calibri" w:hAnsi="Calibri"/>
      <w:szCs w:val="22"/>
    </w:rPr>
  </w:style>
  <w:style w:type="character" w:customStyle="1" w:styleId="962">
    <w:name w:val="textcontents1"/>
    <w:qFormat/>
    <w:uiPriority w:val="0"/>
    <w:rPr>
      <w:color w:val="000000"/>
      <w:sz w:val="30"/>
      <w:szCs w:val="30"/>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样式 标题 2节标题 1.1 + 段前: 1 行 段后: 0.5 行"/>
    <w:qFormat/>
    <w:uiPriority w:val="0"/>
    <w:pPr>
      <w:widowControl w:val="0"/>
      <w:tabs>
        <w:tab w:val="left" w:pos="1000"/>
      </w:tabs>
      <w:autoSpaceDE w:val="0"/>
      <w:autoSpaceDN w:val="0"/>
      <w:spacing w:before="50" w:beforeLines="100" w:afterLines="50"/>
      <w:ind w:right="203"/>
      <w:jc w:val="center"/>
      <w:outlineLvl w:val="1"/>
    </w:pPr>
    <w:rPr>
      <w:rFonts w:ascii="宋体" w:hAnsi="宋体" w:eastAsia="宋体" w:cs="宋体"/>
      <w:b/>
      <w:bCs/>
      <w:sz w:val="24"/>
      <w:szCs w:val="24"/>
      <w:lang w:val="zh-CN" w:eastAsia="zh-CN" w:bidi="zh-CN"/>
    </w:rPr>
  </w:style>
  <w:style w:type="character" w:customStyle="1" w:styleId="966">
    <w:name w:val="font141"/>
    <w:basedOn w:val="69"/>
    <w:qFormat/>
    <w:uiPriority w:val="0"/>
    <w:rPr>
      <w:rFonts w:hint="default" w:ascii="Arial" w:hAnsi="Arial" w:cs="Arial"/>
      <w:b/>
      <w:color w:val="000000"/>
      <w:sz w:val="20"/>
      <w:szCs w:val="20"/>
      <w:u w:val="none"/>
    </w:rPr>
  </w:style>
  <w:style w:type="paragraph" w:customStyle="1" w:styleId="967">
    <w:name w:val="zhang"/>
    <w:basedOn w:val="1"/>
    <w:qFormat/>
    <w:uiPriority w:val="0"/>
    <w:pPr>
      <w:widowControl/>
      <w:spacing w:before="100" w:beforeAutospacing="1" w:after="100" w:afterAutospacing="1"/>
      <w:jc w:val="left"/>
    </w:pPr>
    <w:rPr>
      <w:rFonts w:ascii="宋体" w:hAnsi="宋体" w:cs="宋体"/>
      <w:b/>
      <w:bCs/>
      <w:smallCaps/>
      <w:color w:val="000000"/>
      <w:sz w:val="20"/>
    </w:rPr>
  </w:style>
  <w:style w:type="character" w:customStyle="1" w:styleId="968">
    <w:name w:val="副标题 字符1"/>
    <w:link w:val="48"/>
    <w:qFormat/>
    <w:uiPriority w:val="11"/>
    <w:rPr>
      <w:rFonts w:ascii="Times New Roman" w:hAnsi="Times New Roman" w:eastAsia="Times New Roman"/>
      <w:kern w:val="2"/>
      <w:sz w:val="18"/>
      <w:szCs w:val="18"/>
      <w:lang w:val="en-US" w:eastAsia="zh-CN"/>
    </w:rPr>
  </w:style>
  <w:style w:type="paragraph" w:customStyle="1" w:styleId="969">
    <w:name w:val="正文_1_0_0_0"/>
    <w:basedOn w:val="970"/>
    <w:qFormat/>
    <w:uiPriority w:val="0"/>
    <w:rPr>
      <w:rFonts w:ascii="Calibri" w:hAnsi="Calibri" w:eastAsia="宋体"/>
      <w:szCs w:val="21"/>
    </w:rPr>
  </w:style>
  <w:style w:type="paragraph" w:customStyle="1" w:styleId="970">
    <w:name w:val="正文_1_0_0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93</Pages>
  <Words>48167</Words>
  <Characters>50384</Characters>
  <Lines>403</Lines>
  <Paragraphs>113</Paragraphs>
  <TotalTime>22</TotalTime>
  <ScaleCrop>false</ScaleCrop>
  <LinksUpToDate>false</LinksUpToDate>
  <CharactersWithSpaces>54634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2022-01-12T01:10:00Z</dcterms:created>
  <dc:creator>玥</dc:creator>
  <cp:lastModifiedBy>木林辉辉</cp:lastModifiedBy>
  <cp:lastPrinted>2021-12-27T03:06:00Z</cp:lastPrinted>
  <dcterms:modified xsi:type="dcterms:W3CDTF">2022-04-15T15:40:27Z</dcterms:modified>
  <dc:title>杭州市市民卡扩大发卡工程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FDFDD955E7764394B8733286ADC5ABC6</vt:lpwstr>
  </property>
  <property fmtid="{D5CDD505-2E9C-101B-9397-08002B2CF9AE}" pid="5" name="commondata">
    <vt:lpwstr>eyJoZGlkIjoiZjI3M2EzYTFhZDcxODkzYTliMDFkZjE4NjRiYTA2YTgifQ==</vt:lpwstr>
  </property>
</Properties>
</file>