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jc w:val="center"/>
        <w:rPr>
          <w:rFonts w:hint="eastAsia" w:ascii="宋体" w:hAnsi="宋体" w:eastAsia="宋体" w:cs="宋体"/>
          <w:b/>
          <w:bCs/>
          <w:color w:val="auto"/>
          <w:sz w:val="44"/>
          <w:szCs w:val="44"/>
          <w:lang w:eastAsia="zh-CN"/>
        </w:rPr>
      </w:pPr>
      <w:r>
        <w:rPr>
          <w:rFonts w:hint="eastAsia" w:ascii="宋体" w:hAnsi="宋体" w:cs="宋体"/>
          <w:b/>
          <w:bCs/>
          <w:color w:val="auto"/>
          <w:sz w:val="44"/>
          <w:szCs w:val="44"/>
          <w:lang w:eastAsia="zh-CN"/>
        </w:rPr>
        <w:t>浙江省立同德医院消化内镜维保采购项目</w:t>
      </w:r>
    </w:p>
    <w:p>
      <w:pPr>
        <w:adjustRightInd/>
        <w:spacing w:line="360" w:lineRule="auto"/>
        <w:jc w:val="center"/>
        <w:rPr>
          <w:rFonts w:hint="eastAsia" w:ascii="宋体" w:hAnsi="宋体" w:eastAsia="宋体" w:cs="宋体"/>
          <w:b/>
          <w:bCs/>
          <w:color w:val="auto"/>
          <w:sz w:val="44"/>
          <w:szCs w:val="44"/>
        </w:rPr>
      </w:pPr>
    </w:p>
    <w:p>
      <w:pPr>
        <w:adjustRightInd/>
        <w:spacing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 xml:space="preserve">招标文件 </w:t>
      </w:r>
    </w:p>
    <w:p>
      <w:pPr>
        <w:adjustRightInd/>
        <w:spacing w:line="36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 xml:space="preserve"> （电子招投标）</w:t>
      </w:r>
    </w:p>
    <w:p>
      <w:pPr>
        <w:snapToGrid w:val="0"/>
        <w:spacing w:line="360" w:lineRule="auto"/>
        <w:jc w:val="center"/>
        <w:rPr>
          <w:rFonts w:hint="eastAsia" w:ascii="宋体" w:hAnsi="宋体" w:eastAsia="宋体" w:cs="宋体"/>
          <w:b/>
          <w:bCs/>
          <w:color w:val="auto"/>
          <w:sz w:val="30"/>
          <w:szCs w:val="30"/>
          <w:lang w:eastAsia="zh-CN"/>
        </w:rPr>
      </w:pPr>
      <w:r>
        <w:rPr>
          <w:rFonts w:hint="eastAsia" w:ascii="宋体" w:hAnsi="宋体" w:cs="宋体"/>
          <w:b/>
          <w:bCs/>
          <w:color w:val="auto"/>
          <w:sz w:val="30"/>
          <w:szCs w:val="30"/>
          <w:lang w:val="en-US" w:eastAsia="zh-CN"/>
        </w:rPr>
        <w:t>项目</w:t>
      </w:r>
      <w:r>
        <w:rPr>
          <w:rFonts w:hint="eastAsia" w:ascii="宋体" w:hAnsi="宋体" w:cs="宋体"/>
          <w:b/>
          <w:bCs/>
          <w:color w:val="auto"/>
          <w:sz w:val="30"/>
          <w:szCs w:val="30"/>
        </w:rPr>
        <w:t>编号:</w:t>
      </w:r>
      <w:r>
        <w:rPr>
          <w:rFonts w:hint="eastAsia" w:ascii="宋体" w:hAnsi="宋体" w:cs="宋体"/>
          <w:b/>
          <w:bCs/>
          <w:color w:val="auto"/>
          <w:sz w:val="30"/>
          <w:szCs w:val="30"/>
          <w:lang w:eastAsia="zh-CN"/>
        </w:rPr>
        <w:t>HCZX-24166</w:t>
      </w:r>
    </w:p>
    <w:p>
      <w:pPr>
        <w:adjustRightInd/>
        <w:spacing w:line="360" w:lineRule="auto"/>
        <w:rPr>
          <w:rFonts w:ascii="宋体" w:hAnsi="宋体" w:cs="宋体"/>
          <w:b/>
          <w:bCs/>
          <w:color w:val="auto"/>
          <w:sz w:val="28"/>
          <w:szCs w:val="20"/>
        </w:rPr>
      </w:pPr>
    </w:p>
    <w:p>
      <w:pPr>
        <w:spacing w:line="360" w:lineRule="auto"/>
        <w:jc w:val="center"/>
        <w:rPr>
          <w:rFonts w:ascii="宋体" w:hAnsi="宋体" w:cs="宋体"/>
          <w:b/>
          <w:bCs/>
          <w:color w:val="auto"/>
          <w:sz w:val="44"/>
          <w:szCs w:val="44"/>
        </w:rPr>
      </w:pPr>
      <w:r>
        <w:rPr>
          <w:rFonts w:hint="eastAsia" w:ascii="宋体" w:hAnsi="宋体" w:cs="宋体"/>
          <w:b/>
          <w:bCs/>
          <w:color w:val="auto"/>
          <w:sz w:val="44"/>
          <w:szCs w:val="44"/>
        </w:rPr>
        <w:t xml:space="preserve"> </w:t>
      </w:r>
    </w:p>
    <w:p>
      <w:pPr>
        <w:spacing w:line="360" w:lineRule="auto"/>
        <w:jc w:val="center"/>
        <w:rPr>
          <w:rFonts w:ascii="宋体" w:hAnsi="宋体" w:cs="宋体"/>
          <w:b/>
          <w:bCs/>
          <w:color w:val="auto"/>
          <w:sz w:val="44"/>
          <w:szCs w:val="44"/>
        </w:rPr>
      </w:pPr>
    </w:p>
    <w:p>
      <w:pPr>
        <w:tabs>
          <w:tab w:val="left" w:pos="7288"/>
        </w:tabs>
        <w:spacing w:line="360" w:lineRule="auto"/>
        <w:jc w:val="left"/>
        <w:rPr>
          <w:rFonts w:hint="eastAsia" w:ascii="宋体" w:hAnsi="宋体" w:eastAsia="宋体" w:cs="宋体"/>
          <w:b/>
          <w:bCs/>
          <w:color w:val="auto"/>
          <w:sz w:val="44"/>
          <w:szCs w:val="44"/>
          <w:lang w:eastAsia="zh-CN"/>
        </w:rPr>
      </w:pPr>
      <w:r>
        <w:rPr>
          <w:rFonts w:hint="eastAsia" w:ascii="宋体" w:hAnsi="宋体" w:cs="宋体"/>
          <w:b/>
          <w:bCs/>
          <w:color w:val="auto"/>
          <w:sz w:val="44"/>
          <w:szCs w:val="44"/>
          <w:lang w:eastAsia="zh-CN"/>
        </w:rPr>
        <w:tab/>
      </w:r>
    </w:p>
    <w:p>
      <w:pPr>
        <w:pStyle w:val="2"/>
        <w:rPr>
          <w:b/>
          <w:bCs/>
          <w:color w:val="auto"/>
        </w:rPr>
      </w:pPr>
    </w:p>
    <w:p>
      <w:pPr>
        <w:spacing w:line="360" w:lineRule="auto"/>
        <w:jc w:val="center"/>
        <w:rPr>
          <w:rFonts w:ascii="宋体" w:hAnsi="宋体" w:cs="宋体"/>
          <w:b/>
          <w:bCs/>
          <w:color w:val="auto"/>
          <w:sz w:val="44"/>
          <w:szCs w:val="44"/>
        </w:rPr>
      </w:pPr>
    </w:p>
    <w:p>
      <w:pPr>
        <w:spacing w:line="360" w:lineRule="auto"/>
        <w:rPr>
          <w:rFonts w:ascii="宋体" w:hAnsi="宋体" w:cs="宋体"/>
          <w:b/>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b/>
          <w:bCs/>
          <w:color w:val="auto"/>
          <w:sz w:val="32"/>
          <w:szCs w:val="32"/>
          <w:lang w:eastAsia="zh-CN"/>
        </w:rPr>
      </w:pPr>
      <w:r>
        <w:rPr>
          <w:rFonts w:hint="eastAsia" w:ascii="宋体" w:hAnsi="宋体" w:cs="宋体"/>
          <w:b/>
          <w:bCs/>
          <w:color w:val="auto"/>
          <w:sz w:val="32"/>
          <w:szCs w:val="32"/>
        </w:rPr>
        <w:t>采购人</w:t>
      </w:r>
      <w:r>
        <w:rPr>
          <w:rFonts w:hint="eastAsia" w:ascii="宋体" w:hAnsi="宋体" w:cs="宋体"/>
          <w:b/>
          <w:bCs/>
          <w:color w:val="auto"/>
          <w:sz w:val="32"/>
          <w:szCs w:val="32"/>
          <w:lang w:eastAsia="zh-CN"/>
        </w:rPr>
        <w:t>：浙江省立同德医院（浙江省中医药研究院）</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b/>
          <w:bCs/>
          <w:color w:val="auto"/>
          <w:sz w:val="32"/>
          <w:szCs w:val="32"/>
          <w:lang w:eastAsia="zh-CN"/>
        </w:rPr>
      </w:pPr>
      <w:r>
        <w:rPr>
          <w:rFonts w:hint="eastAsia" w:ascii="宋体" w:hAnsi="宋体" w:cs="宋体"/>
          <w:b/>
          <w:bCs/>
          <w:color w:val="auto"/>
          <w:sz w:val="32"/>
          <w:szCs w:val="32"/>
        </w:rPr>
        <w:t>采购代理机构</w:t>
      </w:r>
      <w:r>
        <w:rPr>
          <w:rFonts w:hint="eastAsia" w:ascii="宋体" w:hAnsi="宋体" w:cs="宋体"/>
          <w:b/>
          <w:bCs/>
          <w:color w:val="auto"/>
          <w:sz w:val="32"/>
          <w:szCs w:val="32"/>
          <w:lang w:eastAsia="zh-CN"/>
        </w:rPr>
        <w:t>：</w:t>
      </w:r>
      <w:r>
        <w:rPr>
          <w:rFonts w:hint="eastAsia" w:ascii="宋体" w:hAnsi="宋体" w:cs="宋体"/>
          <w:b/>
          <w:bCs/>
          <w:color w:val="auto"/>
          <w:sz w:val="32"/>
          <w:szCs w:val="32"/>
        </w:rPr>
        <w:t>华诚工程咨询集团有限公司</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default" w:ascii="宋体" w:hAnsi="宋体" w:cs="宋体"/>
          <w:b/>
          <w:bCs/>
          <w:color w:val="auto"/>
          <w:sz w:val="32"/>
          <w:szCs w:val="32"/>
          <w:lang w:val="en-US"/>
        </w:rPr>
      </w:pPr>
      <w:r>
        <w:rPr>
          <w:rFonts w:hint="eastAsia" w:ascii="宋体" w:hAnsi="宋体" w:cs="宋体"/>
          <w:b/>
          <w:bCs/>
          <w:color w:val="auto"/>
          <w:sz w:val="32"/>
          <w:szCs w:val="32"/>
        </w:rPr>
        <w:t>二〇二</w:t>
      </w:r>
      <w:r>
        <w:rPr>
          <w:rFonts w:hint="eastAsia" w:ascii="宋体" w:hAnsi="宋体" w:cs="宋体"/>
          <w:b/>
          <w:bCs/>
          <w:color w:val="auto"/>
          <w:sz w:val="32"/>
          <w:szCs w:val="32"/>
          <w:lang w:val="en-US" w:eastAsia="zh-CN"/>
        </w:rPr>
        <w:t>四</w:t>
      </w:r>
      <w:r>
        <w:rPr>
          <w:rFonts w:hint="eastAsia" w:ascii="宋体" w:hAnsi="宋体" w:cs="宋体"/>
          <w:b/>
          <w:bCs/>
          <w:color w:val="auto"/>
          <w:sz w:val="32"/>
          <w:szCs w:val="32"/>
        </w:rPr>
        <w:t>年</w:t>
      </w:r>
      <w:r>
        <w:rPr>
          <w:rFonts w:hint="eastAsia" w:ascii="宋体" w:hAnsi="宋体" w:cs="宋体"/>
          <w:b/>
          <w:bCs/>
          <w:color w:val="auto"/>
          <w:sz w:val="32"/>
          <w:szCs w:val="32"/>
          <w:lang w:val="en-US" w:eastAsia="zh-CN"/>
        </w:rPr>
        <w:t>四月</w:t>
      </w:r>
    </w:p>
    <w:p>
      <w:pPr>
        <w:spacing w:line="360" w:lineRule="auto"/>
        <w:jc w:val="center"/>
        <w:rPr>
          <w:rFonts w:ascii="宋体" w:hAnsi="宋体" w:cs="宋体"/>
          <w:b/>
          <w:bCs/>
          <w:color w:val="auto"/>
          <w:sz w:val="24"/>
        </w:rPr>
      </w:pPr>
      <w:r>
        <w:rPr>
          <w:rFonts w:hint="eastAsia" w:ascii="宋体" w:hAnsi="宋体" w:cs="宋体"/>
          <w:b/>
          <w:bCs/>
          <w:color w:val="auto"/>
          <w:sz w:val="24"/>
        </w:rPr>
        <w:br w:type="page"/>
      </w:r>
      <w:bookmarkStart w:id="0" w:name="_Hlt67893495"/>
      <w:bookmarkEnd w:id="0"/>
    </w:p>
    <w:p>
      <w:pPr>
        <w:spacing w:line="360" w:lineRule="auto"/>
        <w:jc w:val="center"/>
        <w:rPr>
          <w:rFonts w:ascii="宋体" w:hAnsi="宋体" w:cs="宋体"/>
          <w:b/>
          <w:color w:val="auto"/>
          <w:sz w:val="28"/>
          <w:szCs w:val="28"/>
        </w:rPr>
      </w:pPr>
      <w:r>
        <w:rPr>
          <w:rFonts w:hint="eastAsia" w:ascii="宋体" w:hAnsi="宋体" w:cs="宋体"/>
          <w:b/>
          <w:color w:val="auto"/>
          <w:sz w:val="28"/>
          <w:szCs w:val="28"/>
        </w:rPr>
        <w:t>目  录</w:t>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rFonts w:hint="eastAsia" w:ascii="宋体" w:hAnsi="宋体" w:eastAsia="宋体" w:cs="宋体"/>
          <w:b w:val="0"/>
          <w:bCs w:val="0"/>
          <w:color w:val="auto"/>
          <w:sz w:val="28"/>
          <w:szCs w:val="28"/>
        </w:rPr>
      </w:pPr>
      <w:r>
        <w:rPr>
          <w:rFonts w:ascii="宋体" w:hAnsi="宋体" w:cs="宋体"/>
          <w:b/>
          <w:bCs/>
          <w:color w:val="auto"/>
          <w:sz w:val="32"/>
          <w:szCs w:val="32"/>
        </w:rPr>
        <w:fldChar w:fldCharType="begin"/>
      </w:r>
      <w:r>
        <w:rPr>
          <w:rFonts w:ascii="宋体" w:hAnsi="宋体" w:cs="宋体"/>
          <w:b/>
          <w:bCs/>
          <w:color w:val="auto"/>
          <w:sz w:val="32"/>
          <w:szCs w:val="32"/>
        </w:rPr>
        <w:instrText xml:space="preserve">TOC \o "1-1" \h \u </w:instrText>
      </w:r>
      <w:r>
        <w:rPr>
          <w:rFonts w:ascii="宋体" w:hAnsi="宋体" w:cs="宋体"/>
          <w:b/>
          <w:bCs/>
          <w:color w:val="auto"/>
          <w:sz w:val="32"/>
          <w:szCs w:val="32"/>
        </w:rPr>
        <w:fldChar w:fldCharType="separate"/>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\l _Toc27377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kern w:val="44"/>
          <w:sz w:val="28"/>
          <w:szCs w:val="28"/>
          <w:lang w:val="en-US" w:eastAsia="zh-CN" w:bidi="ar-SA"/>
        </w:rPr>
        <w:t>第一部分 招标公告</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PAGEREF _Toc27377 \h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3</w:t>
      </w:r>
      <w:r>
        <w:rPr>
          <w:rFonts w:hint="eastAsia" w:ascii="宋体" w:hAnsi="宋体" w:eastAsia="宋体" w:cs="宋体"/>
          <w:b w:val="0"/>
          <w:bCs w:val="0"/>
          <w:color w:val="auto"/>
          <w:sz w:val="28"/>
          <w:szCs w:val="28"/>
        </w:rPr>
        <w:fldChar w:fldCharType="end"/>
      </w:r>
      <w:r>
        <w:rPr>
          <w:rFonts w:hint="eastAsia" w:ascii="宋体" w:hAnsi="宋体" w:eastAsia="宋体" w:cs="宋体"/>
          <w:b w:val="0"/>
          <w:bCs w:val="0"/>
          <w:color w:val="auto"/>
          <w:sz w:val="28"/>
          <w:szCs w:val="28"/>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\l _Toc6846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第二部分 投标人须知</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PAGEREF _Toc6846 \h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8</w:t>
      </w:r>
      <w:r>
        <w:rPr>
          <w:rFonts w:hint="eastAsia" w:ascii="宋体" w:hAnsi="宋体" w:eastAsia="宋体" w:cs="宋体"/>
          <w:b w:val="0"/>
          <w:bCs w:val="0"/>
          <w:color w:val="auto"/>
          <w:sz w:val="28"/>
          <w:szCs w:val="28"/>
        </w:rPr>
        <w:fldChar w:fldCharType="end"/>
      </w:r>
      <w:r>
        <w:rPr>
          <w:rFonts w:hint="eastAsia" w:ascii="宋体" w:hAnsi="宋体" w:eastAsia="宋体" w:cs="宋体"/>
          <w:b w:val="0"/>
          <w:bCs w:val="0"/>
          <w:color w:val="auto"/>
          <w:sz w:val="28"/>
          <w:szCs w:val="28"/>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\l _Toc14793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第三部分 采购需求</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PAGEREF _Toc14793 \h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24</w:t>
      </w:r>
      <w:r>
        <w:rPr>
          <w:rFonts w:hint="eastAsia" w:ascii="宋体" w:hAnsi="宋体" w:eastAsia="宋体" w:cs="宋体"/>
          <w:b w:val="0"/>
          <w:bCs w:val="0"/>
          <w:color w:val="auto"/>
          <w:sz w:val="28"/>
          <w:szCs w:val="28"/>
        </w:rPr>
        <w:fldChar w:fldCharType="end"/>
      </w:r>
      <w:r>
        <w:rPr>
          <w:rFonts w:hint="eastAsia" w:ascii="宋体" w:hAnsi="宋体" w:eastAsia="宋体" w:cs="宋体"/>
          <w:b w:val="0"/>
          <w:bCs w:val="0"/>
          <w:color w:val="auto"/>
          <w:sz w:val="28"/>
          <w:szCs w:val="28"/>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\l _Toc4289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kern w:val="44"/>
          <w:sz w:val="28"/>
          <w:szCs w:val="28"/>
          <w:lang w:val="en-US" w:eastAsia="zh-CN" w:bidi="ar-SA"/>
        </w:rPr>
        <w:t>第四部分 评标办法</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PAGEREF _Toc4289 \h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27</w:t>
      </w:r>
      <w:r>
        <w:rPr>
          <w:rFonts w:hint="eastAsia" w:ascii="宋体" w:hAnsi="宋体" w:eastAsia="宋体" w:cs="宋体"/>
          <w:b w:val="0"/>
          <w:bCs w:val="0"/>
          <w:color w:val="auto"/>
          <w:sz w:val="28"/>
          <w:szCs w:val="28"/>
        </w:rPr>
        <w:fldChar w:fldCharType="end"/>
      </w:r>
      <w:r>
        <w:rPr>
          <w:rFonts w:hint="eastAsia" w:ascii="宋体" w:hAnsi="宋体" w:eastAsia="宋体" w:cs="宋体"/>
          <w:b w:val="0"/>
          <w:bCs w:val="0"/>
          <w:color w:val="auto"/>
          <w:sz w:val="28"/>
          <w:szCs w:val="28"/>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\l _Toc3448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第五部分 拟签订的合同文本</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PAGEREF _Toc3448 \h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33</w:t>
      </w:r>
      <w:r>
        <w:rPr>
          <w:rFonts w:hint="eastAsia" w:ascii="宋体" w:hAnsi="宋体" w:eastAsia="宋体" w:cs="宋体"/>
          <w:b w:val="0"/>
          <w:bCs w:val="0"/>
          <w:color w:val="auto"/>
          <w:sz w:val="28"/>
          <w:szCs w:val="28"/>
        </w:rPr>
        <w:fldChar w:fldCharType="end"/>
      </w:r>
      <w:r>
        <w:rPr>
          <w:rFonts w:hint="eastAsia" w:ascii="宋体" w:hAnsi="宋体" w:eastAsia="宋体" w:cs="宋体"/>
          <w:b w:val="0"/>
          <w:bCs w:val="0"/>
          <w:color w:val="auto"/>
          <w:sz w:val="28"/>
          <w:szCs w:val="28"/>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\l _Toc10249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第六部分 应提交的有关格式范例</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PAGEREF _Toc10249 \h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sz w:val="28"/>
          <w:szCs w:val="28"/>
        </w:rPr>
        <w:t>38</w:t>
      </w:r>
      <w:r>
        <w:rPr>
          <w:rFonts w:hint="eastAsia" w:ascii="宋体" w:hAnsi="宋体" w:eastAsia="宋体" w:cs="宋体"/>
          <w:b w:val="0"/>
          <w:bCs w:val="0"/>
          <w:color w:val="auto"/>
          <w:sz w:val="28"/>
          <w:szCs w:val="28"/>
        </w:rPr>
        <w:fldChar w:fldCharType="end"/>
      </w:r>
      <w:r>
        <w:rPr>
          <w:rFonts w:hint="eastAsia" w:ascii="宋体" w:hAnsi="宋体" w:eastAsia="宋体" w:cs="宋体"/>
          <w:b w:val="0"/>
          <w:bCs w:val="0"/>
          <w:color w:val="auto"/>
          <w:sz w:val="28"/>
          <w:szCs w:val="28"/>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val="0"/>
        <w:spacing w:line="480" w:lineRule="auto"/>
        <w:jc w:val="left"/>
        <w:textAlignment w:val="auto"/>
        <w:rPr>
          <w:b/>
          <w:bCs/>
          <w:color w:val="auto"/>
        </w:rPr>
      </w:pP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ascii="宋体" w:hAnsi="宋体" w:cs="宋体"/>
          <w:color w:val="auto"/>
          <w:sz w:val="32"/>
          <w:szCs w:val="32"/>
        </w:rPr>
      </w:pPr>
      <w:r>
        <w:rPr>
          <w:rFonts w:ascii="宋体" w:hAnsi="宋体" w:cs="宋体"/>
          <w:b/>
          <w:bCs/>
          <w:color w:val="auto"/>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ascii="宋体" w:hAnsi="宋体" w:cs="宋体"/>
          <w:color w:val="auto"/>
          <w:sz w:val="32"/>
          <w:szCs w:val="32"/>
        </w:rPr>
      </w:pP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bookmarkEnd w:id="2"/>
    <w:p>
      <w:pPr>
        <w:rPr>
          <w:rFonts w:hint="eastAsia" w:ascii="Times New Roman" w:hAnsi="Times New Roman" w:eastAsia="宋体" w:cs="Times New Roman"/>
          <w:b/>
          <w:bCs/>
          <w:color w:val="auto"/>
          <w:kern w:val="44"/>
          <w:sz w:val="30"/>
          <w:szCs w:val="30"/>
          <w:lang w:val="en-US" w:eastAsia="zh-CN" w:bidi="ar-SA"/>
        </w:rPr>
      </w:pPr>
      <w:bookmarkStart w:id="3" w:name="_Hlt74729822"/>
      <w:bookmarkEnd w:id="3"/>
      <w:bookmarkStart w:id="4" w:name="_Hlt74707423"/>
      <w:bookmarkEnd w:id="4"/>
      <w:bookmarkStart w:id="5" w:name="_Hlt74728647"/>
      <w:bookmarkEnd w:id="5"/>
      <w:bookmarkStart w:id="6" w:name="_Hlt74649545"/>
      <w:bookmarkEnd w:id="6"/>
      <w:bookmarkStart w:id="7" w:name="_Toc27377"/>
      <w:bookmarkStart w:id="8" w:name="第二部分"/>
      <w:bookmarkStart w:id="9" w:name="_Toc91899870"/>
      <w:bookmarkStart w:id="10" w:name="_Toc91899871"/>
      <w:r>
        <w:rPr>
          <w:rFonts w:hint="eastAsia" w:ascii="Times New Roman" w:hAnsi="Times New Roman" w:eastAsia="宋体" w:cs="Times New Roman"/>
          <w:b/>
          <w:bCs/>
          <w:color w:val="auto"/>
          <w:kern w:val="44"/>
          <w:sz w:val="30"/>
          <w:szCs w:val="30"/>
          <w:lang w:val="en-US" w:eastAsia="zh-CN" w:bidi="ar-SA"/>
        </w:rPr>
        <w:br w:type="page"/>
      </w:r>
    </w:p>
    <w:p>
      <w:pPr>
        <w:adjustRightInd/>
        <w:spacing w:line="360" w:lineRule="auto"/>
        <w:jc w:val="center"/>
        <w:outlineLvl w:val="0"/>
        <w:rPr>
          <w:rFonts w:ascii="宋体" w:hAnsi="宋体" w:cs="宋体"/>
          <w:b/>
          <w:color w:val="auto"/>
          <w:sz w:val="36"/>
          <w:szCs w:val="20"/>
        </w:rPr>
      </w:pPr>
      <w:r>
        <w:rPr>
          <w:rFonts w:hint="eastAsia" w:ascii="Times New Roman" w:hAnsi="Times New Roman" w:eastAsia="宋体" w:cs="Times New Roman"/>
          <w:b/>
          <w:bCs/>
          <w:color w:val="auto"/>
          <w:kern w:val="44"/>
          <w:sz w:val="30"/>
          <w:szCs w:val="30"/>
          <w:lang w:val="en-US" w:eastAsia="zh-CN" w:bidi="ar-SA"/>
        </w:rPr>
        <w:t>第一部分 招标公告</w:t>
      </w:r>
      <w:bookmarkEnd w:id="7"/>
    </w:p>
    <w:p>
      <w:pPr>
        <w:pBdr>
          <w:top w:val="single" w:color="auto" w:sz="4" w:space="1"/>
          <w:left w:val="single" w:color="auto" w:sz="4" w:space="4"/>
          <w:bottom w:val="single" w:color="auto" w:sz="4" w:space="1"/>
          <w:right w:val="single" w:color="auto" w:sz="4" w:space="4"/>
        </w:pBdr>
        <w:spacing w:line="360" w:lineRule="auto"/>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浙江省立同德医院消化内镜维保采购项目</w:t>
      </w:r>
      <w:r>
        <w:rPr>
          <w:rFonts w:hint="eastAsia" w:ascii="宋体" w:hAnsi="宋体" w:cs="宋体"/>
          <w:color w:val="auto"/>
          <w:sz w:val="24"/>
        </w:rPr>
        <w:t>招标项目</w:t>
      </w:r>
      <w:r>
        <w:rPr>
          <w:rFonts w:hint="eastAsia" w:ascii="宋体" w:hAnsi="宋体" w:cs="宋体"/>
          <w:color w:val="auto"/>
          <w:sz w:val="24"/>
        </w:rPr>
        <w:t>的潜在投标人应在政采云平台（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14</w:t>
      </w:r>
      <w:r>
        <w:rPr>
          <w:rFonts w:hint="eastAsia" w:ascii="宋体" w:hAnsi="宋体" w:cs="宋体"/>
          <w:color w:val="auto"/>
          <w:sz w:val="24"/>
          <w:u w:val="single"/>
        </w:rPr>
        <w:t>日1</w:t>
      </w:r>
      <w:r>
        <w:rPr>
          <w:rFonts w:hint="eastAsia" w:ascii="宋体" w:hAnsi="宋体" w:cs="宋体"/>
          <w:color w:val="auto"/>
          <w:sz w:val="24"/>
          <w:u w:val="single"/>
          <w:lang w:val="en-US" w:eastAsia="zh-CN"/>
        </w:rPr>
        <w:t>4</w:t>
      </w:r>
      <w:r>
        <w:rPr>
          <w:rFonts w:hint="eastAsia" w:ascii="宋体" w:hAnsi="宋体" w:cs="宋体"/>
          <w:color w:val="auto"/>
          <w:sz w:val="24"/>
          <w:u w:val="single"/>
        </w:rPr>
        <w:t>:</w:t>
      </w:r>
      <w:r>
        <w:rPr>
          <w:rFonts w:hint="eastAsia" w:ascii="宋体" w:hAnsi="宋体" w:cs="宋体"/>
          <w:color w:val="auto"/>
          <w:sz w:val="24"/>
          <w:u w:val="single"/>
          <w:lang w:val="en-US" w:eastAsia="zh-CN"/>
        </w:rPr>
        <w:t>0</w:t>
      </w:r>
      <w:r>
        <w:rPr>
          <w:rFonts w:hint="eastAsia" w:ascii="宋体" w:hAnsi="宋体" w:cs="宋体"/>
          <w:color w:val="auto"/>
          <w:sz w:val="24"/>
          <w:u w:val="single"/>
        </w:rPr>
        <w:t>0（北京时间）</w:t>
      </w:r>
      <w:r>
        <w:rPr>
          <w:rStyle w:val="76"/>
          <w:rFonts w:hint="eastAsia" w:ascii="宋体" w:hAnsi="宋体" w:eastAsia="宋体" w:cs="宋体"/>
          <w:bCs/>
          <w:snapToGrid/>
          <w:color w:val="auto"/>
          <w:kern w:val="2"/>
          <w:sz w:val="24"/>
          <w:szCs w:val="24"/>
        </w:rPr>
        <w:fldChar w:fldCharType="end"/>
      </w:r>
      <w:r>
        <w:rPr>
          <w:rFonts w:hint="eastAsia" w:ascii="宋体" w:hAnsi="宋体" w:cs="宋体"/>
          <w:bCs/>
          <w:color w:val="auto"/>
          <w:sz w:val="24"/>
        </w:rPr>
        <w:t>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w:t>
      </w:r>
      <w:r>
        <w:rPr>
          <w:rFonts w:hint="eastAsia" w:ascii="宋体" w:hAnsi="宋体" w:cs="宋体"/>
          <w:b/>
          <w:color w:val="auto"/>
          <w:sz w:val="24"/>
        </w:rPr>
        <w:t>编号：</w:t>
      </w:r>
      <w:r>
        <w:rPr>
          <w:rFonts w:hint="eastAsia" w:ascii="宋体" w:hAnsi="宋体" w:cs="宋体"/>
          <w:color w:val="auto"/>
          <w:sz w:val="24"/>
          <w:lang w:eastAsia="zh-CN"/>
        </w:rPr>
        <w:t>HCZX-24166</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浙江省立同德医院消化内镜维保采购项目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w:t>
      </w:r>
      <w:r>
        <w:rPr>
          <w:rFonts w:hint="eastAsia" w:ascii="宋体" w:hAnsi="宋体" w:cs="宋体"/>
          <w:b/>
          <w:color w:val="auto"/>
          <w:sz w:val="24"/>
        </w:rPr>
        <w:t>预算金额（元）：</w:t>
      </w:r>
      <w:r>
        <w:rPr>
          <w:rFonts w:hint="eastAsia" w:ascii="宋体" w:hAnsi="宋体" w:cs="宋体"/>
          <w:b w:val="0"/>
          <w:bCs/>
          <w:color w:val="auto"/>
          <w:sz w:val="24"/>
          <w:lang w:val="en-US" w:eastAsia="zh-CN"/>
        </w:rPr>
        <w:t>720000</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eastAsia" w:ascii="宋体" w:hAnsi="宋体" w:cs="宋体"/>
          <w:b w:val="0"/>
          <w:bCs/>
          <w:color w:val="auto"/>
          <w:sz w:val="24"/>
          <w:lang w:val="en-US" w:eastAsia="zh-CN"/>
        </w:rPr>
        <w:t>720000</w:t>
      </w:r>
    </w:p>
    <w:p>
      <w:pPr>
        <w:pStyle w:val="6"/>
        <w:spacing w:line="360" w:lineRule="auto"/>
        <w:ind w:firstLine="480"/>
        <w:rPr>
          <w:rFonts w:hint="eastAsia" w:hAnsi="宋体" w:cs="宋体"/>
          <w:b/>
          <w:color w:val="auto"/>
          <w:sz w:val="24"/>
        </w:rPr>
      </w:pPr>
      <w:r>
        <w:rPr>
          <w:rFonts w:hint="eastAsia" w:hAnsi="宋体" w:cs="宋体"/>
          <w:b/>
          <w:color w:val="auto"/>
          <w:sz w:val="24"/>
        </w:rPr>
        <w:t>采购需求：</w:t>
      </w:r>
    </w:p>
    <w:p>
      <w:pPr>
        <w:spacing w:line="360" w:lineRule="auto"/>
        <w:ind w:left="0" w:leftChars="0" w:firstLine="420" w:firstLineChars="175"/>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标项名称:</w:t>
      </w:r>
      <w:r>
        <w:rPr>
          <w:rFonts w:hint="eastAsia" w:ascii="宋体" w:hAnsi="宋体" w:cs="宋体"/>
          <w:color w:val="auto"/>
          <w:sz w:val="24"/>
          <w:lang w:eastAsia="zh-CN"/>
        </w:rPr>
        <w:t>浙江省立同德医院消化内镜维保采购项目</w:t>
      </w:r>
      <w:r>
        <w:rPr>
          <w:rFonts w:hint="eastAsia" w:ascii="宋体" w:hAnsi="宋体" w:eastAsia="宋体" w:cs="宋体"/>
          <w:b w:val="0"/>
          <w:bCs/>
          <w:color w:val="auto"/>
          <w:kern w:val="2"/>
          <w:sz w:val="24"/>
          <w:szCs w:val="24"/>
          <w:lang w:val="en-US" w:eastAsia="zh-CN" w:bidi="ar-SA"/>
        </w:rPr>
        <w:t> </w:t>
      </w:r>
      <w:r>
        <w:rPr>
          <w:rFonts w:hint="eastAsia" w:ascii="宋体" w:hAnsi="宋体" w:eastAsia="宋体" w:cs="宋体"/>
          <w:b w:val="0"/>
          <w:bCs/>
          <w:color w:val="auto"/>
          <w:kern w:val="2"/>
          <w:sz w:val="24"/>
          <w:szCs w:val="24"/>
          <w:lang w:val="en-US" w:eastAsia="zh-CN" w:bidi="ar-SA"/>
        </w:rPr>
        <w:br w:type="textWrapping"/>
      </w:r>
      <w:r>
        <w:rPr>
          <w:rFonts w:hint="eastAsia" w:ascii="宋体" w:hAnsi="宋体" w:eastAsia="宋体" w:cs="宋体"/>
          <w:b w:val="0"/>
          <w:bCs/>
          <w:color w:val="auto"/>
          <w:kern w:val="2"/>
          <w:sz w:val="24"/>
          <w:szCs w:val="24"/>
          <w:lang w:val="en-US" w:eastAsia="zh-CN" w:bidi="ar-SA"/>
        </w:rPr>
        <w:t xml:space="preserve">  </w:t>
      </w:r>
      <w:r>
        <w:rPr>
          <w:rFonts w:hint="eastAsia" w:ascii="宋体" w:hAnsi="宋体" w:cs="宋体"/>
          <w:b w:val="0"/>
          <w:bCs/>
          <w:color w:val="auto"/>
          <w:kern w:val="2"/>
          <w:sz w:val="24"/>
          <w:szCs w:val="24"/>
          <w:lang w:val="en-US" w:eastAsia="zh-CN" w:bidi="ar-SA"/>
        </w:rPr>
        <w:t xml:space="preserve"> </w:t>
      </w:r>
      <w:r>
        <w:rPr>
          <w:rFonts w:hint="eastAsia" w:ascii="宋体" w:hAnsi="宋体" w:eastAsia="宋体" w:cs="宋体"/>
          <w:b w:val="0"/>
          <w:bCs/>
          <w:color w:val="auto"/>
          <w:kern w:val="2"/>
          <w:sz w:val="24"/>
          <w:szCs w:val="24"/>
          <w:lang w:val="en-US" w:eastAsia="zh-CN" w:bidi="ar-SA"/>
        </w:rPr>
        <w:t>数量：1  </w:t>
      </w:r>
      <w:r>
        <w:rPr>
          <w:rFonts w:hint="eastAsia" w:ascii="宋体" w:hAnsi="宋体" w:eastAsia="宋体" w:cs="宋体"/>
          <w:b w:val="0"/>
          <w:bCs/>
          <w:color w:val="auto"/>
          <w:kern w:val="2"/>
          <w:sz w:val="24"/>
          <w:szCs w:val="24"/>
          <w:lang w:val="en-US" w:eastAsia="zh-CN" w:bidi="ar-SA"/>
        </w:rPr>
        <w:br w:type="textWrapping"/>
      </w:r>
      <w:r>
        <w:rPr>
          <w:rFonts w:hint="eastAsia" w:ascii="宋体" w:hAnsi="宋体" w:eastAsia="宋体" w:cs="宋体"/>
          <w:b w:val="0"/>
          <w:bCs/>
          <w:color w:val="auto"/>
          <w:kern w:val="2"/>
          <w:sz w:val="24"/>
          <w:szCs w:val="24"/>
          <w:lang w:val="en-US" w:eastAsia="zh-CN" w:bidi="ar-SA"/>
        </w:rPr>
        <w:t xml:space="preserve">  </w:t>
      </w:r>
      <w:r>
        <w:rPr>
          <w:rFonts w:hint="eastAsia" w:ascii="宋体" w:hAnsi="宋体" w:cs="宋体"/>
          <w:b w:val="0"/>
          <w:bCs/>
          <w:color w:val="auto"/>
          <w:kern w:val="2"/>
          <w:sz w:val="24"/>
          <w:szCs w:val="24"/>
          <w:lang w:val="en-US" w:eastAsia="zh-CN" w:bidi="ar-SA"/>
        </w:rPr>
        <w:t xml:space="preserve"> </w:t>
      </w:r>
      <w:r>
        <w:rPr>
          <w:rFonts w:hint="eastAsia" w:ascii="宋体" w:hAnsi="宋体" w:eastAsia="宋体" w:cs="宋体"/>
          <w:b w:val="0"/>
          <w:bCs/>
          <w:color w:val="auto"/>
          <w:kern w:val="2"/>
          <w:sz w:val="24"/>
          <w:szCs w:val="24"/>
          <w:lang w:val="en-US" w:eastAsia="zh-CN" w:bidi="ar-SA"/>
        </w:rPr>
        <w:t>预算金额（元）</w:t>
      </w:r>
      <w:r>
        <w:rPr>
          <w:rFonts w:hint="eastAsia" w:ascii="宋体" w:hAnsi="宋体" w:cs="宋体"/>
          <w:b w:val="0"/>
          <w:bCs/>
          <w:color w:val="auto"/>
          <w:kern w:val="2"/>
          <w:sz w:val="24"/>
          <w:szCs w:val="24"/>
          <w:lang w:val="en-US" w:eastAsia="zh-CN" w:bidi="ar-SA"/>
        </w:rPr>
        <w:t>：</w:t>
      </w:r>
      <w:r>
        <w:rPr>
          <w:rFonts w:hint="eastAsia" w:ascii="宋体" w:hAnsi="宋体" w:cs="宋体"/>
          <w:b w:val="0"/>
          <w:bCs/>
          <w:color w:val="auto"/>
          <w:sz w:val="24"/>
          <w:lang w:val="en-US" w:eastAsia="zh-CN"/>
        </w:rPr>
        <w:t>720000</w:t>
      </w:r>
      <w:r>
        <w:rPr>
          <w:rFonts w:hint="eastAsia" w:ascii="宋体" w:hAnsi="宋体" w:eastAsia="宋体" w:cs="宋体"/>
          <w:b w:val="0"/>
          <w:bCs/>
          <w:color w:val="auto"/>
          <w:kern w:val="2"/>
          <w:sz w:val="24"/>
          <w:szCs w:val="24"/>
          <w:lang w:val="en-US" w:eastAsia="zh-CN" w:bidi="ar-SA"/>
        </w:rPr>
        <w:br w:type="textWrapping"/>
      </w:r>
      <w:r>
        <w:rPr>
          <w:rFonts w:hint="eastAsia" w:ascii="宋体" w:hAnsi="宋体" w:eastAsia="宋体" w:cs="宋体"/>
          <w:b w:val="0"/>
          <w:bCs/>
          <w:color w:val="auto"/>
          <w:kern w:val="2"/>
          <w:sz w:val="24"/>
          <w:szCs w:val="24"/>
          <w:lang w:val="en-US" w:eastAsia="zh-CN" w:bidi="ar-SA"/>
        </w:rPr>
        <w:t xml:space="preserve">  </w:t>
      </w:r>
      <w:r>
        <w:rPr>
          <w:rFonts w:hint="eastAsia" w:ascii="宋体" w:hAnsi="宋体" w:cs="宋体"/>
          <w:b w:val="0"/>
          <w:bCs/>
          <w:color w:val="auto"/>
          <w:kern w:val="2"/>
          <w:sz w:val="24"/>
          <w:szCs w:val="24"/>
          <w:lang w:val="en-US" w:eastAsia="zh-CN" w:bidi="ar-SA"/>
        </w:rPr>
        <w:t xml:space="preserve"> </w:t>
      </w:r>
      <w:r>
        <w:rPr>
          <w:rFonts w:hint="eastAsia" w:ascii="宋体" w:hAnsi="宋体" w:eastAsia="宋体" w:cs="宋体"/>
          <w:b w:val="0"/>
          <w:bCs/>
          <w:color w:val="auto"/>
          <w:kern w:val="2"/>
          <w:sz w:val="24"/>
          <w:szCs w:val="24"/>
          <w:lang w:val="en-US" w:eastAsia="zh-CN" w:bidi="ar-SA"/>
        </w:rPr>
        <w:t>单位：项</w:t>
      </w:r>
      <w:r>
        <w:rPr>
          <w:rFonts w:hint="eastAsia" w:ascii="宋体" w:hAnsi="宋体" w:eastAsia="宋体" w:cs="宋体"/>
          <w:b w:val="0"/>
          <w:bCs/>
          <w:color w:val="auto"/>
          <w:kern w:val="2"/>
          <w:sz w:val="24"/>
          <w:szCs w:val="24"/>
          <w:lang w:val="en-US" w:eastAsia="zh-CN" w:bidi="ar-SA"/>
        </w:rPr>
        <w:br w:type="textWrapping"/>
      </w:r>
      <w:r>
        <w:rPr>
          <w:rFonts w:hint="eastAsia" w:ascii="宋体" w:hAnsi="宋体" w:eastAsia="宋体" w:cs="宋体"/>
          <w:b w:val="0"/>
          <w:bCs/>
          <w:color w:val="auto"/>
          <w:kern w:val="2"/>
          <w:sz w:val="24"/>
          <w:szCs w:val="24"/>
          <w:lang w:val="en-US" w:eastAsia="zh-CN" w:bidi="ar-SA"/>
        </w:rPr>
        <w:t> </w:t>
      </w:r>
      <w:r>
        <w:rPr>
          <w:rFonts w:hint="eastAsia" w:ascii="宋体" w:hAnsi="宋体" w:cs="宋体"/>
          <w:b w:val="0"/>
          <w:bCs/>
          <w:color w:val="auto"/>
          <w:kern w:val="2"/>
          <w:sz w:val="24"/>
          <w:szCs w:val="24"/>
          <w:lang w:val="en-US" w:eastAsia="zh-CN" w:bidi="ar-SA"/>
        </w:rPr>
        <w:t xml:space="preserve"> </w:t>
      </w:r>
      <w:r>
        <w:rPr>
          <w:rFonts w:hint="eastAsia" w:ascii="宋体" w:hAnsi="宋体" w:eastAsia="宋体" w:cs="宋体"/>
          <w:b w:val="0"/>
          <w:bCs/>
          <w:color w:val="auto"/>
          <w:kern w:val="2"/>
          <w:sz w:val="24"/>
          <w:szCs w:val="24"/>
          <w:lang w:val="en-US" w:eastAsia="zh-CN" w:bidi="ar-SA"/>
        </w:rPr>
        <w:t xml:space="preserve"> 简要规格描述或项目基本概况介绍、用途：</w:t>
      </w:r>
      <w:r>
        <w:rPr>
          <w:rFonts w:hint="eastAsia" w:hAnsi="宋体" w:cs="宋体"/>
          <w:bCs/>
          <w:snapToGrid/>
          <w:color w:val="auto"/>
          <w:kern w:val="2"/>
          <w:sz w:val="24"/>
          <w:szCs w:val="24"/>
        </w:rPr>
        <w:t xml:space="preserve"> </w:t>
      </w:r>
      <w:r>
        <w:rPr>
          <w:rFonts w:hint="eastAsia" w:hAnsi="宋体" w:cs="宋体"/>
          <w:bCs/>
          <w:snapToGrid/>
          <w:color w:val="auto"/>
          <w:kern w:val="2"/>
          <w:sz w:val="24"/>
          <w:szCs w:val="24"/>
          <w:lang w:eastAsia="zh-CN"/>
        </w:rPr>
        <w:t>浙江省立同德医院消化内镜维保采购项目，</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r>
        <w:rPr>
          <w:rFonts w:hint="eastAsia" w:ascii="宋体" w:hAnsi="宋体" w:eastAsia="宋体" w:cs="宋体"/>
          <w:b w:val="0"/>
          <w:bCs/>
          <w:color w:val="auto"/>
          <w:kern w:val="2"/>
          <w:sz w:val="24"/>
          <w:szCs w:val="24"/>
          <w:lang w:val="en-US" w:eastAsia="zh-CN" w:bidi="ar-SA"/>
        </w:rPr>
        <w:t> </w:t>
      </w:r>
      <w:r>
        <w:rPr>
          <w:rFonts w:hint="eastAsia" w:ascii="宋体" w:hAnsi="宋体" w:eastAsia="宋体" w:cs="宋体"/>
          <w:b w:val="0"/>
          <w:bCs/>
          <w:color w:val="auto"/>
          <w:kern w:val="2"/>
          <w:sz w:val="24"/>
          <w:szCs w:val="24"/>
          <w:lang w:val="en-US" w:eastAsia="zh-CN" w:bidi="ar-SA"/>
        </w:rPr>
        <w:t> </w:t>
      </w:r>
      <w:r>
        <w:rPr>
          <w:rFonts w:hint="eastAsia" w:ascii="宋体" w:hAnsi="宋体" w:eastAsia="宋体" w:cs="宋体"/>
          <w:b w:val="0"/>
          <w:bCs/>
          <w:color w:val="auto"/>
          <w:kern w:val="2"/>
          <w:sz w:val="24"/>
          <w:szCs w:val="24"/>
          <w:lang w:val="en-US" w:eastAsia="zh-CN" w:bidi="ar-SA"/>
        </w:rPr>
        <w:br w:type="textWrapping"/>
      </w:r>
      <w:r>
        <w:rPr>
          <w:rFonts w:hint="eastAsia" w:ascii="宋体" w:hAnsi="宋体" w:eastAsia="宋体" w:cs="宋体"/>
          <w:b w:val="0"/>
          <w:bCs/>
          <w:color w:val="auto"/>
          <w:kern w:val="2"/>
          <w:sz w:val="24"/>
          <w:szCs w:val="24"/>
          <w:lang w:val="en-US" w:eastAsia="zh-CN" w:bidi="ar-SA"/>
        </w:rPr>
        <w:t xml:space="preserve">  </w:t>
      </w:r>
      <w:r>
        <w:rPr>
          <w:rFonts w:hint="eastAsia" w:ascii="宋体" w:hAnsi="宋体" w:eastAsia="宋体" w:cs="宋体"/>
          <w:b/>
          <w:bCs w:val="0"/>
          <w:color w:val="auto"/>
          <w:kern w:val="2"/>
          <w:sz w:val="24"/>
          <w:szCs w:val="24"/>
          <w:lang w:val="en-US" w:eastAsia="zh-CN" w:bidi="ar-SA"/>
        </w:rPr>
        <w:t>备注：</w:t>
      </w:r>
    </w:p>
    <w:p>
      <w:pPr>
        <w:pStyle w:val="5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firstLine="422" w:firstLineChars="175"/>
        <w:textAlignment w:val="auto"/>
        <w:rPr>
          <w:rFonts w:ascii="宋体" w:hAnsi="宋体" w:cs="宋体"/>
          <w:color w:val="auto"/>
        </w:rPr>
      </w:pPr>
      <w:r>
        <w:rPr>
          <w:rFonts w:hint="eastAsia" w:ascii="宋体" w:hAnsi="宋体" w:cs="宋体"/>
          <w:b/>
          <w:color w:val="auto"/>
        </w:rPr>
        <w:t>合同履约期限：</w:t>
      </w:r>
      <w:r>
        <w:rPr>
          <w:rFonts w:hint="eastAsia" w:cs="宋体"/>
          <w:b w:val="0"/>
          <w:bCs/>
          <w:color w:val="auto"/>
          <w:lang w:val="en-US" w:eastAsia="zh-CN"/>
        </w:rPr>
        <w:t>维保期限1年</w:t>
      </w:r>
      <w:r>
        <w:rPr>
          <w:rFonts w:hint="eastAsia" w:ascii="宋体" w:hAnsi="宋体" w:eastAsia="宋体" w:cs="宋体"/>
          <w:b w:val="0"/>
          <w:bCs/>
          <w:color w:val="auto"/>
          <w:kern w:val="2"/>
          <w:sz w:val="24"/>
          <w:szCs w:val="24"/>
          <w:lang w:val="en-US" w:eastAsia="zh-CN" w:bidi="ar-SA"/>
        </w:rPr>
        <w:t>。</w:t>
      </w:r>
      <w:r>
        <w:rPr>
          <w:rFonts w:ascii="宋体" w:hAnsi="宋体" w:cs="宋体"/>
          <w:color w:val="auto"/>
        </w:rPr>
        <w:t xml:space="preserve"> </w:t>
      </w:r>
    </w:p>
    <w:p>
      <w:pPr>
        <w:pStyle w:val="6"/>
        <w:spacing w:line="360" w:lineRule="auto"/>
        <w:ind w:left="0" w:leftChars="0" w:firstLine="420" w:firstLineChars="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.本项目的特定资格要求：无；</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14</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14</w:t>
      </w:r>
      <w:r>
        <w:rPr>
          <w:rFonts w:hint="eastAsia" w:ascii="宋体" w:hAnsi="宋体" w:cs="宋体"/>
          <w:color w:val="auto"/>
          <w:sz w:val="24"/>
          <w:u w:val="single"/>
        </w:rPr>
        <w:t>日1</w:t>
      </w:r>
      <w:r>
        <w:rPr>
          <w:rFonts w:hint="eastAsia" w:ascii="宋体" w:hAnsi="宋体" w:cs="宋体"/>
          <w:color w:val="auto"/>
          <w:sz w:val="24"/>
          <w:u w:val="single"/>
          <w:lang w:val="en-US" w:eastAsia="zh-CN"/>
        </w:rPr>
        <w:t>4</w:t>
      </w:r>
      <w:r>
        <w:rPr>
          <w:rFonts w:hint="eastAsia" w:ascii="宋体" w:hAnsi="宋体" w:cs="宋体"/>
          <w:color w:val="auto"/>
          <w:sz w:val="24"/>
          <w:u w:val="single"/>
        </w:rPr>
        <w:t>:</w:t>
      </w:r>
      <w:r>
        <w:rPr>
          <w:rFonts w:hint="eastAsia" w:ascii="宋体" w:hAnsi="宋体" w:cs="宋体"/>
          <w:color w:val="auto"/>
          <w:sz w:val="24"/>
          <w:u w:val="single"/>
          <w:lang w:val="en-US" w:eastAsia="zh-CN"/>
        </w:rPr>
        <w:t>0</w:t>
      </w:r>
      <w:r>
        <w:rPr>
          <w:rFonts w:hint="eastAsia" w:ascii="宋体" w:hAnsi="宋体" w:cs="宋体"/>
          <w:color w:val="auto"/>
          <w:sz w:val="24"/>
          <w:u w:val="single"/>
        </w:rPr>
        <w:t>0（北京时间）</w:t>
      </w:r>
    </w:p>
    <w:p>
      <w:pPr>
        <w:spacing w:line="360" w:lineRule="auto"/>
        <w:ind w:firstLine="482" w:firstLineChars="200"/>
        <w:rPr>
          <w:rFonts w:cs="仿宋_GB2312" w:asciiTheme="minorEastAsia" w:hAnsiTheme="minorEastAsia" w:eastAsiaTheme="minorEastAsia"/>
          <w:b/>
          <w:color w:val="auto"/>
          <w:sz w:val="24"/>
        </w:rPr>
      </w:pPr>
      <w:r>
        <w:rPr>
          <w:rFonts w:hint="eastAsia" w:ascii="宋体" w:hAnsi="宋体" w:cs="宋体"/>
          <w:b/>
          <w:color w:val="auto"/>
          <w:sz w:val="24"/>
        </w:rPr>
        <w:t>投标地点（网址）：</w:t>
      </w:r>
      <w:r>
        <w:rPr>
          <w:rFonts w:hint="eastAsia" w:asciiTheme="minorEastAsia" w:hAnsiTheme="minorEastAsia" w:eastAsiaTheme="minorEastAsia"/>
          <w:color w:val="auto"/>
          <w:sz w:val="24"/>
        </w:rPr>
        <w:t>（1）“加密的响应文件”：</w:t>
      </w:r>
      <w:r>
        <w:rPr>
          <w:rFonts w:hint="eastAsia" w:asciiTheme="minorEastAsia" w:hAnsiTheme="minorEastAsia" w:eastAsiaTheme="minorEastAsia"/>
          <w:b/>
          <w:bCs/>
          <w:color w:val="auto"/>
          <w:sz w:val="24"/>
        </w:rPr>
        <w:t>政府采购云平台</w:t>
      </w:r>
      <w:r>
        <w:rPr>
          <w:rFonts w:hint="eastAsia" w:cs="仿宋_GB2312" w:asciiTheme="minorEastAsia" w:hAnsiTheme="minorEastAsia" w:eastAsiaTheme="minorEastAsia"/>
          <w:b/>
          <w:color w:val="auto"/>
          <w:sz w:val="24"/>
        </w:rPr>
        <w:t>（</w:t>
      </w:r>
      <w:r>
        <w:rPr>
          <w:color w:val="auto"/>
        </w:rPr>
        <w:fldChar w:fldCharType="begin"/>
      </w:r>
      <w:r>
        <w:rPr>
          <w:color w:val="auto"/>
        </w:rPr>
        <w:instrText xml:space="preserve"> HYPERLINK "https://www.zcygov.cn/" </w:instrText>
      </w:r>
      <w:r>
        <w:rPr>
          <w:color w:val="auto"/>
        </w:rPr>
        <w:fldChar w:fldCharType="separate"/>
      </w:r>
      <w:r>
        <w:rPr>
          <w:rStyle w:val="76"/>
          <w:rFonts w:hint="eastAsia" w:cs="仿宋_GB2312" w:asciiTheme="minorEastAsia" w:hAnsiTheme="minorEastAsia" w:eastAsiaTheme="minorEastAsia"/>
          <w:b/>
          <w:color w:val="auto"/>
          <w:sz w:val="24"/>
        </w:rPr>
        <w:t>https://www.zcygov.cn/</w:t>
      </w:r>
      <w:r>
        <w:rPr>
          <w:rStyle w:val="76"/>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color w:val="auto"/>
          <w:sz w:val="24"/>
        </w:rPr>
        <w:t>）</w:t>
      </w:r>
      <w:r>
        <w:rPr>
          <w:rFonts w:hint="eastAsia" w:asciiTheme="minorEastAsia" w:hAnsiTheme="minorEastAsia" w:eastAsiaTheme="minorEastAsia"/>
          <w:color w:val="auto"/>
          <w:sz w:val="24"/>
        </w:rPr>
        <w:t>在线递交；（2）“备份响应文件”：杭州市拱墅区彩云路105号锦盛大楼8楼会议室。</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14</w:t>
      </w:r>
      <w:r>
        <w:rPr>
          <w:rFonts w:hint="eastAsia" w:ascii="宋体" w:hAnsi="宋体" w:cs="宋体"/>
          <w:color w:val="auto"/>
          <w:sz w:val="24"/>
          <w:u w:val="single"/>
        </w:rPr>
        <w:t>日1</w:t>
      </w:r>
      <w:r>
        <w:rPr>
          <w:rFonts w:hint="eastAsia" w:ascii="宋体" w:hAnsi="宋体" w:cs="宋体"/>
          <w:color w:val="auto"/>
          <w:sz w:val="24"/>
          <w:u w:val="single"/>
          <w:lang w:val="en-US" w:eastAsia="zh-CN"/>
        </w:rPr>
        <w:t>4</w:t>
      </w:r>
      <w:r>
        <w:rPr>
          <w:rFonts w:hint="eastAsia" w:ascii="宋体" w:hAnsi="宋体" w:cs="宋体"/>
          <w:color w:val="auto"/>
          <w:sz w:val="24"/>
          <w:u w:val="single"/>
        </w:rPr>
        <w:t>:</w:t>
      </w:r>
      <w:r>
        <w:rPr>
          <w:rFonts w:hint="eastAsia" w:ascii="宋体" w:hAnsi="宋体" w:cs="宋体"/>
          <w:color w:val="auto"/>
          <w:sz w:val="24"/>
          <w:u w:val="single"/>
          <w:lang w:val="en-US" w:eastAsia="zh-CN"/>
        </w:rPr>
        <w:t>0</w:t>
      </w:r>
      <w:r>
        <w:rPr>
          <w:rFonts w:hint="eastAsia" w:ascii="宋体" w:hAnsi="宋体" w:cs="宋体"/>
          <w:color w:val="auto"/>
          <w:sz w:val="24"/>
          <w:u w:val="single"/>
        </w:rPr>
        <w:t>0（北京时间）</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b w:val="0"/>
          <w:bCs/>
          <w:color w:val="auto"/>
          <w:sz w:val="24"/>
        </w:rPr>
        <w:t>杭州市拱墅区彩云路105号锦盛大楼</w:t>
      </w:r>
      <w:r>
        <w:rPr>
          <w:rFonts w:hint="eastAsia" w:ascii="宋体" w:hAnsi="宋体" w:cs="宋体"/>
          <w:b w:val="0"/>
          <w:bCs/>
          <w:color w:val="auto"/>
          <w:sz w:val="24"/>
          <w:lang w:val="en-US" w:eastAsia="zh-CN"/>
        </w:rPr>
        <w:t>8</w:t>
      </w:r>
      <w:r>
        <w:rPr>
          <w:rFonts w:hint="eastAsia" w:ascii="宋体" w:hAnsi="宋体" w:cs="宋体"/>
          <w:b w:val="0"/>
          <w:bCs/>
          <w:color w:val="auto"/>
          <w:sz w:val="24"/>
        </w:rPr>
        <w:t>楼会议室，政</w:t>
      </w:r>
      <w:r>
        <w:rPr>
          <w:rFonts w:hint="eastAsia" w:ascii="宋体" w:hAnsi="宋体" w:cs="宋体"/>
          <w:color w:val="auto"/>
          <w:sz w:val="24"/>
        </w:rPr>
        <w:t>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lang w:eastAsia="zh-CN"/>
        </w:rPr>
        <w:t>采购代理机构</w:t>
      </w:r>
      <w:r>
        <w:rPr>
          <w:rFonts w:hint="eastAsia" w:ascii="宋体" w:hAnsi="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t xml:space="preserve">  名    称：</w:t>
      </w:r>
      <w:r>
        <w:rPr>
          <w:rFonts w:hint="eastAsia" w:ascii="宋体" w:hAnsi="宋体" w:cs="宋体"/>
          <w:color w:val="auto"/>
          <w:sz w:val="24"/>
          <w:lang w:eastAsia="zh-CN"/>
        </w:rPr>
        <w:t>浙江省立同德医院（浙江省中医药研究院）</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rPr>
        <w:t>杭州市西湖区古翠路234号</w:t>
      </w:r>
      <w:r>
        <w:rPr>
          <w:rFonts w:hint="eastAsia" w:ascii="宋体" w:hAnsi="宋体" w:cs="宋体"/>
          <w:color w:val="auto"/>
          <w:sz w:val="24"/>
        </w:rPr>
        <w:t xml:space="preserve">  </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w:t>
      </w:r>
    </w:p>
    <w:p>
      <w:pPr>
        <w:spacing w:line="360" w:lineRule="auto"/>
        <w:ind w:firstLine="480"/>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color w:val="auto"/>
          <w:sz w:val="24"/>
          <w:lang w:val="en-US" w:eastAsia="zh-CN"/>
        </w:rPr>
        <w:t>傅主任</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t xml:space="preserve"> 项目联系方式（询问）：</w:t>
      </w:r>
      <w:r>
        <w:rPr>
          <w:rFonts w:hint="eastAsia" w:ascii="宋体" w:hAnsi="宋体" w:cs="宋体"/>
          <w:color w:val="auto"/>
          <w:sz w:val="24"/>
        </w:rPr>
        <w:t>0571-89972073</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胡主任</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rPr>
        <w:t>0571-89972080</w:t>
      </w:r>
      <w:r>
        <w:rPr>
          <w:rFonts w:hint="eastAsia" w:ascii="宋体" w:hAnsi="宋体" w:cs="宋体"/>
          <w:color w:val="auto"/>
          <w:sz w:val="24"/>
          <w:lang w:val="en-US" w:eastAsia="zh-CN"/>
        </w:rPr>
        <w:t xml:space="preserve"> （请通过以下路径在线提起质疑：政采云-项目采购-询问质疑投诉-质疑列表）</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华诚工程咨询集团有限公司</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Theme="minorEastAsia" w:hAnsiTheme="minorEastAsia" w:eastAsiaTheme="minorEastAsia"/>
          <w:color w:val="auto"/>
          <w:sz w:val="24"/>
        </w:rPr>
        <w:t>杭州市拱墅区彩云路105号锦盛大楼8楼</w:t>
      </w:r>
      <w:r>
        <w:rPr>
          <w:rFonts w:asciiTheme="minorEastAsia" w:hAnsiTheme="minorEastAsia" w:eastAsiaTheme="minorEastAsia"/>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传    真：</w:t>
      </w:r>
      <w:r>
        <w:rPr>
          <w:rFonts w:hint="eastAsia" w:ascii="宋体" w:hAnsi="宋体" w:cs="宋体"/>
          <w:color w:val="auto"/>
          <w:sz w:val="24"/>
          <w:lang w:val="en-US" w:eastAsia="zh-CN"/>
        </w:rPr>
        <w:t>/</w:t>
      </w:r>
      <w:r>
        <w:rPr>
          <w:rFonts w:hint="eastAsia" w:ascii="宋体" w:hAnsi="宋体" w:cs="宋体"/>
          <w:color w:val="auto"/>
          <w:sz w:val="24"/>
        </w:rPr>
        <w:t xml:space="preserve"> </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项目联系人（询问）：</w:t>
      </w:r>
      <w:r>
        <w:rPr>
          <w:rFonts w:hint="eastAsia" w:ascii="宋体" w:hAnsi="宋体" w:cs="宋体"/>
          <w:color w:val="auto"/>
          <w:sz w:val="24"/>
          <w:lang w:val="en-US" w:eastAsia="zh-CN"/>
        </w:rPr>
        <w:t>叶秀华、楼国栋</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0571-88390503、0571-85179364</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color w:val="auto"/>
          <w:sz w:val="24"/>
          <w:lang w:val="en-US" w:eastAsia="zh-CN"/>
        </w:rPr>
        <w:t>金册玲</w:t>
      </w:r>
      <w:r>
        <w:rPr>
          <w:rFonts w:hint="eastAsia" w:ascii="宋体" w:hAnsi="宋体" w:cs="宋体"/>
          <w:color w:val="auto"/>
          <w:sz w:val="24"/>
        </w:rPr>
        <w:t xml:space="preserve">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0571-88399280（请通过以下路径在线提起质疑：政采云-项目采购-询问质疑投诉-质疑列表）</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该项目由采购人处理采购争议。质疑环节，采购人委托采购代理机构处理的，可由采购代理机构答复。对质疑答复不满意的，向采购人内部设置的采购监督机构反映。</w:t>
      </w:r>
    </w:p>
    <w:p>
      <w:pPr>
        <w:spacing w:line="360" w:lineRule="auto"/>
        <w:ind w:firstLine="480"/>
        <w:rPr>
          <w:rFonts w:ascii="宋体" w:hAnsi="宋体" w:cs="宋体"/>
          <w:color w:val="auto"/>
          <w:sz w:val="24"/>
        </w:rPr>
      </w:pPr>
      <w:r>
        <w:rPr>
          <w:rFonts w:hint="eastAsia" w:ascii="宋体" w:hAnsi="宋体" w:cs="宋体"/>
          <w:color w:val="auto"/>
          <w:sz w:val="24"/>
        </w:rPr>
        <w:t xml:space="preserve">政策咨询：何一平、冯华，0571-87058424、87055741    </w:t>
      </w:r>
    </w:p>
    <w:p>
      <w:pPr>
        <w:spacing w:line="360" w:lineRule="auto"/>
        <w:ind w:firstLine="480"/>
        <w:rPr>
          <w:rFonts w:hint="eastAsia" w:ascii="宋体" w:hAnsi="宋体" w:cs="宋体"/>
          <w:color w:val="auto"/>
          <w:sz w:val="24"/>
        </w:rPr>
      </w:pPr>
      <w:r>
        <w:rPr>
          <w:rFonts w:hint="eastAsia" w:asciiTheme="minorEastAsia" w:hAnsiTheme="minorEastAsia" w:eastAsiaTheme="minorEastAsia"/>
          <w:color w:val="auto"/>
          <w:sz w:val="24"/>
        </w:rPr>
        <w:t>预算金额未达100万元的采购项目，由采购人处理采购争议。</w:t>
      </w:r>
      <w:r>
        <w:rPr>
          <w:rFonts w:hint="eastAsia" w:ascii="宋体" w:hAnsi="宋体" w:cs="宋体"/>
          <w:color w:val="auto"/>
          <w:sz w:val="24"/>
        </w:rPr>
        <w:t xml:space="preserve">  </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pStyle w:val="3"/>
        <w:keepNext/>
        <w:keepLines/>
        <w:pageBreakBefore w:val="0"/>
        <w:widowControl w:val="0"/>
        <w:kinsoku/>
        <w:wordWrap/>
        <w:overflowPunct/>
        <w:topLinePunct w:val="0"/>
        <w:autoSpaceDE/>
        <w:autoSpaceDN/>
        <w:bidi w:val="0"/>
        <w:adjustRightInd w:val="0"/>
        <w:snapToGrid w:val="0"/>
        <w:spacing w:before="0" w:after="0" w:line="360" w:lineRule="auto"/>
        <w:ind w:left="0" w:firstLine="0"/>
        <w:jc w:val="center"/>
        <w:textAlignment w:val="auto"/>
        <w:rPr>
          <w:rFonts w:hint="eastAsia" w:ascii="Times New Roman" w:hAnsi="Times New Roman" w:eastAsia="宋体" w:cs="Times New Roman"/>
          <w:color w:val="auto"/>
          <w:sz w:val="30"/>
          <w:szCs w:val="30"/>
        </w:rPr>
      </w:pPr>
      <w:bookmarkStart w:id="11" w:name="_Toc6846"/>
      <w:r>
        <w:rPr>
          <w:rFonts w:hint="eastAsia" w:ascii="Times New Roman" w:hAnsi="Times New Roman" w:eastAsia="宋体" w:cs="Times New Roman"/>
          <w:color w:val="auto"/>
          <w:sz w:val="30"/>
          <w:szCs w:val="30"/>
        </w:rPr>
        <w:t>第二部分</w:t>
      </w:r>
      <w:bookmarkEnd w:id="8"/>
      <w:r>
        <w:rPr>
          <w:rFonts w:hint="eastAsia" w:ascii="Times New Roman" w:hAnsi="Times New Roman" w:eastAsia="宋体" w:cs="Times New Roman"/>
          <w:color w:val="auto"/>
          <w:sz w:val="30"/>
          <w:szCs w:val="30"/>
        </w:rPr>
        <w:t xml:space="preserve"> 投标人须知</w:t>
      </w:r>
      <w:bookmarkEnd w:id="9"/>
      <w:bookmarkEnd w:id="11"/>
    </w:p>
    <w:p>
      <w:pPr>
        <w:pStyle w:val="3"/>
        <w:keepNext/>
        <w:keepLines/>
        <w:pageBreakBefore w:val="0"/>
        <w:widowControl w:val="0"/>
        <w:kinsoku/>
        <w:wordWrap/>
        <w:overflowPunct/>
        <w:topLinePunct w:val="0"/>
        <w:autoSpaceDE/>
        <w:autoSpaceDN/>
        <w:bidi w:val="0"/>
        <w:adjustRightInd w:val="0"/>
        <w:snapToGrid w:val="0"/>
        <w:spacing w:before="0" w:after="0" w:line="360" w:lineRule="auto"/>
        <w:ind w:left="0" w:firstLine="0"/>
        <w:jc w:val="center"/>
        <w:textAlignment w:val="auto"/>
        <w:rPr>
          <w:rFonts w:hint="eastAsia" w:ascii="Times New Roman" w:hAnsi="Times New Roman" w:eastAsia="宋体" w:cs="Times New Roman"/>
          <w:color w:val="auto"/>
          <w:sz w:val="28"/>
          <w:szCs w:val="28"/>
        </w:rPr>
      </w:pPr>
      <w:bookmarkStart w:id="12" w:name="_Toc14957"/>
      <w:r>
        <w:rPr>
          <w:rFonts w:hint="eastAsia" w:ascii="Times New Roman" w:hAnsi="Times New Roman" w:eastAsia="宋体" w:cs="Times New Roman"/>
          <w:color w:val="auto"/>
          <w:sz w:val="28"/>
          <w:szCs w:val="28"/>
        </w:rPr>
        <w:t>前附表</w:t>
      </w:r>
      <w:bookmarkEnd w:id="12"/>
    </w:p>
    <w:tbl>
      <w:tblPr>
        <w:tblStyle w:val="62"/>
        <w:tblW w:w="940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22"/>
        <w:gridCol w:w="72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序号</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事项</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1</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项目属性</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2</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color w:val="auto"/>
                <w:lang w:val="en-US" w:eastAsia="zh-CN"/>
              </w:rPr>
            </w:pPr>
            <w:r>
              <w:rPr>
                <w:rFonts w:hint="eastAsia" w:ascii="宋体" w:hAnsi="宋体" w:cs="宋体"/>
                <w:color w:val="auto"/>
                <w:kern w:val="0"/>
                <w:sz w:val="24"/>
              </w:rPr>
              <w:t>（1）标的：</w:t>
            </w:r>
            <w:r>
              <w:rPr>
                <w:rFonts w:hint="eastAsia" w:ascii="宋体" w:hAnsi="宋体" w:cs="宋体"/>
                <w:color w:val="auto"/>
                <w:kern w:val="0"/>
                <w:sz w:val="24"/>
                <w:u w:val="single"/>
                <w:lang w:val="en-US" w:eastAsia="zh-CN"/>
              </w:rPr>
              <w:t>浙江省立同德医院消化内镜维保采购项目</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其他未列明行业</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3</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4</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jc w:val="both"/>
              <w:rPr>
                <w:rFonts w:ascii="宋体" w:hAnsi="宋体" w:cs="宋体"/>
                <w:b/>
                <w:color w:val="auto"/>
                <w:sz w:val="24"/>
              </w:rPr>
            </w:pPr>
            <w:r>
              <w:rPr>
                <w:rFonts w:hint="eastAsia" w:ascii="宋体" w:hAnsi="宋体" w:cs="宋体"/>
                <w:b/>
                <w:color w:val="auto"/>
                <w:sz w:val="24"/>
              </w:rPr>
              <w:t>分包</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w:t>
            </w:r>
            <w:r>
              <w:rPr>
                <w:rFonts w:hint="eastAsia" w:ascii="宋体" w:hAnsi="宋体" w:cs="宋体"/>
                <w:color w:val="auto"/>
                <w:sz w:val="24"/>
              </w:rPr>
              <w:t>体、非关键性的工作分包。</w:t>
            </w: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5</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6</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样品提供</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：详见</w:t>
            </w:r>
            <w:r>
              <w:rPr>
                <w:rFonts w:hint="eastAsia" w:ascii="宋体" w:hAnsi="宋体" w:cs="宋体"/>
                <w:color w:val="auto"/>
                <w:sz w:val="24"/>
                <w:u w:val="single"/>
              </w:rPr>
              <w:t>评标办法</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color w:val="auto"/>
                <w:sz w:val="24"/>
              </w:rPr>
              <w:t xml:space="preserve"> (6)采购活动结束后，对于未中标人提供的样品，采购人、</w:t>
            </w:r>
            <w:r>
              <w:rPr>
                <w:rFonts w:hint="eastAsia" w:ascii="宋体" w:hAnsi="宋体" w:cs="宋体"/>
                <w:color w:val="auto"/>
                <w:sz w:val="24"/>
                <w:lang w:eastAsia="zh-CN"/>
              </w:rPr>
              <w:t>采购代理机构</w:t>
            </w:r>
            <w:r>
              <w:rPr>
                <w:rFonts w:hint="eastAsia" w:ascii="宋体" w:hAnsi="宋体" w:cs="宋体"/>
                <w:color w:val="auto"/>
                <w:sz w:val="24"/>
              </w:rPr>
              <w:t>将通知未中标人在规定的时间内取回，逾期未取回的，采购人、</w:t>
            </w:r>
            <w:r>
              <w:rPr>
                <w:rFonts w:hint="eastAsia" w:ascii="宋体" w:hAnsi="宋体" w:cs="宋体"/>
                <w:color w:val="auto"/>
                <w:sz w:val="24"/>
                <w:lang w:eastAsia="zh-CN"/>
              </w:rPr>
              <w:t>采购代理机构</w:t>
            </w:r>
            <w:r>
              <w:rPr>
                <w:rFonts w:hint="eastAsia" w:ascii="宋体" w:hAnsi="宋体" w:cs="宋体"/>
                <w:color w:val="auto"/>
                <w:sz w:val="24"/>
              </w:rPr>
              <w:t>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6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7</w:t>
            </w:r>
          </w:p>
        </w:tc>
        <w:tc>
          <w:tcPr>
            <w:tcW w:w="1522"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Cs/>
                <w:color w:val="auto"/>
                <w:sz w:val="24"/>
              </w:rPr>
            </w:pPr>
            <w:r>
              <w:rPr>
                <w:rFonts w:hint="eastAsia" w:ascii="宋体" w:hAnsi="宋体" w:cs="宋体"/>
                <w:b/>
                <w:color w:val="auto"/>
                <w:sz w:val="24"/>
              </w:rPr>
              <w:t>方案讲解演示</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w:t>
            </w:r>
            <w:r>
              <w:rPr>
                <w:rFonts w:hint="eastAsia" w:ascii="宋体" w:hAnsi="宋体" w:cs="宋体"/>
                <w:color w:val="auto"/>
                <w:kern w:val="0"/>
                <w:sz w:val="24"/>
                <w:u w:val="single"/>
              </w:rPr>
              <w:t>20</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分钟，讲解次序以投标文件解密时间先后次序为准，讲解演示人员不超过</w:t>
            </w:r>
            <w:r>
              <w:rPr>
                <w:rFonts w:hint="eastAsia" w:ascii="宋体" w:hAnsi="宋体" w:cs="宋体"/>
                <w:color w:val="auto"/>
                <w:kern w:val="0"/>
                <w:sz w:val="24"/>
                <w:u w:val="single"/>
              </w:rPr>
              <w:t>3</w:t>
            </w:r>
            <w:r>
              <w:rPr>
                <w:rFonts w:hint="eastAsia" w:ascii="宋体" w:hAnsi="宋体" w:cs="宋体"/>
                <w:color w:val="auto"/>
                <w:kern w:val="0"/>
                <w:sz w:val="24"/>
                <w:u w:val="single"/>
                <w:lang w:eastAsia="zh-CN"/>
              </w:rPr>
              <w:t>（</w:t>
            </w:r>
            <w:r>
              <w:rPr>
                <w:rFonts w:hint="eastAsia" w:ascii="宋体" w:hAnsi="宋体" w:cs="宋体"/>
                <w:color w:val="auto"/>
                <w:kern w:val="0"/>
                <w:sz w:val="24"/>
                <w:u w:val="single"/>
                <w:lang w:val="en-US" w:eastAsia="zh-CN"/>
              </w:rPr>
              <w:t>编制时可根据项目情况进行调整</w:t>
            </w:r>
            <w:r>
              <w:rPr>
                <w:rFonts w:hint="eastAsia" w:ascii="宋体" w:hAnsi="宋体" w:cs="宋体"/>
                <w:color w:val="auto"/>
                <w:kern w:val="0"/>
                <w:sz w:val="24"/>
                <w:u w:val="single"/>
                <w:lang w:eastAsia="zh-CN"/>
              </w:rPr>
              <w:t>）</w:t>
            </w:r>
            <w:r>
              <w:rPr>
                <w:rFonts w:hint="eastAsia" w:ascii="宋体" w:hAnsi="宋体" w:cs="宋体"/>
                <w:color w:val="auto"/>
                <w:kern w:val="0"/>
                <w:sz w:val="24"/>
              </w:rPr>
              <w:t>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7"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8</w:t>
            </w:r>
          </w:p>
        </w:tc>
        <w:tc>
          <w:tcPr>
            <w:tcW w:w="1522"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7253"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color w:val="auto"/>
                <w:sz w:val="24"/>
              </w:rPr>
              <w:t>（1）资格证明文件：见招标文件第二部分11.1。</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7"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 w:val="24"/>
              </w:rPr>
            </w:pPr>
          </w:p>
        </w:tc>
        <w:tc>
          <w:tcPr>
            <w:tcW w:w="1522"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p>
        </w:tc>
        <w:tc>
          <w:tcPr>
            <w:tcW w:w="7253"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9</w:t>
            </w:r>
          </w:p>
        </w:tc>
        <w:tc>
          <w:tcPr>
            <w:tcW w:w="1522"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节能产品、环境标志产品</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10</w:t>
            </w:r>
          </w:p>
        </w:tc>
        <w:tc>
          <w:tcPr>
            <w:tcW w:w="1522"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报价要求</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hint="eastAsia" w:ascii="宋体" w:hAnsi="宋体" w:eastAsia="宋体" w:cs="宋体"/>
                <w:b/>
                <w:color w:val="auto"/>
                <w:sz w:val="24"/>
                <w:lang w:eastAsia="zh-CN"/>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lang w:eastAsia="zh-CN"/>
              </w:rPr>
              <w:t>；</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46" w:hRule="atLeast"/>
          <w:tblHeader/>
        </w:trPr>
        <w:tc>
          <w:tcPr>
            <w:tcW w:w="629" w:type="dxa"/>
            <w:tcBorders>
              <w:top w:val="single" w:color="auto" w:sz="4" w:space="0"/>
              <w:left w:val="single" w:color="000000" w:sz="8" w:space="0"/>
              <w:right w:val="single" w:color="000000" w:sz="2"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11</w:t>
            </w:r>
          </w:p>
        </w:tc>
        <w:tc>
          <w:tcPr>
            <w:tcW w:w="1522" w:type="dxa"/>
            <w:tcBorders>
              <w:top w:val="single" w:color="000000" w:sz="8" w:space="0"/>
              <w:left w:val="single" w:color="000000" w:sz="2"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中小企业信用融资</w:t>
            </w:r>
          </w:p>
        </w:tc>
        <w:tc>
          <w:tcPr>
            <w:tcW w:w="725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12</w:t>
            </w:r>
          </w:p>
        </w:tc>
        <w:tc>
          <w:tcPr>
            <w:tcW w:w="1522"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ascii="宋体" w:hAnsi="宋体" w:cs="宋体"/>
                <w:b/>
                <w:color w:val="auto"/>
                <w:sz w:val="24"/>
              </w:rPr>
              <w:t>备份投标文件送达地点和签收人员</w:t>
            </w:r>
          </w:p>
        </w:tc>
        <w:tc>
          <w:tcPr>
            <w:tcW w:w="7253"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adjustRightInd w:val="0"/>
              <w:spacing w:line="288" w:lineRule="auto"/>
              <w:jc w:val="both"/>
              <w:textAlignment w:val="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 杭州市拱墅区彩云路105号锦盛大楼8楼</w:t>
            </w:r>
            <w:r>
              <w:rPr>
                <w:rFonts w:hint="eastAsia" w:hAnsi="宋体" w:cs="宋体"/>
                <w:color w:val="auto"/>
                <w:kern w:val="28"/>
                <w:sz w:val="24"/>
                <w:szCs w:val="24"/>
              </w:rPr>
              <w:t>；备份投标文</w:t>
            </w:r>
            <w:r>
              <w:rPr>
                <w:rFonts w:hint="eastAsia" w:hAnsi="宋体" w:cs="宋体"/>
                <w:color w:val="auto"/>
                <w:kern w:val="28"/>
                <w:sz w:val="24"/>
                <w:szCs w:val="24"/>
              </w:rPr>
              <w:t>件签收人员联系电话：</w:t>
            </w:r>
            <w:r>
              <w:rPr>
                <w:rFonts w:hint="eastAsia" w:cs="宋体" w:asciiTheme="minorEastAsia" w:hAnsiTheme="minorEastAsia" w:eastAsiaTheme="minorEastAsia"/>
                <w:color w:val="auto"/>
                <w:sz w:val="24"/>
                <w:u w:val="single"/>
              </w:rPr>
              <w:t xml:space="preserve">叶秀华 13858032754 </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7"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240" w:lineRule="auto"/>
              <w:jc w:val="center"/>
              <w:rPr>
                <w:rFonts w:ascii="宋体" w:hAnsi="宋体" w:cs="宋体"/>
                <w:color w:val="auto"/>
                <w:sz w:val="24"/>
              </w:rPr>
            </w:pPr>
            <w:r>
              <w:rPr>
                <w:rFonts w:hint="eastAsia" w:ascii="宋体" w:hAnsi="宋体" w:cs="宋体"/>
                <w:color w:val="auto"/>
                <w:sz w:val="24"/>
              </w:rPr>
              <w:t>13</w:t>
            </w:r>
          </w:p>
        </w:tc>
        <w:tc>
          <w:tcPr>
            <w:tcW w:w="1522" w:type="dxa"/>
            <w:vMerge w:val="restart"/>
            <w:tcBorders>
              <w:top w:val="single" w:color="000000" w:sz="8" w:space="0"/>
              <w:left w:val="single" w:color="000000" w:sz="2" w:space="0"/>
              <w:right w:val="single" w:color="000000" w:sz="8" w:space="0"/>
            </w:tcBorders>
            <w:vAlign w:val="center"/>
          </w:tcPr>
          <w:p>
            <w:pPr>
              <w:snapToGrid w:val="0"/>
              <w:spacing w:line="24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725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2"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color w:val="auto"/>
                <w:sz w:val="24"/>
              </w:rPr>
            </w:pPr>
          </w:p>
        </w:tc>
        <w:tc>
          <w:tcPr>
            <w:tcW w:w="1522" w:type="dxa"/>
            <w:vMerge w:val="continue"/>
            <w:tcBorders>
              <w:left w:val="single" w:color="000000" w:sz="2" w:space="0"/>
              <w:bottom w:val="single" w:color="auto" w:sz="4" w:space="0"/>
              <w:right w:val="single" w:color="000000" w:sz="8" w:space="0"/>
            </w:tcBorders>
            <w:vAlign w:val="center"/>
          </w:tcPr>
          <w:p>
            <w:pPr>
              <w:snapToGrid w:val="0"/>
              <w:spacing w:line="240" w:lineRule="auto"/>
              <w:jc w:val="center"/>
              <w:rPr>
                <w:rFonts w:ascii="宋体" w:hAnsi="宋体" w:cs="宋体"/>
                <w:b/>
                <w:color w:val="auto"/>
                <w:sz w:val="24"/>
              </w:rPr>
            </w:pPr>
          </w:p>
        </w:tc>
        <w:tc>
          <w:tcPr>
            <w:tcW w:w="7253"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pacing w:line="288" w:lineRule="auto"/>
              <w:jc w:val="both"/>
              <w:textAlignment w:val="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52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cs="宋体" w:asciiTheme="minorEastAsia" w:hAnsiTheme="minorEastAsia" w:eastAsiaTheme="minorEastAsia"/>
                <w:b/>
                <w:color w:val="auto"/>
                <w:sz w:val="24"/>
              </w:rPr>
              <w:t>招标代理服务费</w:t>
            </w:r>
          </w:p>
        </w:tc>
        <w:tc>
          <w:tcPr>
            <w:tcW w:w="725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hint="eastAsia" w:ascii="宋体" w:hAnsi="宋体" w:cs="宋体"/>
                <w:b/>
                <w:color w:val="auto"/>
                <w:sz w:val="24"/>
                <w:szCs w:val="24"/>
              </w:rPr>
            </w:pPr>
            <w:r>
              <w:rPr>
                <w:rFonts w:hint="eastAsia" w:ascii="宋体" w:hAnsi="宋体" w:cs="宋体"/>
                <w:b/>
                <w:color w:val="auto"/>
                <w:sz w:val="24"/>
                <w:szCs w:val="24"/>
              </w:rPr>
              <w:t>中标人在领取中标通知书时，须向采购代理机构支付</w:t>
            </w:r>
            <w:r>
              <w:rPr>
                <w:rFonts w:hint="eastAsia" w:ascii="宋体" w:hAnsi="宋体" w:eastAsia="宋体" w:cs="宋体"/>
                <w:b/>
                <w:color w:val="auto"/>
                <w:kern w:val="2"/>
                <w:sz w:val="24"/>
                <w:szCs w:val="24"/>
                <w:lang w:val="en-US" w:eastAsia="zh-CN" w:bidi="ar-SA"/>
              </w:rPr>
              <w:t>招标</w:t>
            </w:r>
            <w:r>
              <w:rPr>
                <w:rFonts w:hint="eastAsia" w:ascii="宋体" w:hAnsi="宋体" w:cs="宋体"/>
                <w:b/>
                <w:color w:val="auto"/>
                <w:sz w:val="24"/>
                <w:szCs w:val="24"/>
              </w:rPr>
              <w:t>代理服务费，按国家发展计划委员会计价格【2002】1980号文《招标代理服务收费管理办法》、发改办价格[2003]857号文、发改价格【2011】534号文规定收费标准的5</w:t>
            </w:r>
            <w:r>
              <w:rPr>
                <w:rFonts w:hint="eastAsia" w:ascii="宋体" w:hAnsi="宋体" w:cs="宋体"/>
                <w:b/>
                <w:color w:val="auto"/>
                <w:sz w:val="24"/>
                <w:szCs w:val="24"/>
                <w:lang w:val="en-US" w:eastAsia="zh-CN"/>
              </w:rPr>
              <w:t>8</w:t>
            </w:r>
            <w:r>
              <w:rPr>
                <w:rFonts w:hint="eastAsia" w:ascii="宋体" w:hAnsi="宋体" w:cs="宋体"/>
                <w:b/>
                <w:color w:val="auto"/>
                <w:sz w:val="24"/>
                <w:szCs w:val="24"/>
              </w:rPr>
              <w:t>%计取</w:t>
            </w:r>
            <w:r>
              <w:rPr>
                <w:rFonts w:hint="eastAsia" w:ascii="宋体" w:hAnsi="宋体" w:cs="宋体"/>
                <w:b/>
                <w:color w:val="auto"/>
                <w:sz w:val="24"/>
                <w:szCs w:val="24"/>
                <w:lang w:eastAsia="zh-CN"/>
              </w:rPr>
              <w:t>，</w:t>
            </w:r>
            <w:r>
              <w:rPr>
                <w:rFonts w:hint="eastAsia" w:ascii="宋体" w:hAnsi="宋体" w:cs="宋体"/>
                <w:b/>
                <w:color w:val="auto"/>
                <w:sz w:val="24"/>
                <w:szCs w:val="24"/>
              </w:rPr>
              <w:t>代理费不足</w:t>
            </w:r>
            <w:r>
              <w:rPr>
                <w:rFonts w:hint="eastAsia" w:ascii="宋体" w:hAnsi="宋体" w:cs="宋体"/>
                <w:b/>
                <w:color w:val="auto"/>
                <w:sz w:val="24"/>
                <w:szCs w:val="24"/>
                <w:lang w:val="en-US" w:eastAsia="zh-CN"/>
              </w:rPr>
              <w:t>陆</w:t>
            </w:r>
            <w:r>
              <w:rPr>
                <w:rFonts w:hint="eastAsia" w:ascii="宋体" w:hAnsi="宋体" w:cs="宋体"/>
                <w:b/>
                <w:color w:val="auto"/>
                <w:sz w:val="24"/>
                <w:szCs w:val="24"/>
              </w:rPr>
              <w:t>仟元按</w:t>
            </w:r>
            <w:r>
              <w:rPr>
                <w:rFonts w:hint="eastAsia" w:ascii="宋体" w:hAnsi="宋体" w:cs="宋体"/>
                <w:b/>
                <w:color w:val="auto"/>
                <w:sz w:val="24"/>
                <w:szCs w:val="24"/>
                <w:lang w:val="en-US" w:eastAsia="zh-CN"/>
              </w:rPr>
              <w:t>陆</w:t>
            </w:r>
            <w:r>
              <w:rPr>
                <w:rFonts w:hint="eastAsia" w:ascii="宋体" w:hAnsi="宋体" w:cs="宋体"/>
                <w:b/>
                <w:color w:val="auto"/>
                <w:sz w:val="24"/>
                <w:szCs w:val="24"/>
              </w:rPr>
              <w:t>仟元计取。请投标人报价时给予考虑。</w:t>
            </w:r>
          </w:p>
          <w:p>
            <w:pPr>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rPr>
              <w:t>收取账号</w:t>
            </w:r>
            <w:r>
              <w:rPr>
                <w:rFonts w:hint="eastAsia" w:ascii="宋体" w:hAnsi="宋体" w:cs="宋体"/>
                <w:b/>
                <w:color w:val="auto"/>
                <w:sz w:val="24"/>
                <w:szCs w:val="24"/>
                <w:lang w:val="en-US" w:eastAsia="zh-CN"/>
              </w:rPr>
              <w:t>信息如下：</w:t>
            </w:r>
          </w:p>
          <w:p>
            <w:pPr>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hint="eastAsia" w:ascii="宋体" w:hAnsi="宋体" w:cs="宋体"/>
                <w:b/>
                <w:color w:val="auto"/>
                <w:sz w:val="24"/>
                <w:szCs w:val="24"/>
              </w:rPr>
            </w:pPr>
            <w:r>
              <w:rPr>
                <w:rFonts w:hint="eastAsia" w:ascii="宋体" w:hAnsi="宋体" w:cs="宋体"/>
                <w:b/>
                <w:color w:val="auto"/>
                <w:sz w:val="24"/>
                <w:szCs w:val="24"/>
              </w:rPr>
              <w:t>开户名称：华诚工程咨询集团有限公司</w:t>
            </w:r>
          </w:p>
          <w:p>
            <w:pPr>
              <w:pageBreakBefore w:val="0"/>
              <w:widowControl w:val="0"/>
              <w:kinsoku/>
              <w:wordWrap/>
              <w:overflowPunct/>
              <w:topLinePunct w:val="0"/>
              <w:autoSpaceDE/>
              <w:autoSpaceDN/>
              <w:bidi w:val="0"/>
              <w:adjustRightInd w:val="0"/>
              <w:snapToGrid w:val="0"/>
              <w:spacing w:line="240" w:lineRule="auto"/>
              <w:ind w:left="0" w:firstLine="0" w:firstLineChars="0"/>
              <w:jc w:val="left"/>
              <w:textAlignment w:val="auto"/>
              <w:rPr>
                <w:rFonts w:hint="eastAsia" w:ascii="宋体" w:hAnsi="宋体" w:cs="宋体"/>
                <w:b/>
                <w:color w:val="auto"/>
                <w:sz w:val="24"/>
                <w:szCs w:val="24"/>
              </w:rPr>
            </w:pPr>
            <w:r>
              <w:rPr>
                <w:rFonts w:hint="eastAsia" w:ascii="宋体" w:hAnsi="宋体" w:cs="宋体"/>
                <w:b/>
                <w:color w:val="auto"/>
                <w:sz w:val="24"/>
                <w:szCs w:val="24"/>
              </w:rPr>
              <w:t>开户银行：上海浦东发展银行股份有限公司杭州和睦支行</w:t>
            </w:r>
          </w:p>
          <w:p>
            <w:pPr>
              <w:keepNext w:val="0"/>
              <w:keepLines w:val="0"/>
              <w:pageBreakBefore w:val="0"/>
              <w:widowControl w:val="0"/>
              <w:kinsoku/>
              <w:wordWrap/>
              <w:overflowPunct/>
              <w:topLinePunct w:val="0"/>
              <w:autoSpaceDE/>
              <w:autoSpaceDN/>
              <w:bidi w:val="0"/>
              <w:adjustRightInd w:val="0"/>
              <w:spacing w:line="288" w:lineRule="auto"/>
              <w:jc w:val="left"/>
              <w:textAlignment w:val="auto"/>
              <w:rPr>
                <w:rFonts w:hint="eastAsia" w:cs="Arial" w:asciiTheme="minorEastAsia" w:hAnsiTheme="minorEastAsia" w:eastAsiaTheme="minorEastAsia"/>
                <w:color w:val="auto"/>
                <w:kern w:val="0"/>
                <w:sz w:val="24"/>
              </w:rPr>
            </w:pPr>
            <w:r>
              <w:rPr>
                <w:rFonts w:hint="eastAsia" w:ascii="宋体" w:hAnsi="宋体" w:cs="宋体"/>
                <w:b/>
                <w:color w:val="auto"/>
                <w:sz w:val="24"/>
                <w:szCs w:val="24"/>
              </w:rPr>
              <w:t xml:space="preserve">账    号：95220078801100000315 </w:t>
            </w:r>
          </w:p>
        </w:tc>
      </w:tr>
    </w:tbl>
    <w:p>
      <w:pPr>
        <w:snapToGrid w:val="0"/>
        <w:spacing w:line="360" w:lineRule="auto"/>
        <w:jc w:val="center"/>
        <w:rPr>
          <w:rFonts w:ascii="宋体" w:hAnsi="宋体" w:cs="宋体"/>
          <w:b/>
          <w:color w:val="auto"/>
          <w:sz w:val="32"/>
          <w:szCs w:val="20"/>
        </w:rPr>
      </w:pPr>
    </w:p>
    <w:bookmarkEnd w:id="10"/>
    <w:p>
      <w:pPr>
        <w:rPr>
          <w:rFonts w:hint="eastAsia" w:ascii="宋体" w:hAnsi="宋体" w:cs="宋体"/>
          <w:b/>
          <w:color w:val="auto"/>
          <w:sz w:val="32"/>
          <w:szCs w:val="20"/>
        </w:rPr>
      </w:pPr>
      <w:bookmarkStart w:id="13" w:name="第三部分"/>
      <w:bookmarkStart w:id="14" w:name="_Toc164416483"/>
      <w:r>
        <w:rPr>
          <w:rFonts w:hint="eastAsia" w:ascii="宋体" w:hAnsi="宋体" w:cs="宋体"/>
          <w:b/>
          <w:color w:val="auto"/>
          <w:sz w:val="32"/>
          <w:szCs w:val="20"/>
        </w:rPr>
        <w:br w:type="page"/>
      </w:r>
    </w:p>
    <w:p>
      <w:pPr>
        <w:adjustRightInd/>
        <w:spacing w:line="360" w:lineRule="auto"/>
        <w:ind w:firstLine="3845" w:firstLineChars="1197"/>
        <w:outlineLvl w:val="0"/>
        <w:rPr>
          <w:rFonts w:ascii="宋体" w:hAnsi="宋体" w:cs="宋体"/>
          <w:b/>
          <w:color w:val="auto"/>
          <w:sz w:val="32"/>
          <w:szCs w:val="20"/>
        </w:rPr>
      </w:pPr>
      <w:bookmarkStart w:id="15" w:name="_Toc32522"/>
      <w:r>
        <w:rPr>
          <w:rFonts w:hint="eastAsia" w:ascii="宋体" w:hAnsi="宋体" w:cs="宋体"/>
          <w:b/>
          <w:color w:val="auto"/>
          <w:sz w:val="32"/>
          <w:szCs w:val="20"/>
        </w:rPr>
        <w:t>一、总则</w:t>
      </w:r>
      <w:bookmarkEnd w:id="15"/>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w:t>
      </w:r>
      <w:bookmarkStart w:id="16" w:name="_Toc29543"/>
      <w:r>
        <w:rPr>
          <w:rFonts w:hint="eastAsia" w:ascii="宋体" w:hAnsi="宋体" w:cs="宋体"/>
          <w:b/>
          <w:color w:val="auto"/>
          <w:sz w:val="24"/>
        </w:rPr>
        <w:t>2.定义</w:t>
      </w:r>
      <w:bookmarkEnd w:id="16"/>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w:t>
      </w:r>
      <w:r>
        <w:rPr>
          <w:rFonts w:hint="eastAsia" w:ascii="宋体" w:hAnsi="宋体" w:cs="宋体"/>
          <w:color w:val="auto"/>
          <w:sz w:val="24"/>
          <w:lang w:eastAsia="zh-CN"/>
        </w:rPr>
        <w:t>采购代理机构</w:t>
      </w:r>
      <w:r>
        <w:rPr>
          <w:rFonts w:hint="eastAsia" w:ascii="宋体" w:hAnsi="宋体" w:cs="宋体"/>
          <w:color w:val="auto"/>
          <w:sz w:val="24"/>
        </w:rPr>
        <w:t>”系指招标公告中载明的本项目的</w:t>
      </w:r>
      <w:r>
        <w:rPr>
          <w:rFonts w:hint="eastAsia" w:ascii="宋体" w:hAnsi="宋体" w:cs="宋体"/>
          <w:color w:val="auto"/>
          <w:sz w:val="24"/>
          <w:lang w:eastAsia="zh-CN"/>
        </w:rPr>
        <w:t>采购代理机构</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w:t>
      </w:r>
      <w:r>
        <w:rPr>
          <w:rFonts w:hint="eastAsia" w:ascii="宋体" w:hAnsi="宋体" w:cs="宋体"/>
          <w:color w:val="auto"/>
          <w:sz w:val="24"/>
          <w:lang w:val="en-US" w:eastAsia="zh-CN"/>
        </w:rPr>
        <w:t>或供应商</w:t>
      </w:r>
      <w:r>
        <w:rPr>
          <w:rFonts w:hint="eastAsia" w:ascii="宋体" w:hAnsi="宋体" w:cs="宋体"/>
          <w:color w:val="auto"/>
          <w:sz w:val="24"/>
        </w:rPr>
        <w:t>”系指是指响应招标、参加投标竞争的法人、其他组织或者自然人。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w:t>
      </w:r>
      <w:r>
        <w:rPr>
          <w:rFonts w:hint="eastAsia" w:ascii="宋体" w:hAnsi="宋体" w:cs="宋体"/>
          <w:color w:val="auto"/>
          <w:sz w:val="24"/>
          <w:lang w:val="en-US" w:eastAsia="zh-CN"/>
        </w:rPr>
        <w:t>系</w:t>
      </w:r>
      <w:r>
        <w:rPr>
          <w:rFonts w:hint="eastAsia" w:ascii="宋体" w:hAnsi="宋体" w:cs="宋体"/>
          <w:color w:val="auto"/>
          <w:sz w:val="24"/>
        </w:rPr>
        <w:t>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lang w:eastAsia="zh-CN"/>
        </w:rPr>
        <w:t>采购代理机构</w:t>
      </w:r>
      <w:r>
        <w:rPr>
          <w:rFonts w:hint="eastAsia" w:ascii="宋体" w:hAnsi="宋体" w:cs="宋体"/>
          <w:color w:val="auto"/>
          <w:sz w:val="24"/>
        </w:rPr>
        <w:t>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w:t>
      </w:r>
      <w:r>
        <w:rPr>
          <w:rFonts w:hint="eastAsia" w:ascii="宋体" w:hAnsi="宋体" w:cs="宋体"/>
          <w:color w:val="auto"/>
          <w:sz w:val="24"/>
        </w:rPr>
        <w:t>品核心技术高于国内领先水平，并具有明晰自主知识产权的“制造精品”产品，自认定之日起2年内视同已具备相应销售业绩，参加政府采购活动时业绩分值为满分。</w:t>
      </w:r>
    </w:p>
    <w:p>
      <w:pPr>
        <w:pStyle w:val="4"/>
        <w:adjustRightInd w:val="0"/>
        <w:ind w:left="0" w:firstLine="480" w:firstLineChars="200"/>
        <w:rPr>
          <w:color w:val="auto"/>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p>
    <w:p>
      <w:pPr>
        <w:spacing w:line="360" w:lineRule="auto"/>
        <w:ind w:firstLine="480" w:firstLineChars="2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w:t>
      </w:r>
      <w:r>
        <w:rPr>
          <w:rFonts w:hint="eastAsia" w:ascii="宋体" w:hAnsi="宋体" w:cs="宋体"/>
          <w:b/>
          <w:bCs w:val="0"/>
          <w:color w:val="auto"/>
          <w:sz w:val="24"/>
        </w:rPr>
        <w:t>投诉</w:t>
      </w:r>
      <w:r>
        <w:rPr>
          <w:rFonts w:hint="eastAsia" w:ascii="宋体" w:hAnsi="宋体" w:cs="仿宋"/>
          <w:b/>
          <w:bCs w:val="0"/>
          <w:color w:val="auto"/>
          <w:sz w:val="24"/>
        </w:rPr>
        <w:t>、补偿救济</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w:t>
      </w:r>
      <w:r>
        <w:rPr>
          <w:rFonts w:hint="eastAsia" w:ascii="宋体" w:hAnsi="宋体" w:cs="宋体"/>
          <w:color w:val="auto"/>
          <w:kern w:val="0"/>
          <w:sz w:val="24"/>
          <w:lang w:val="zh-CN"/>
        </w:rPr>
        <w:t>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lang w:eastAsia="zh-CN"/>
        </w:rPr>
        <w:t>采购代理机构</w:t>
      </w:r>
      <w:r>
        <w:rPr>
          <w:rFonts w:hint="eastAsia" w:hAnsi="宋体" w:cs="宋体"/>
          <w:color w:val="auto"/>
          <w:sz w:val="24"/>
        </w:rPr>
        <w:t>提出质疑，否则，采购人或者</w:t>
      </w:r>
      <w:r>
        <w:rPr>
          <w:rFonts w:hint="eastAsia" w:hAnsi="宋体" w:cs="宋体"/>
          <w:color w:val="auto"/>
          <w:sz w:val="24"/>
          <w:lang w:eastAsia="zh-CN"/>
        </w:rPr>
        <w:t>采购代理机构</w:t>
      </w:r>
      <w:r>
        <w:rPr>
          <w:rFonts w:hint="eastAsia" w:hAnsi="宋体" w:cs="宋体"/>
          <w:color w:val="auto"/>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2"/>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8"/>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8"/>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4.4.1质疑供应商对采购人、</w:t>
      </w:r>
      <w:r>
        <w:rPr>
          <w:rFonts w:hint="eastAsia"/>
          <w:color w:val="auto"/>
          <w:lang w:eastAsia="zh-CN"/>
        </w:rPr>
        <w:t>采购代理机构</w:t>
      </w:r>
      <w:r>
        <w:rPr>
          <w:rFonts w:hint="eastAsia"/>
          <w:color w:val="auto"/>
        </w:rPr>
        <w:t>的答复不满意或者采购人、</w:t>
      </w:r>
      <w:r>
        <w:rPr>
          <w:rFonts w:hint="eastAsia"/>
          <w:color w:val="auto"/>
          <w:lang w:eastAsia="zh-CN"/>
        </w:rPr>
        <w:t>采购代理机构</w:t>
      </w:r>
      <w:r>
        <w:rPr>
          <w:rFonts w:hint="eastAsia"/>
          <w:color w:val="auto"/>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80" w:firstLineChars="200"/>
        <w:contextualSpacing/>
        <w:rPr>
          <w:rFonts w:hint="eastAsia"/>
          <w:color w:val="auto"/>
        </w:rPr>
      </w:pPr>
      <w:r>
        <w:rPr>
          <w:rFonts w:hint="eastAsia"/>
          <w:color w:val="auto"/>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r>
        <w:rPr>
          <w:rFonts w:hint="eastAsia"/>
          <w:color w:val="auto"/>
          <w:highlight w:val="none"/>
        </w:rPr>
        <w:t>。</w:t>
      </w:r>
      <w:r>
        <w:rPr>
          <w:rFonts w:hint="eastAsia"/>
          <w:color w:val="auto"/>
          <w:sz w:val="24"/>
          <w:szCs w:val="24"/>
        </w:rPr>
        <w:t>（</w:t>
      </w:r>
      <w:r>
        <w:rPr>
          <w:rFonts w:hint="eastAsia" w:asciiTheme="minorEastAsia" w:hAnsiTheme="minorEastAsia" w:eastAsiaTheme="minorEastAsia"/>
          <w:color w:val="auto"/>
          <w:sz w:val="24"/>
        </w:rPr>
        <w:t>预算金额未达100万元的采购项目，由采购人处理采购争议。</w:t>
      </w:r>
      <w:r>
        <w:rPr>
          <w:rFonts w:hint="eastAsia"/>
          <w:color w:val="auto"/>
          <w:sz w:val="24"/>
          <w:szCs w:val="24"/>
        </w:rPr>
        <w:t>）</w:t>
      </w:r>
    </w:p>
    <w:p>
      <w:pPr>
        <w:pStyle w:val="888"/>
        <w:shd w:val="clear" w:color="auto" w:fill="FFFFFF"/>
        <w:snapToGrid w:val="0"/>
        <w:spacing w:after="240" w:afterAutospacing="0" w:line="360" w:lineRule="auto"/>
        <w:ind w:firstLine="400"/>
        <w:contextualSpacing/>
        <w:rPr>
          <w:rFonts w:hint="eastAsia" w:ascii="宋体" w:hAnsi="宋体" w:cs="仿宋"/>
          <w:color w:val="auto"/>
          <w:sz w:val="24"/>
        </w:rPr>
      </w:pPr>
      <w:r>
        <w:rPr>
          <w:rFonts w:hint="eastAsia" w:ascii="宋体" w:hAnsi="宋体" w:cs="仿宋"/>
          <w:color w:val="auto"/>
          <w:sz w:val="24"/>
        </w:rPr>
        <w:t>4.5 补偿救济</w:t>
      </w:r>
    </w:p>
    <w:p>
      <w:pPr>
        <w:pStyle w:val="888"/>
        <w:shd w:val="clear" w:color="auto" w:fill="FFFFFF"/>
        <w:snapToGrid w:val="0"/>
        <w:spacing w:after="240" w:afterAutospacing="0" w:line="360" w:lineRule="auto"/>
        <w:ind w:firstLine="400"/>
        <w:contextualSpacing/>
        <w:rPr>
          <w:rFonts w:hint="eastAsia" w:ascii="宋体" w:hAnsi="宋体" w:cs="仿宋"/>
          <w:color w:val="auto"/>
          <w:sz w:val="24"/>
        </w:rPr>
      </w:pPr>
      <w:r>
        <w:rPr>
          <w:rFonts w:hint="eastAsia" w:ascii="宋体" w:hAnsi="宋体" w:cs="仿宋"/>
          <w:color w:val="auto"/>
          <w:sz w:val="24"/>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rFonts w:ascii="宋体" w:hAnsi="宋体" w:cs="宋体"/>
          <w:color w:val="auto"/>
          <w:sz w:val="18"/>
          <w:szCs w:val="18"/>
        </w:rPr>
      </w:pPr>
      <w:r>
        <w:rPr>
          <w:rFonts w:hint="eastAsia"/>
          <w:color w:val="auto"/>
        </w:rPr>
        <w:t>投诉书范本及制作说明详见附件3。</w:t>
      </w: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w:t>
      </w:r>
      <w:bookmarkStart w:id="17" w:name="_Toc2086"/>
      <w:r>
        <w:rPr>
          <w:rFonts w:hint="eastAsia" w:ascii="宋体" w:hAnsi="宋体" w:cs="宋体"/>
          <w:b/>
          <w:color w:val="auto"/>
          <w:sz w:val="32"/>
          <w:szCs w:val="20"/>
        </w:rPr>
        <w:t>二、招标文件的构成、澄清、修改</w:t>
      </w:r>
      <w:bookmarkEnd w:id="17"/>
    </w:p>
    <w:p>
      <w:pPr>
        <w:pStyle w:val="32"/>
        <w:spacing w:line="360" w:lineRule="auto"/>
        <w:rPr>
          <w:rFonts w:hAnsi="宋体" w:cs="宋体"/>
          <w:b/>
          <w:color w:val="auto"/>
          <w:sz w:val="24"/>
          <w:szCs w:val="24"/>
        </w:rPr>
      </w:pPr>
      <w:r>
        <w:rPr>
          <w:rFonts w:hint="eastAsia" w:hAnsi="宋体" w:cs="宋体"/>
          <w:b/>
          <w:color w:val="auto"/>
          <w:sz w:val="24"/>
          <w:szCs w:val="24"/>
        </w:rPr>
        <w:t>5．招标文件的构成</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2"/>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0"/>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w:t>
      </w:r>
      <w:r>
        <w:rPr>
          <w:rFonts w:hint="eastAsia" w:ascii="宋体" w:hAnsi="宋体" w:cs="宋体"/>
          <w:color w:val="auto"/>
          <w:lang w:eastAsia="zh-CN"/>
        </w:rPr>
        <w:t>采购代理机构</w:t>
      </w:r>
      <w:r>
        <w:rPr>
          <w:rFonts w:hint="eastAsia" w:ascii="宋体" w:hAnsi="宋体" w:cs="宋体"/>
          <w:color w:val="auto"/>
        </w:rPr>
        <w:t>提出。</w:t>
      </w:r>
    </w:p>
    <w:p>
      <w:pPr>
        <w:pStyle w:val="130"/>
        <w:snapToGrid w:val="0"/>
        <w:spacing w:before="0"/>
        <w:ind w:firstLine="480"/>
        <w:rPr>
          <w:rFonts w:ascii="宋体" w:hAnsi="宋体" w:cs="宋体"/>
          <w:color w:val="auto"/>
        </w:rPr>
      </w:pPr>
      <w:r>
        <w:rPr>
          <w:rFonts w:hint="eastAsia" w:ascii="宋体" w:hAnsi="宋体" w:cs="宋体"/>
          <w:color w:val="auto"/>
        </w:rPr>
        <w:t xml:space="preserve">6.2 </w:t>
      </w:r>
      <w:r>
        <w:rPr>
          <w:rFonts w:hint="eastAsia" w:ascii="宋体" w:hAnsi="宋体" w:cs="宋体"/>
          <w:color w:val="auto"/>
          <w:lang w:eastAsia="zh-CN"/>
        </w:rPr>
        <w:t>采购代理机构</w:t>
      </w:r>
      <w:r>
        <w:rPr>
          <w:rFonts w:hint="eastAsia" w:ascii="宋体" w:hAnsi="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jc w:val="center"/>
        <w:rPr>
          <w:rFonts w:ascii="宋体" w:hAnsi="宋体" w:cs="宋体"/>
          <w:b/>
          <w:color w:val="auto"/>
          <w:sz w:val="30"/>
          <w:szCs w:val="20"/>
        </w:rPr>
      </w:pPr>
      <w:bookmarkStart w:id="18" w:name="_Toc2838"/>
      <w:r>
        <w:rPr>
          <w:rFonts w:hint="eastAsia" w:ascii="宋体" w:hAnsi="宋体" w:cs="宋体"/>
          <w:b/>
          <w:color w:val="auto"/>
          <w:sz w:val="30"/>
          <w:szCs w:val="20"/>
        </w:rPr>
        <w:t>三、投标</w:t>
      </w:r>
      <w:bookmarkEnd w:id="18"/>
    </w:p>
    <w:p>
      <w:pPr>
        <w:pStyle w:val="32"/>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2"/>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rPr>
      </w:pPr>
      <w:r>
        <w:rPr>
          <w:rFonts w:hint="eastAsia" w:hAnsi="宋体" w:cs="宋体"/>
          <w:b/>
          <w:color w:val="auto"/>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2"/>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hint="eastAsia" w:ascii="宋体" w:hAnsi="宋体" w:eastAsia="宋体" w:cs="宋体"/>
          <w:color w:val="auto"/>
          <w:sz w:val="24"/>
          <w:lang w:eastAsia="zh-CN"/>
        </w:rPr>
      </w:pPr>
      <w:r>
        <w:rPr>
          <w:rFonts w:hint="eastAsia" w:ascii="宋体" w:hAnsi="宋体" w:cs="宋体"/>
          <w:color w:val="auto"/>
          <w:sz w:val="24"/>
        </w:rPr>
        <w:t>11.1.1营业执照(或事业法人登记证或其他工商等登记证明材料)复印件（供应商为自然人的，须提供自然人的身份证明）</w:t>
      </w:r>
      <w:r>
        <w:rPr>
          <w:rFonts w:hint="eastAsia" w:ascii="宋体" w:hAnsi="宋体" w:cs="宋体"/>
          <w:color w:val="auto"/>
          <w:sz w:val="24"/>
          <w:lang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lang w:val="en-US" w:eastAsia="zh-CN"/>
        </w:rPr>
        <w:t>11.1.2</w:t>
      </w:r>
      <w:r>
        <w:rPr>
          <w:rFonts w:hint="eastAsia" w:ascii="宋体" w:hAnsi="宋体" w:cs="宋体"/>
          <w:color w:val="auto"/>
          <w:sz w:val="24"/>
        </w:rPr>
        <w:t>符合</w:t>
      </w:r>
      <w:r>
        <w:rPr>
          <w:rFonts w:hint="eastAsia" w:ascii="宋体" w:hAnsi="宋体" w:cs="宋体"/>
          <w:color w:val="auto"/>
          <w:sz w:val="24"/>
        </w:rPr>
        <w:t>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w:t>
      </w:r>
      <w:r>
        <w:rPr>
          <w:rFonts w:hint="eastAsia" w:ascii="宋体" w:hAnsi="宋体" w:cs="宋体"/>
          <w:color w:val="auto"/>
          <w:sz w:val="24"/>
          <w:lang w:val="en-US" w:eastAsia="zh-CN"/>
        </w:rPr>
        <w:t>3</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hint="eastAsia" w:ascii="宋体" w:hAnsi="宋体" w:cs="宋体"/>
          <w:color w:val="auto"/>
          <w:sz w:val="24"/>
          <w:lang w:val="en-US" w:eastAsia="zh-CN"/>
        </w:rPr>
        <w:t>4</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hint="eastAsia" w:ascii="宋体" w:hAnsi="宋体" w:cs="宋体"/>
          <w:color w:val="auto"/>
          <w:sz w:val="24"/>
          <w:lang w:val="en-US" w:eastAsia="zh-CN"/>
        </w:rPr>
        <w:t>5</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pStyle w:val="4"/>
        <w:adjustRightInd w:val="0"/>
        <w:ind w:left="0" w:firstLine="960" w:firstLineChars="400"/>
        <w:rPr>
          <w:color w:val="auto"/>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lang w:val="en-US" w:eastAsia="zh-CN"/>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hint="eastAsia"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0" w:firstLineChars="300"/>
        <w:rPr>
          <w:color w:val="auto"/>
        </w:rPr>
      </w:pPr>
      <w:r>
        <w:rPr>
          <w:rFonts w:hint="eastAsia"/>
          <w:color w:val="auto"/>
          <w:sz w:val="24"/>
          <w:szCs w:val="24"/>
          <w:shd w:val="clear" w:color="auto" w:fill="FFFFFF"/>
          <w:lang w:val="en-US" w:eastAsia="zh-CN"/>
        </w:rPr>
        <w:t>投标人应对投标文件中材料的真实性、合法性负责。</w:t>
      </w:r>
    </w:p>
    <w:p>
      <w:pPr>
        <w:pStyle w:val="130"/>
        <w:snapToGrid w:val="0"/>
        <w:spacing w:before="0"/>
        <w:ind w:firstLine="0" w:firstLineChars="0"/>
        <w:outlineLvl w:val="0"/>
        <w:rPr>
          <w:rFonts w:ascii="宋体" w:hAnsi="宋体" w:cs="宋体"/>
          <w:b/>
          <w:color w:val="auto"/>
          <w:szCs w:val="24"/>
        </w:rPr>
      </w:pPr>
      <w:bookmarkStart w:id="19" w:name="_Toc15021"/>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bookmarkEnd w:id="19"/>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w:t>
      </w:r>
      <w:r>
        <w:rPr>
          <w:rFonts w:hint="eastAsia" w:ascii="宋体" w:hAnsi="宋体" w:cs="宋体"/>
          <w:color w:val="auto"/>
          <w:kern w:val="0"/>
          <w:sz w:val="24"/>
          <w:lang w:val="zh-CN"/>
        </w:rPr>
        <w:t>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0"/>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0"/>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0"/>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rPr>
      </w:pPr>
      <w:r>
        <w:rPr>
          <w:rFonts w:hint="eastAsia" w:ascii="宋体" w:hAnsi="宋体" w:cs="宋体"/>
          <w:color w:val="auto"/>
          <w:szCs w:val="24"/>
        </w:rPr>
        <w:t>14.3采购人、</w:t>
      </w:r>
      <w:r>
        <w:rPr>
          <w:rFonts w:hint="eastAsia" w:ascii="宋体" w:hAnsi="宋体" w:cs="宋体"/>
          <w:color w:val="auto"/>
          <w:szCs w:val="24"/>
          <w:lang w:eastAsia="zh-CN"/>
        </w:rPr>
        <w:t>采购代理机构</w:t>
      </w:r>
      <w:r>
        <w:rPr>
          <w:rFonts w:hint="eastAsia" w:ascii="宋体" w:hAnsi="宋体" w:cs="宋体"/>
          <w:color w:val="auto"/>
          <w:szCs w:val="24"/>
        </w:rPr>
        <w:t>可以视情况延长投标文件提交的截止时间。在上述情况下，</w:t>
      </w:r>
      <w:r>
        <w:rPr>
          <w:rFonts w:hint="eastAsia" w:ascii="宋体" w:hAnsi="宋体" w:cs="宋体"/>
          <w:color w:val="auto"/>
          <w:szCs w:val="24"/>
          <w:lang w:eastAsia="zh-CN"/>
        </w:rPr>
        <w:t>采购代理机构</w:t>
      </w:r>
      <w:r>
        <w:rPr>
          <w:rFonts w:hint="eastAsia" w:ascii="宋体" w:hAnsi="宋体" w:cs="宋体"/>
          <w:color w:val="auto"/>
          <w:szCs w:val="24"/>
        </w:rPr>
        <w:t>与投标人以前在投标截止期方面的全部权利、责任和义务，将适用于延长至新的投标截止期。</w:t>
      </w:r>
    </w:p>
    <w:p>
      <w:pPr>
        <w:pStyle w:val="32"/>
        <w:spacing w:line="360" w:lineRule="auto"/>
        <w:rPr>
          <w:rFonts w:hAnsi="宋体" w:cs="宋体"/>
          <w:b/>
          <w:color w:val="auto"/>
          <w:sz w:val="24"/>
          <w:szCs w:val="24"/>
        </w:rPr>
      </w:pPr>
      <w:r>
        <w:rPr>
          <w:rFonts w:hint="eastAsia" w:hAnsi="宋体" w:cs="宋体"/>
          <w:b/>
          <w:color w:val="auto"/>
          <w:sz w:val="24"/>
          <w:szCs w:val="24"/>
        </w:rPr>
        <w:t>15.备份投标文件</w:t>
      </w:r>
    </w:p>
    <w:p>
      <w:pPr>
        <w:pStyle w:val="32"/>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w:t>
      </w:r>
      <w:r>
        <w:rPr>
          <w:rFonts w:hint="eastAsia" w:hAnsi="宋体" w:cs="宋体"/>
          <w:b/>
          <w:color w:val="auto"/>
          <w:sz w:val="24"/>
          <w:szCs w:val="24"/>
          <w:lang w:eastAsia="zh-CN"/>
        </w:rPr>
        <w:t>采购代理机构</w:t>
      </w:r>
      <w:r>
        <w:rPr>
          <w:rFonts w:hint="eastAsia" w:hAnsi="宋体" w:cs="宋体"/>
          <w:b/>
          <w:color w:val="auto"/>
          <w:sz w:val="24"/>
          <w:szCs w:val="24"/>
        </w:rPr>
        <w:t>不强制或变相强制投标人提交备份投标文件。</w:t>
      </w:r>
    </w:p>
    <w:p>
      <w:pPr>
        <w:pStyle w:val="32"/>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lang w:val="en-US" w:eastAsia="zh-CN"/>
        </w:rPr>
        <w:t>等存储介质</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w:t>
      </w:r>
      <w:r>
        <w:rPr>
          <w:rFonts w:hint="eastAsia" w:hAnsi="宋体" w:cs="宋体"/>
          <w:color w:val="auto"/>
          <w:sz w:val="24"/>
          <w:szCs w:val="24"/>
          <w:lang w:eastAsia="zh-CN"/>
        </w:rPr>
        <w:t>采购代理机构</w:t>
      </w:r>
      <w:r>
        <w:rPr>
          <w:rFonts w:hint="eastAsia" w:hAnsi="宋体" w:cs="宋体"/>
          <w:color w:val="auto"/>
          <w:sz w:val="24"/>
          <w:szCs w:val="24"/>
        </w:rPr>
        <w:t>，</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w:t>
      </w:r>
      <w:r>
        <w:rPr>
          <w:rFonts w:hint="eastAsia" w:hAnsi="宋体" w:cs="宋体"/>
          <w:color w:val="auto"/>
          <w:sz w:val="24"/>
          <w:szCs w:val="24"/>
          <w:lang w:eastAsia="zh-CN"/>
        </w:rPr>
        <w:t>采购代理机构</w:t>
      </w:r>
      <w:r>
        <w:rPr>
          <w:rFonts w:hint="eastAsia" w:hAnsi="宋体" w:cs="宋体"/>
          <w:color w:val="auto"/>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4"/>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0"/>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0"/>
        <w:spacing w:before="0"/>
        <w:ind w:firstLine="480"/>
        <w:rPr>
          <w:rFonts w:hint="eastAsia" w:ascii="宋体" w:hAnsi="宋体" w:cs="宋体"/>
          <w:b/>
          <w:color w:val="auto"/>
          <w:sz w:val="32"/>
        </w:rPr>
      </w:pPr>
      <w:r>
        <w:rPr>
          <w:rFonts w:hint="eastAsia" w:ascii="宋体" w:hAnsi="宋体" w:cs="宋体"/>
          <w:color w:val="auto"/>
        </w:rPr>
        <w:t>17.3在原定投标有效期满之前，如果出现特殊情况，</w:t>
      </w:r>
      <w:r>
        <w:rPr>
          <w:rFonts w:hint="eastAsia" w:ascii="宋体" w:hAnsi="宋体" w:cs="宋体"/>
          <w:color w:val="auto"/>
          <w:lang w:eastAsia="zh-CN"/>
        </w:rPr>
        <w:t>采购代理机构</w:t>
      </w:r>
      <w:r>
        <w:rPr>
          <w:rFonts w:hint="eastAsia" w:ascii="宋体" w:hAnsi="宋体" w:cs="宋体"/>
          <w:color w:val="auto"/>
        </w:rPr>
        <w:t>可以以书面形式通知投标人延长投标有效期。投标人同意延长的，不得要求或被允许修改其投标文件，投标人拒绝延长的，其投标无效。</w:t>
      </w:r>
    </w:p>
    <w:p>
      <w:pPr>
        <w:pStyle w:val="130"/>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7"/>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7"/>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w:t>
      </w:r>
      <w:r>
        <w:rPr>
          <w:rFonts w:hint="eastAsia" w:ascii="宋体" w:hAnsi="宋体" w:cs="宋体"/>
          <w:color w:val="auto"/>
          <w:sz w:val="24"/>
          <w:lang w:eastAsia="zh-CN"/>
        </w:rPr>
        <w:t>采购代理机构</w:t>
      </w:r>
      <w:r>
        <w:rPr>
          <w:rFonts w:hint="eastAsia" w:ascii="宋体" w:hAnsi="宋体" w:cs="宋体"/>
          <w:color w:val="auto"/>
          <w:sz w:val="24"/>
        </w:rPr>
        <w:t>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w:t>
      </w:r>
      <w:r>
        <w:rPr>
          <w:rFonts w:hint="eastAsia" w:ascii="宋体" w:hAnsi="宋体" w:cs="宋体"/>
          <w:color w:val="auto"/>
          <w:sz w:val="24"/>
          <w:lang w:eastAsia="zh-CN"/>
        </w:rPr>
        <w:t>采购代理机构</w:t>
      </w:r>
      <w:r>
        <w:rPr>
          <w:rFonts w:hint="eastAsia" w:ascii="宋体" w:hAnsi="宋体" w:cs="宋体"/>
          <w:color w:val="auto"/>
          <w:sz w:val="24"/>
        </w:rPr>
        <w:t>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color w:val="auto"/>
          <w:kern w:val="0"/>
          <w:sz w:val="24"/>
        </w:rPr>
        <w:t>19.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kern w:val="0"/>
          <w:szCs w:val="24"/>
          <w:lang w:val="en-US" w:eastAsia="zh-CN"/>
        </w:rPr>
        <w:t>2</w:t>
      </w:r>
      <w:r>
        <w:rPr>
          <w:rFonts w:hint="eastAsia" w:ascii="宋体" w:hAnsi="宋体" w:cs="宋体"/>
          <w:b/>
          <w:bCs/>
          <w:color w:val="auto"/>
          <w:kern w:val="0"/>
          <w:szCs w:val="24"/>
        </w:rPr>
        <w:t>投标人未按照招标文件要求提供与</w:t>
      </w:r>
      <w:r>
        <w:rPr>
          <w:rFonts w:hint="eastAsia" w:ascii="宋体" w:hAnsi="宋体" w:cs="宋体"/>
          <w:b/>
          <w:bCs/>
          <w:color w:val="auto"/>
        </w:rPr>
        <w:t>资格条件相应的</w:t>
      </w:r>
      <w:r>
        <w:rPr>
          <w:rFonts w:hint="eastAsia" w:ascii="宋体" w:hAnsi="宋体" w:cs="宋体"/>
          <w:b/>
          <w:bCs/>
          <w:color w:val="auto"/>
          <w:kern w:val="0"/>
          <w:szCs w:val="24"/>
        </w:rPr>
        <w:t>有效资格证明材料的，视为</w:t>
      </w:r>
      <w:r>
        <w:rPr>
          <w:rFonts w:hint="eastAsia" w:ascii="宋体" w:hAnsi="宋体" w:cs="宋体"/>
          <w:b/>
          <w:bCs/>
          <w:color w:val="auto"/>
        </w:rPr>
        <w:t>投标人不具备招标文件中规定的资格要求，其投标无效。</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3</w:t>
      </w:r>
      <w:r>
        <w:rPr>
          <w:rFonts w:hint="eastAsia" w:ascii="宋体" w:hAnsi="宋体" w:cs="宋体"/>
          <w:color w:val="auto"/>
        </w:rPr>
        <w:t>对未通过资格审查的投标人，采购人或</w:t>
      </w:r>
      <w:r>
        <w:rPr>
          <w:rFonts w:hint="eastAsia" w:ascii="宋体" w:hAnsi="宋体" w:cs="宋体"/>
          <w:color w:val="auto"/>
          <w:lang w:eastAsia="zh-CN"/>
        </w:rPr>
        <w:t>采购代理机构</w:t>
      </w:r>
      <w:r>
        <w:rPr>
          <w:rFonts w:hint="eastAsia" w:ascii="宋体" w:hAnsi="宋体" w:cs="宋体"/>
          <w:color w:val="auto"/>
        </w:rPr>
        <w:t>告知其未通过的原因。</w:t>
      </w:r>
    </w:p>
    <w:p>
      <w:pPr>
        <w:pStyle w:val="130"/>
        <w:spacing w:before="0"/>
        <w:ind w:firstLine="480"/>
        <w:rPr>
          <w:rFonts w:hint="eastAsia" w:ascii="宋体" w:hAnsi="宋体" w:cs="宋体"/>
          <w:color w:val="auto"/>
        </w:rPr>
      </w:pPr>
      <w:r>
        <w:rPr>
          <w:rFonts w:hint="eastAsia" w:ascii="宋体" w:hAnsi="宋体" w:cs="宋体"/>
          <w:color w:val="auto"/>
          <w:kern w:val="0"/>
          <w:szCs w:val="24"/>
        </w:rPr>
        <w:t>19.</w:t>
      </w:r>
      <w:r>
        <w:rPr>
          <w:rFonts w:hint="eastAsia" w:ascii="宋体" w:hAnsi="宋体" w:cs="宋体"/>
          <w:color w:val="auto"/>
          <w:lang w:val="en-US" w:eastAsia="zh-CN"/>
        </w:rPr>
        <w:t>4</w:t>
      </w:r>
      <w:r>
        <w:rPr>
          <w:rFonts w:hint="eastAsia" w:ascii="宋体" w:hAnsi="宋体" w:cs="宋体"/>
          <w:color w:val="auto"/>
        </w:rPr>
        <w:t>合格投标人不足3家的，不再评标。</w:t>
      </w:r>
    </w:p>
    <w:p>
      <w:pPr>
        <w:pStyle w:val="130"/>
        <w:snapToGrid w:val="0"/>
        <w:spacing w:before="0"/>
        <w:ind w:firstLine="480"/>
        <w:rPr>
          <w:rFonts w:hint="eastAsia"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w:t>
      </w:r>
      <w:r>
        <w:rPr>
          <w:rFonts w:hint="eastAsia" w:ascii="宋体" w:hAnsi="宋体" w:cs="宋体"/>
          <w:color w:val="auto"/>
          <w:kern w:val="0"/>
          <w:szCs w:val="24"/>
          <w:lang w:eastAsia="zh-CN"/>
        </w:rPr>
        <w:t>采购代理机构</w:t>
      </w:r>
      <w:r>
        <w:rPr>
          <w:rFonts w:hint="eastAsia" w:ascii="宋体" w:hAnsi="宋体" w:cs="宋体"/>
          <w:color w:val="auto"/>
          <w:kern w:val="0"/>
          <w:szCs w:val="24"/>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w:t>
      </w:r>
      <w:r>
        <w:rPr>
          <w:rFonts w:hint="eastAsia" w:ascii="宋体" w:hAnsi="宋体" w:cs="宋体"/>
          <w:color w:val="auto"/>
          <w:kern w:val="0"/>
          <w:szCs w:val="24"/>
          <w:lang w:eastAsia="zh-CN"/>
        </w:rPr>
        <w:t>招标文件</w:t>
      </w:r>
      <w:r>
        <w:rPr>
          <w:rFonts w:hint="eastAsia" w:ascii="宋体" w:hAnsi="宋体" w:cs="宋体"/>
          <w:color w:val="auto"/>
          <w:kern w:val="0"/>
          <w:szCs w:val="24"/>
        </w:rPr>
        <w:t>一起存档。</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snapToGrid w:val="0"/>
        <w:spacing w:line="360" w:lineRule="auto"/>
        <w:jc w:val="center"/>
        <w:outlineLvl w:val="0"/>
        <w:rPr>
          <w:rFonts w:ascii="宋体" w:hAnsi="宋体" w:cs="宋体"/>
          <w:b/>
          <w:color w:val="auto"/>
          <w:sz w:val="36"/>
          <w:szCs w:val="36"/>
        </w:rPr>
      </w:pPr>
      <w:bookmarkStart w:id="20" w:name="_Toc20199"/>
      <w:r>
        <w:rPr>
          <w:rFonts w:hint="eastAsia" w:ascii="宋体" w:hAnsi="宋体" w:cs="宋体"/>
          <w:b/>
          <w:color w:val="auto"/>
          <w:sz w:val="36"/>
          <w:szCs w:val="36"/>
        </w:rPr>
        <w:t>五、评标</w:t>
      </w:r>
      <w:bookmarkEnd w:id="20"/>
    </w:p>
    <w:p>
      <w:pPr>
        <w:spacing w:line="360" w:lineRule="auto"/>
        <w:rPr>
          <w:rFonts w:ascii="宋体" w:hAnsi="宋体" w:cs="宋体"/>
          <w:b/>
          <w:color w:val="auto"/>
          <w:sz w:val="24"/>
        </w:rPr>
      </w:pPr>
      <w:bookmarkStart w:id="21"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napToGrid w:val="0"/>
        <w:spacing w:line="360" w:lineRule="auto"/>
        <w:jc w:val="center"/>
        <w:outlineLvl w:val="0"/>
        <w:rPr>
          <w:rFonts w:ascii="宋体" w:hAnsi="宋体" w:cs="宋体"/>
          <w:b/>
          <w:color w:val="auto"/>
          <w:sz w:val="36"/>
          <w:szCs w:val="36"/>
        </w:rPr>
      </w:pPr>
      <w:bookmarkStart w:id="22" w:name="_Toc1191"/>
      <w:r>
        <w:rPr>
          <w:rFonts w:hint="eastAsia" w:ascii="宋体" w:hAnsi="宋体" w:cs="宋体"/>
          <w:b/>
          <w:color w:val="auto"/>
          <w:sz w:val="36"/>
          <w:szCs w:val="36"/>
        </w:rPr>
        <w:t>六、定 标</w:t>
      </w:r>
      <w:bookmarkEnd w:id="22"/>
    </w:p>
    <w:p>
      <w:pPr>
        <w:pStyle w:val="24"/>
        <w:spacing w:line="360" w:lineRule="auto"/>
        <w:ind w:left="479" w:hanging="479" w:hangingChars="199"/>
        <w:rPr>
          <w:rFonts w:cs="宋体"/>
          <w:b/>
          <w:color w:val="auto"/>
        </w:rPr>
      </w:pPr>
      <w:r>
        <w:rPr>
          <w:rFonts w:hint="eastAsia" w:cs="宋体"/>
          <w:b/>
          <w:color w:val="auto"/>
        </w:rPr>
        <w:t>22. 确定中标供应商</w:t>
      </w:r>
    </w:p>
    <w:p>
      <w:pPr>
        <w:pStyle w:val="130"/>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w:t>
      </w:r>
      <w:r>
        <w:rPr>
          <w:rFonts w:hint="eastAsia" w:ascii="宋体" w:hAnsi="宋体" w:cs="宋体"/>
          <w:color w:val="auto"/>
          <w:szCs w:val="24"/>
        </w:rPr>
        <w:t>交采购人。采购单位应当自收到评审报告之日起2个工作日内在线确定中标或者成交供应商，为提高政府采购效率，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确定中标或者成交供应商。中标、成交通知书和中标、成交结果公告应当在规定时间内同时发出。</w:t>
      </w:r>
    </w:p>
    <w:p>
      <w:pPr>
        <w:pStyle w:val="130"/>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w:t>
      </w:r>
      <w:r>
        <w:rPr>
          <w:rFonts w:hint="eastAsia" w:ascii="宋体" w:hAnsi="宋体" w:cs="宋体"/>
          <w:color w:val="auto"/>
          <w:sz w:val="24"/>
          <w:lang w:eastAsia="zh-CN"/>
        </w:rPr>
        <w:t>采购代理机构</w:t>
      </w:r>
      <w:r>
        <w:rPr>
          <w:rFonts w:hint="eastAsia" w:ascii="宋体" w:hAnsi="宋体" w:cs="宋体"/>
          <w:color w:val="auto"/>
          <w:sz w:val="24"/>
        </w:rPr>
        <w:t>通过电子交易平</w:t>
      </w:r>
      <w:r>
        <w:rPr>
          <w:rFonts w:hint="eastAsia" w:ascii="宋体" w:hAnsi="宋体" w:cs="宋体"/>
          <w:color w:val="auto"/>
          <w:sz w:val="24"/>
        </w:rPr>
        <w:t>台向中标人发出中标通知书，同时编制发布采购结果公告。</w:t>
      </w:r>
      <w:r>
        <w:rPr>
          <w:rFonts w:hint="eastAsia" w:ascii="宋体" w:hAnsi="宋体" w:cs="宋体"/>
          <w:color w:val="auto"/>
          <w:sz w:val="24"/>
          <w:lang w:eastAsia="zh-CN"/>
        </w:rPr>
        <w:t>采购代理机构</w:t>
      </w:r>
      <w:r>
        <w:rPr>
          <w:rFonts w:hint="eastAsia" w:ascii="宋体" w:hAnsi="宋体" w:cs="宋体"/>
          <w:color w:val="auto"/>
          <w:sz w:val="24"/>
        </w:rPr>
        <w:t>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w:t>
      </w:r>
      <w:r>
        <w:rPr>
          <w:rFonts w:hint="eastAsia" w:ascii="宋体" w:hAnsi="宋体" w:cs="宋体"/>
          <w:color w:val="auto"/>
          <w:sz w:val="24"/>
          <w:lang w:eastAsia="zh-CN"/>
        </w:rPr>
        <w:t>采购代理机构</w:t>
      </w:r>
      <w:r>
        <w:rPr>
          <w:rFonts w:hint="eastAsia" w:ascii="宋体" w:hAnsi="宋体" w:cs="宋体"/>
          <w:color w:val="auto"/>
          <w:sz w:val="24"/>
        </w:rPr>
        <w:t>的名称、地址、联系方式，项目名称和项目编号，中标人名称、地址和中标金额，主要中标标的的名称、规格型号、数量、单价、服务要求，开标记录、</w:t>
      </w:r>
      <w:bookmarkStart w:id="23" w:name="_Hlk101184471"/>
      <w:r>
        <w:rPr>
          <w:rFonts w:hint="eastAsia" w:ascii="宋体" w:hAnsi="宋体" w:cs="宋体"/>
          <w:color w:val="auto"/>
          <w:sz w:val="24"/>
        </w:rPr>
        <w:t>资格审查情况、评审专家抽取规则、符合性审查情况、</w:t>
      </w:r>
      <w:bookmarkEnd w:id="23"/>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cs="宋体"/>
          <w:b w:val="0"/>
          <w:bCs w:val="0"/>
          <w:color w:val="auto"/>
          <w:sz w:val="24"/>
        </w:rPr>
      </w:pPr>
      <w:r>
        <w:rPr>
          <w:rFonts w:hint="eastAsia" w:ascii="宋体" w:hAnsi="宋体" w:cs="宋体"/>
          <w:b w:val="0"/>
          <w:bCs w:val="0"/>
          <w:color w:val="auto"/>
          <w:sz w:val="24"/>
        </w:rPr>
        <w:t>23.3公告期限为1个工作日。</w:t>
      </w:r>
    </w:p>
    <w:p>
      <w:pPr>
        <w:pStyle w:val="130"/>
        <w:adjustRightInd w:val="0"/>
        <w:snapToGrid w:val="0"/>
        <w:spacing w:before="0"/>
        <w:ind w:firstLine="480" w:firstLineChars="200"/>
        <w:rPr>
          <w:rFonts w:hint="eastAsia"/>
          <w:color w:val="auto"/>
          <w:sz w:val="24"/>
          <w:szCs w:val="24"/>
        </w:rPr>
      </w:pPr>
      <w:r>
        <w:rPr>
          <w:rFonts w:hint="eastAsia" w:ascii="宋体" w:hAnsi="宋体" w:cs="宋体"/>
          <w:b w:val="0"/>
          <w:bCs w:val="0"/>
          <w:color w:val="auto"/>
          <w:szCs w:val="24"/>
          <w:lang w:val="en-US" w:eastAsia="zh-CN"/>
        </w:rPr>
        <w:t xml:space="preserve">23.4 </w:t>
      </w:r>
      <w:r>
        <w:rPr>
          <w:rFonts w:hint="eastAsia" w:ascii="宋体" w:hAnsi="宋体" w:cs="宋体"/>
          <w:b w:val="0"/>
          <w:bCs w:val="0"/>
          <w:color w:val="auto"/>
          <w:szCs w:val="24"/>
        </w:rPr>
        <w:t>由于中标、成交供应商原因导致重新采购的，应当承担支付代理费和专家评审费等费用在内的赔偿责任。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4"/>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4"/>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color w:val="auto"/>
          <w:kern w:val="0"/>
          <w:sz w:val="24"/>
          <w:lang w:eastAsia="zh-CN"/>
        </w:rPr>
        <w:t>招标文件</w:t>
      </w:r>
      <w:r>
        <w:rPr>
          <w:rFonts w:hint="eastAsia" w:ascii="宋体" w:hAnsi="宋体" w:cs="宋体"/>
          <w:color w:val="auto"/>
          <w:kern w:val="0"/>
          <w:sz w:val="24"/>
        </w:rPr>
        <w:t>确定的事项签订政府采购合同。</w:t>
      </w:r>
    </w:p>
    <w:p>
      <w:pPr>
        <w:pStyle w:val="130"/>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4"/>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lang w:val="en-US" w:eastAsia="zh-CN"/>
        </w:rPr>
        <w:t>7</w:t>
      </w:r>
      <w:r>
        <w:rPr>
          <w:rFonts w:ascii="宋体" w:hAnsi="宋体"/>
          <w:color w:val="auto"/>
          <w:sz w:val="24"/>
          <w:highlight w:val="none"/>
        </w:rPr>
        <w:t>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0"/>
        <w:snapToGrid w:val="0"/>
        <w:spacing w:before="0"/>
        <w:ind w:firstLine="0" w:firstLineChars="0"/>
        <w:rPr>
          <w:rFonts w:ascii="宋体" w:hAnsi="宋体" w:cs="宋体"/>
          <w:color w:val="auto"/>
        </w:rPr>
      </w:pPr>
      <w:r>
        <w:rPr>
          <w:rFonts w:ascii="宋体" w:hAnsi="宋体" w:cs="宋体"/>
          <w:b/>
          <w:bCs/>
          <w:color w:val="auto"/>
          <w:sz w:val="24"/>
          <w:szCs w:val="20"/>
        </w:rPr>
        <w:t>2</w:t>
      </w:r>
      <w:r>
        <w:rPr>
          <w:rFonts w:ascii="宋体" w:hAnsi="宋体" w:cs="宋体"/>
          <w:b/>
          <w:bCs/>
          <w:color w:val="auto"/>
          <w:sz w:val="24"/>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w:t>
      </w:r>
      <w:r>
        <w:rPr>
          <w:rFonts w:hint="eastAsia" w:ascii="宋体" w:hAnsi="宋体" w:cs="宋体"/>
          <w:color w:val="auto"/>
          <w:lang w:eastAsia="zh-CN"/>
        </w:rPr>
        <w:t>采购代理机构</w:t>
      </w:r>
      <w:r>
        <w:rPr>
          <w:rFonts w:hint="eastAsia" w:ascii="宋体" w:hAnsi="宋体" w:cs="宋体"/>
          <w:color w:val="auto"/>
        </w:rPr>
        <w:t>可中止电子交易活动：</w:t>
      </w:r>
    </w:p>
    <w:p>
      <w:pPr>
        <w:pStyle w:val="130"/>
        <w:snapToGrid w:val="0"/>
        <w:spacing w:before="0"/>
        <w:ind w:firstLine="480"/>
        <w:rPr>
          <w:rFonts w:ascii="宋体" w:hAnsi="宋体" w:cs="宋体"/>
          <w:color w:val="auto"/>
        </w:rPr>
      </w:pPr>
      <w:r>
        <w:rPr>
          <w:rFonts w:hint="eastAsia" w:ascii="宋体" w:hAnsi="宋体" w:cs="宋体"/>
          <w:color w:val="auto"/>
        </w:rPr>
        <w:t xml:space="preserve">28.1电子交易平台发生故障而无法登录访问的； </w:t>
      </w:r>
    </w:p>
    <w:p>
      <w:pPr>
        <w:pStyle w:val="130"/>
        <w:snapToGrid w:val="0"/>
        <w:spacing w:before="0"/>
        <w:ind w:firstLine="480"/>
        <w:rPr>
          <w:rFonts w:ascii="宋体" w:hAnsi="宋体" w:cs="宋体"/>
          <w:color w:val="auto"/>
        </w:rPr>
      </w:pPr>
      <w:r>
        <w:rPr>
          <w:rFonts w:hint="eastAsia" w:ascii="宋体" w:hAnsi="宋体" w:cs="宋体"/>
          <w:color w:val="auto"/>
        </w:rPr>
        <w:t>28.2电子交易平台应用或数据库出现错误，不能进行正常操作的；</w:t>
      </w:r>
    </w:p>
    <w:p>
      <w:pPr>
        <w:pStyle w:val="130"/>
        <w:snapToGrid w:val="0"/>
        <w:spacing w:before="0"/>
        <w:ind w:firstLine="480"/>
        <w:rPr>
          <w:rFonts w:ascii="宋体" w:hAnsi="宋体" w:cs="宋体"/>
          <w:color w:val="auto"/>
        </w:rPr>
      </w:pPr>
      <w:r>
        <w:rPr>
          <w:rFonts w:hint="eastAsia" w:ascii="宋体" w:hAnsi="宋体" w:cs="宋体"/>
          <w:color w:val="auto"/>
        </w:rPr>
        <w:t>28.3电子交易平台发现严重安全漏洞，有潜在泄密危险的；</w:t>
      </w:r>
    </w:p>
    <w:p>
      <w:pPr>
        <w:pStyle w:val="130"/>
        <w:snapToGrid w:val="0"/>
        <w:spacing w:before="0"/>
        <w:ind w:firstLine="480"/>
        <w:rPr>
          <w:rFonts w:ascii="宋体" w:hAnsi="宋体" w:cs="宋体"/>
          <w:color w:val="auto"/>
        </w:rPr>
      </w:pPr>
      <w:r>
        <w:rPr>
          <w:rFonts w:hint="eastAsia" w:ascii="宋体" w:hAnsi="宋体" w:cs="宋体"/>
          <w:color w:val="auto"/>
        </w:rPr>
        <w:t xml:space="preserve">28.4病毒发作导致不能进行正常操作的； </w:t>
      </w:r>
    </w:p>
    <w:p>
      <w:pPr>
        <w:pStyle w:val="130"/>
        <w:snapToGrid w:val="0"/>
        <w:spacing w:before="0"/>
        <w:ind w:firstLine="480"/>
        <w:rPr>
          <w:rFonts w:ascii="宋体" w:hAnsi="宋体" w:cs="宋体"/>
          <w:color w:val="auto"/>
        </w:rPr>
      </w:pPr>
      <w:r>
        <w:rPr>
          <w:rFonts w:hint="eastAsia" w:ascii="宋体" w:hAnsi="宋体" w:cs="宋体"/>
          <w:color w:val="auto"/>
        </w:rPr>
        <w:t>28.5其他无法保证电子交易的公平、公正和安全的情况。</w:t>
      </w:r>
    </w:p>
    <w:p>
      <w:pPr>
        <w:pStyle w:val="130"/>
        <w:snapToGrid w:val="0"/>
        <w:spacing w:before="0"/>
        <w:ind w:firstLine="0" w:firstLineChars="0"/>
        <w:rPr>
          <w:rFonts w:ascii="宋体" w:hAnsi="宋体" w:cs="宋体"/>
          <w:color w:val="auto"/>
        </w:rPr>
      </w:pPr>
      <w:r>
        <w:rPr>
          <w:rFonts w:hint="eastAsia" w:ascii="宋体" w:hAnsi="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4"/>
        <w:spacing w:line="360" w:lineRule="auto"/>
        <w:ind w:firstLine="0" w:firstLineChars="0"/>
        <w:rPr>
          <w:rFonts w:cs="宋体"/>
          <w:b/>
          <w:color w:val="auto"/>
        </w:rPr>
      </w:pPr>
      <w:r>
        <w:rPr>
          <w:rFonts w:hint="eastAsia" w:cs="宋体"/>
          <w:b/>
          <w:color w:val="auto"/>
        </w:rPr>
        <w:t>30.验收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rPr>
      </w:pPr>
      <w:r>
        <w:rPr>
          <w:rFonts w:hint="eastAsia" w:ascii="宋体" w:hAnsi="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4"/>
        <w:adjustRightInd w:val="0"/>
        <w:snapToGrid w:val="0"/>
        <w:ind w:left="0" w:firstLine="480" w:firstLineChars="200"/>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p>
      <w:pPr>
        <w:pStyle w:val="79"/>
        <w:rPr>
          <w:color w:val="auto"/>
        </w:rPr>
      </w:pPr>
    </w:p>
    <w:bookmarkEnd w:id="21"/>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4" w:name="_Hlt75236011"/>
      <w:bookmarkEnd w:id="24"/>
      <w:bookmarkStart w:id="25" w:name="_Hlt74729768"/>
      <w:bookmarkEnd w:id="25"/>
      <w:bookmarkStart w:id="26" w:name="_Hlt68072990"/>
      <w:bookmarkEnd w:id="26"/>
      <w:bookmarkStart w:id="27" w:name="_Hlt75236290"/>
      <w:bookmarkEnd w:id="27"/>
      <w:bookmarkStart w:id="28" w:name="_Hlt68057669"/>
      <w:bookmarkEnd w:id="28"/>
      <w:bookmarkStart w:id="29" w:name="_Hlt74730295"/>
      <w:bookmarkEnd w:id="29"/>
      <w:bookmarkStart w:id="30" w:name="_Hlt75236101"/>
      <w:bookmarkEnd w:id="30"/>
      <w:bookmarkStart w:id="31" w:name="_Hlt74714665"/>
      <w:bookmarkEnd w:id="31"/>
      <w:bookmarkStart w:id="32" w:name="_Hlt68073093"/>
      <w:bookmarkEnd w:id="32"/>
      <w:bookmarkStart w:id="33" w:name="_Hlt74707468"/>
      <w:bookmarkEnd w:id="33"/>
      <w:bookmarkStart w:id="34" w:name="_Hlt68072998"/>
      <w:bookmarkEnd w:id="34"/>
      <w:bookmarkStart w:id="35" w:name="_Hlt68403820"/>
      <w:bookmarkEnd w:id="35"/>
    </w:p>
    <w:bookmarkEnd w:id="13"/>
    <w:bookmarkEnd w:id="14"/>
    <w:p>
      <w:pPr>
        <w:pStyle w:val="3"/>
        <w:keepNext/>
        <w:keepLines/>
        <w:pageBreakBefore w:val="0"/>
        <w:widowControl w:val="0"/>
        <w:kinsoku/>
        <w:wordWrap/>
        <w:overflowPunct/>
        <w:topLinePunct w:val="0"/>
        <w:autoSpaceDE/>
        <w:autoSpaceDN/>
        <w:bidi w:val="0"/>
        <w:adjustRightInd w:val="0"/>
        <w:snapToGrid w:val="0"/>
        <w:spacing w:before="0" w:after="0" w:line="360" w:lineRule="auto"/>
        <w:ind w:left="0" w:firstLine="0"/>
        <w:jc w:val="center"/>
        <w:textAlignment w:val="auto"/>
        <w:rPr>
          <w:color w:val="auto"/>
          <w:sz w:val="30"/>
          <w:szCs w:val="30"/>
        </w:rPr>
      </w:pPr>
      <w:bookmarkStart w:id="36" w:name="_Toc14793"/>
      <w:bookmarkStart w:id="37" w:name="第四部分"/>
      <w:r>
        <w:rPr>
          <w:rFonts w:hint="eastAsia"/>
          <w:color w:val="auto"/>
          <w:sz w:val="30"/>
          <w:szCs w:val="30"/>
        </w:rPr>
        <w:t>第三部分 采购需求</w:t>
      </w:r>
      <w:bookmarkEnd w:id="36"/>
    </w:p>
    <w:tbl>
      <w:tblPr>
        <w:tblStyle w:val="62"/>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52"/>
        <w:gridCol w:w="1941"/>
        <w:gridCol w:w="44"/>
        <w:gridCol w:w="6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121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firstLine="0"/>
              <w:jc w:val="center"/>
              <w:textAlignment w:val="auto"/>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序号</w:t>
            </w:r>
          </w:p>
        </w:tc>
        <w:tc>
          <w:tcPr>
            <w:tcW w:w="1993" w:type="dxa"/>
            <w:gridSpan w:val="2"/>
            <w:tcBorders>
              <w:tl2br w:val="nil"/>
              <w:tr2bl w:val="nil"/>
            </w:tcBorders>
            <w:shd w:val="clear" w:color="auto" w:fill="auto"/>
            <w:vAlign w:val="center"/>
          </w:tcPr>
          <w:p>
            <w:pPr>
              <w:pageBreakBefore w:val="0"/>
              <w:widowControl w:val="0"/>
              <w:tabs>
                <w:tab w:val="left" w:pos="180"/>
                <w:tab w:val="left" w:pos="600"/>
                <w:tab w:val="center" w:pos="1047"/>
                <w:tab w:val="center" w:pos="1236"/>
              </w:tabs>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内容</w:t>
            </w:r>
          </w:p>
        </w:tc>
        <w:tc>
          <w:tcPr>
            <w:tcW w:w="6212" w:type="dxa"/>
            <w:gridSpan w:val="2"/>
            <w:tcBorders>
              <w:tl2br w:val="nil"/>
              <w:tr2bl w:val="nil"/>
            </w:tcBorders>
            <w:shd w:val="clear" w:color="auto" w:fill="auto"/>
            <w:vAlign w:val="center"/>
          </w:tcPr>
          <w:p>
            <w:pPr>
              <w:pageBreakBefore w:val="0"/>
              <w:widowControl w:val="0"/>
              <w:kinsoku/>
              <w:wordWrap/>
              <w:overflowPunct/>
              <w:topLinePunct w:val="0"/>
              <w:autoSpaceDE/>
              <w:autoSpaceDN/>
              <w:bidi w:val="0"/>
              <w:adjustRightInd w:val="0"/>
              <w:snapToGrid w:val="0"/>
              <w:spacing w:line="240" w:lineRule="auto"/>
              <w:ind w:left="0" w:firstLine="0"/>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9" w:type="dxa"/>
            <w:gridSpan w:val="5"/>
            <w:tcBorders>
              <w:tl2br w:val="nil"/>
              <w:tr2bl w:val="nil"/>
            </w:tcBorders>
            <w:vAlign w:val="center"/>
          </w:tcPr>
          <w:p>
            <w:pPr>
              <w:jc w:val="left"/>
              <w:rPr>
                <w:rFonts w:hint="eastAsia" w:ascii="宋体" w:hAnsi="宋体" w:eastAsia="宋体" w:cs="宋体"/>
                <w:b/>
                <w:color w:val="auto"/>
                <w:sz w:val="21"/>
                <w:szCs w:val="21"/>
              </w:rPr>
            </w:pPr>
            <w:r>
              <w:rPr>
                <w:rFonts w:hint="eastAsia" w:ascii="宋体" w:hAnsi="宋体" w:eastAsia="宋体" w:cs="宋体"/>
                <w:b/>
                <w:color w:val="auto"/>
                <w:sz w:val="21"/>
                <w:szCs w:val="21"/>
              </w:rPr>
              <w:t>1.设备基本概况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设备品牌</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奥林巴斯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设备型号/数量</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详见附件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保修设备清单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维保内容</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整机全保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维保期限</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9" w:type="dxa"/>
            <w:gridSpan w:val="5"/>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2.技术服务要求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维保范围</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1年全保服务，保修范围为合同期内所提供维修所需的人工服务、差旅费用、所有原厂配件。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备件库</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color w:val="auto"/>
                <w:lang w:val="en-US" w:eastAsia="zh-CN"/>
              </w:rPr>
              <w:t>需有备件库。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★2.1.</w:t>
            </w:r>
            <w:r>
              <w:rPr>
                <w:rFonts w:hint="eastAsia" w:ascii="宋体" w:hAnsi="宋体" w:eastAsia="宋体" w:cs="宋体"/>
                <w:color w:val="auto"/>
                <w:sz w:val="21"/>
                <w:szCs w:val="21"/>
                <w:lang w:val="en-US" w:eastAsia="zh-CN"/>
              </w:rPr>
              <w:t>2</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配件品质</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所有维修配件须为原厂的全新且测试合格配件。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质控指标</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确保维修后的设备质量达到出厂质量标准，应符合国家相关技术标准。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维修效率</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在零件齐备的情况下，保证24小时之内完成小维修，保证10个工作日内完成大维修，维修过程中根据医院要求提供原厂备用品。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PM保养</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工程师提供每年2次的配套主机与光源免费除尘清洁保养服务，每月不少于1次的免费点检，并提供维修保养记录及年度分析报告。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响应时间</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工程师保证24小时内提供现场技术支持，并提供每周24小时×7天的电话支持服务。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开机率保证</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开机率≥95%（按365天计算），单次停机不超过1周；若未达到以上要求，每停机超过1天，保修期顺延3天。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技术培训</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要求，针对</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工程师对设备的使用、清洗和保养方法等内容提供工程师培训及培训资料。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8</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内镜客服中心</w:t>
            </w:r>
          </w:p>
        </w:tc>
        <w:tc>
          <w:tcPr>
            <w:tcW w:w="6212" w:type="dxa"/>
            <w:gridSpan w:val="2"/>
            <w:tcBorders>
              <w:tl2br w:val="nil"/>
              <w:tr2bl w:val="nil"/>
            </w:tcBorders>
            <w:vAlign w:val="center"/>
          </w:tcPr>
          <w:p>
            <w:pPr>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具有内镜医疗客户服务中心，提供24</w:t>
            </w:r>
            <w:r>
              <w:rPr>
                <w:rFonts w:hint="eastAsia" w:ascii="宋体" w:hAnsi="宋体" w:eastAsia="宋体" w:cs="宋体"/>
                <w:color w:val="auto"/>
                <w:sz w:val="21"/>
                <w:szCs w:val="21"/>
                <w:lang w:val="en-US" w:eastAsia="zh-CN"/>
              </w:rPr>
              <w:t>小时</w:t>
            </w:r>
            <w:r>
              <w:rPr>
                <w:rFonts w:hint="eastAsia" w:ascii="宋体" w:hAnsi="宋体" w:eastAsia="宋体" w:cs="宋体"/>
                <w:color w:val="auto"/>
                <w:sz w:val="21"/>
                <w:szCs w:val="21"/>
              </w:rPr>
              <w:t>*365</w:t>
            </w:r>
            <w:r>
              <w:rPr>
                <w:rFonts w:hint="eastAsia" w:ascii="宋体" w:hAnsi="宋体" w:eastAsia="宋体" w:cs="宋体"/>
                <w:color w:val="auto"/>
                <w:sz w:val="21"/>
                <w:szCs w:val="21"/>
                <w:lang w:val="en-US" w:eastAsia="zh-CN"/>
              </w:rPr>
              <w:t>天</w:t>
            </w:r>
            <w:r>
              <w:rPr>
                <w:rFonts w:hint="eastAsia" w:ascii="宋体" w:hAnsi="宋体" w:eastAsia="宋体" w:cs="宋体"/>
                <w:color w:val="auto"/>
                <w:sz w:val="21"/>
                <w:szCs w:val="21"/>
              </w:rPr>
              <w:t>全天电话咨询、传真咨询服务（提供具体有效联系方式）</w:t>
            </w:r>
            <w:r>
              <w:rPr>
                <w:rFonts w:hint="eastAsia" w:ascii="宋体" w:hAnsi="宋体" w:eastAsia="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9</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线上智能报修</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具有维修智能报修小程序，可进行小程序故障报修，获取培训资料、维修合同查看、维修验真、检验核实维修记录。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2.1</w:t>
            </w:r>
            <w:r>
              <w:rPr>
                <w:rFonts w:hint="eastAsia" w:ascii="宋体" w:hAnsi="宋体" w:eastAsia="宋体" w:cs="宋体"/>
                <w:color w:val="auto"/>
                <w:sz w:val="21"/>
                <w:szCs w:val="21"/>
                <w:lang w:val="en-US" w:eastAsia="zh-CN"/>
              </w:rPr>
              <w:t>0</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维修报告</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维修过程中需要更换零配件时，应向</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解释说明并快速调用配件。每次维修完成后，工程师向</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提供书面维修报告一份。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14" w:type="dxa"/>
            <w:tcBorders>
              <w:tl2br w:val="nil"/>
              <w:tr2bl w:val="nil"/>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2.1</w:t>
            </w:r>
            <w:r>
              <w:rPr>
                <w:rFonts w:hint="eastAsia" w:ascii="宋体" w:hAnsi="宋体" w:eastAsia="宋体" w:cs="宋体"/>
                <w:color w:val="auto"/>
                <w:sz w:val="21"/>
                <w:szCs w:val="21"/>
                <w:lang w:val="en-US" w:eastAsia="zh-CN"/>
              </w:rPr>
              <w:t>1</w:t>
            </w:r>
          </w:p>
        </w:tc>
        <w:tc>
          <w:tcPr>
            <w:tcW w:w="1993"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项目维护计划</w:t>
            </w:r>
          </w:p>
        </w:tc>
        <w:tc>
          <w:tcPr>
            <w:tcW w:w="6212" w:type="dxa"/>
            <w:gridSpan w:val="2"/>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提供详细的设备预防性维护保养计划，向</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提供书面说明，包括保养计划，保养策略和操作规程说明。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9" w:type="dxa"/>
            <w:gridSpan w:val="5"/>
            <w:tcBorders>
              <w:tl2br w:val="nil"/>
              <w:tr2bl w:val="nil"/>
            </w:tcBorders>
            <w:vAlign w:val="center"/>
          </w:tcPr>
          <w:p>
            <w:pPr>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3.商务条款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jc w:val="center"/>
        </w:trPr>
        <w:tc>
          <w:tcPr>
            <w:tcW w:w="1266"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1985" w:type="dxa"/>
            <w:gridSpan w:val="2"/>
            <w:tcBorders>
              <w:tl2br w:val="nil"/>
              <w:tr2bl w:val="nil"/>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付款方式</w:t>
            </w:r>
          </w:p>
        </w:tc>
        <w:tc>
          <w:tcPr>
            <w:tcW w:w="6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中标人若为中小企业，签订合同时，中标人向采购人提交银行预付款保函；采购人在收到预付款保函、合同生效以及具备实施条件后，向中标人支付合同金额的</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0%作为预付款，预付款在后续</w:t>
            </w: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款中作相应抵扣。</w:t>
            </w:r>
            <w:r>
              <w:rPr>
                <w:rFonts w:hint="eastAsia" w:ascii="宋体" w:hAnsi="宋体" w:eastAsia="宋体" w:cs="宋体"/>
                <w:color w:val="auto"/>
                <w:sz w:val="21"/>
                <w:szCs w:val="21"/>
                <w:lang w:val="en-US" w:eastAsia="zh-CN"/>
              </w:rPr>
              <w:t>维保服务满一年后，甲方向乙方支付至合同总价的100%（含预付款）。</w:t>
            </w:r>
            <w:r>
              <w:rPr>
                <w:rFonts w:hint="eastAsia" w:ascii="宋体" w:hAnsi="宋体" w:eastAsia="宋体" w:cs="宋体"/>
                <w:color w:val="auto"/>
                <w:sz w:val="21"/>
                <w:szCs w:val="21"/>
              </w:rPr>
              <w:t>在签订合同时，中标人明确表示无需预付款的，可不提供预付款保函，</w:t>
            </w:r>
            <w:r>
              <w:rPr>
                <w:rFonts w:hint="eastAsia" w:ascii="宋体" w:hAnsi="宋体" w:eastAsia="宋体" w:cs="宋体"/>
                <w:color w:val="auto"/>
                <w:sz w:val="21"/>
                <w:szCs w:val="21"/>
                <w:lang w:val="en-US" w:eastAsia="zh-CN"/>
              </w:rPr>
              <w:t>维保服务满一年后结清</w:t>
            </w:r>
            <w:r>
              <w:rPr>
                <w:rFonts w:hint="eastAsia" w:ascii="宋体" w:hAnsi="宋体" w:eastAsia="宋体" w:cs="宋体"/>
                <w:color w:val="auto"/>
                <w:sz w:val="21"/>
                <w:szCs w:val="21"/>
              </w:rPr>
              <w:t>。</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中标人若为大型企业，合同款项在</w:t>
            </w:r>
            <w:r>
              <w:rPr>
                <w:rFonts w:hint="eastAsia" w:ascii="宋体" w:hAnsi="宋体" w:eastAsia="宋体" w:cs="宋体"/>
                <w:color w:val="auto"/>
                <w:sz w:val="21"/>
                <w:szCs w:val="21"/>
                <w:lang w:val="en-US" w:eastAsia="zh-CN"/>
              </w:rPr>
              <w:t>维保服务满一年后，甲方向乙方支付至合同总价的100%</w:t>
            </w:r>
            <w:r>
              <w:rPr>
                <w:rFonts w:hint="eastAsia" w:ascii="宋体" w:hAnsi="宋体" w:eastAsia="宋体" w:cs="宋体"/>
                <w:color w:val="auto"/>
                <w:sz w:val="21"/>
                <w:szCs w:val="21"/>
              </w:rPr>
              <w:t>。</w:t>
            </w:r>
            <w:r>
              <w:rPr>
                <w:rFonts w:hint="eastAsia" w:ascii="宋体" w:hAnsi="宋体" w:eastAsia="宋体" w:cs="宋体"/>
                <w:b/>
                <w:color w:val="auto"/>
                <w:sz w:val="21"/>
                <w:szCs w:val="21"/>
              </w:rPr>
              <w:br w:type="page"/>
            </w:r>
          </w:p>
        </w:tc>
      </w:tr>
    </w:tbl>
    <w:p>
      <w:pPr>
        <w:spacing w:line="360" w:lineRule="auto"/>
        <w:rPr>
          <w:rFonts w:ascii="宋体" w:hAnsi="宋体" w:cs="宋体"/>
          <w:color w:val="auto"/>
          <w:sz w:val="24"/>
        </w:rPr>
      </w:pPr>
    </w:p>
    <w:p>
      <w:pPr>
        <w:jc w:val="left"/>
        <w:rPr>
          <w:rFonts w:hint="eastAsia"/>
          <w:b/>
          <w:bCs/>
          <w:color w:val="auto"/>
        </w:rPr>
      </w:pPr>
      <w:r>
        <w:rPr>
          <w:rFonts w:hint="eastAsia"/>
          <w:b/>
          <w:bCs/>
          <w:color w:val="auto"/>
          <w:lang w:val="en-US" w:eastAsia="zh-CN"/>
        </w:rPr>
        <w:t>附件：</w:t>
      </w:r>
      <w:r>
        <w:rPr>
          <w:rFonts w:hint="eastAsia"/>
          <w:b/>
          <w:bCs/>
          <w:color w:val="auto"/>
        </w:rPr>
        <w:t>保修设备清单</w:t>
      </w:r>
    </w:p>
    <w:p>
      <w:pPr>
        <w:pStyle w:val="2"/>
        <w:rPr>
          <w:color w:val="auto"/>
        </w:rPr>
      </w:pPr>
    </w:p>
    <w:tbl>
      <w:tblPr>
        <w:tblStyle w:val="62"/>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57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noWrap/>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5573" w:type="dxa"/>
            <w:noWrap/>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设备名称及型号</w:t>
            </w:r>
          </w:p>
        </w:tc>
        <w:tc>
          <w:tcPr>
            <w:tcW w:w="2126" w:type="dxa"/>
            <w:noWrap/>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机身号码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CF TYPE H260AI:电子结肠镜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2104021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CF TYPE H260AI:电子结肠镜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2104023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GIF-H290:电子胃镜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2636049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GIF-H290:电子胃镜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2736154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 TYPE H260Z:电子上消化道内窥镜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2734806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JF TYPE 260V:电子十二指肠镜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2413742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GIF-Q260J:电子胃镜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2403831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 TYPE Q260J:电子胃镜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2514854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bookmarkStart w:id="38" w:name="_Hlk116563177"/>
            <w:r>
              <w:rPr>
                <w:rFonts w:hint="eastAsia" w:ascii="宋体" w:hAnsi="宋体" w:eastAsia="宋体" w:cs="宋体"/>
                <w:color w:val="auto"/>
                <w:sz w:val="21"/>
                <w:szCs w:val="21"/>
              </w:rPr>
              <w:t>9</w:t>
            </w:r>
            <w:bookmarkEnd w:id="38"/>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GIF-H260Z:电子胃镜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2534502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PCF TYPE Q260AZI:电子结肠镜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2503029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CF-HQ290I:电子结肠内窥镜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2854745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GIF-H290:电子上消化道内窥镜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2850202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GIF-H290:电子上消化道内窥镜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CF-H290I:电子结肠内窥镜</w:t>
            </w:r>
          </w:p>
        </w:tc>
        <w:tc>
          <w:tcPr>
            <w:tcW w:w="2126" w:type="dxa"/>
            <w:shd w:val="clear" w:color="000000"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2843702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JF TYPE 260V:电子十二指肠内窥镜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2834942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GIF-H290Z:电子上消化道内窥镜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2934806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GIF-H290Z:电子上消化道内窥镜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2934797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GIF-H290Z:电子上消化道内窥镜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2934808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PCF-H290ZI:电子结肠内窥镜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2923118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GIF-H290Z:电子上消化道内窥镜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2934818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PCF-H290ZI:电子结肠内窥镜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2923201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PCF-H290ZI:电子结肠内窥镜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2923197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5573" w:type="dxa"/>
            <w:shd w:val="clear" w:color="auto" w:fill="auto"/>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PCF-H290ZL:电子结肠内窥镜</w:t>
            </w:r>
          </w:p>
        </w:tc>
        <w:tc>
          <w:tcPr>
            <w:tcW w:w="2126"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2820166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5573" w:type="dxa"/>
            <w:shd w:val="clear" w:color="auto" w:fill="FFFFFF"/>
            <w:noWrap/>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CF-H290I: 电子结肠内窥镜</w:t>
            </w:r>
          </w:p>
        </w:tc>
        <w:tc>
          <w:tcPr>
            <w:tcW w:w="2126" w:type="dxa"/>
            <w:shd w:val="clear" w:color="auto" w:fill="FFFFFF"/>
            <w:noWrap/>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2147963</w:t>
            </w:r>
          </w:p>
        </w:tc>
      </w:tr>
    </w:tbl>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bookmarkStart w:id="39" w:name="_Toc4289"/>
      <w:r>
        <w:rPr>
          <w:rFonts w:hint="eastAsia" w:ascii="Times New Roman" w:hAnsi="Times New Roman" w:eastAsia="宋体" w:cs="Times New Roman"/>
          <w:b/>
          <w:bCs/>
          <w:color w:val="auto"/>
          <w:kern w:val="44"/>
          <w:sz w:val="30"/>
          <w:szCs w:val="30"/>
          <w:lang w:val="en-US" w:eastAsia="zh-CN" w:bidi="ar-SA"/>
        </w:rPr>
        <w:t xml:space="preserve">第四部分   </w:t>
      </w:r>
      <w:bookmarkStart w:id="40" w:name="_Toc184312086"/>
      <w:bookmarkEnd w:id="40"/>
      <w:bookmarkStart w:id="41" w:name="_Toc184313279"/>
      <w:bookmarkEnd w:id="41"/>
      <w:bookmarkStart w:id="42" w:name="_Toc184313238"/>
      <w:bookmarkEnd w:id="42"/>
      <w:bookmarkStart w:id="43" w:name="_Toc184310296"/>
      <w:bookmarkEnd w:id="43"/>
      <w:bookmarkStart w:id="44" w:name="_Toc184312104"/>
      <w:bookmarkEnd w:id="44"/>
      <w:bookmarkStart w:id="45" w:name="_Toc184314478"/>
      <w:bookmarkEnd w:id="45"/>
      <w:bookmarkStart w:id="46" w:name="_Toc184312074"/>
      <w:bookmarkEnd w:id="46"/>
      <w:bookmarkStart w:id="47" w:name="_Toc184312107"/>
      <w:bookmarkEnd w:id="47"/>
      <w:bookmarkStart w:id="48" w:name="_Toc184310331"/>
      <w:bookmarkEnd w:id="48"/>
      <w:bookmarkStart w:id="49" w:name="_Toc184308048"/>
      <w:bookmarkEnd w:id="49"/>
      <w:bookmarkStart w:id="50" w:name="_Toc184308093"/>
      <w:bookmarkEnd w:id="50"/>
      <w:bookmarkStart w:id="51" w:name="_Toc184310301"/>
      <w:bookmarkEnd w:id="51"/>
      <w:bookmarkStart w:id="52" w:name="_Toc184308045"/>
      <w:bookmarkEnd w:id="52"/>
      <w:bookmarkStart w:id="53" w:name="_Toc184310341"/>
      <w:bookmarkEnd w:id="53"/>
      <w:bookmarkStart w:id="54" w:name="_Toc184310323"/>
      <w:bookmarkEnd w:id="54"/>
      <w:bookmarkStart w:id="55" w:name="_Toc184313239"/>
      <w:bookmarkEnd w:id="55"/>
      <w:bookmarkStart w:id="56" w:name="_Toc184312078"/>
      <w:bookmarkEnd w:id="56"/>
      <w:bookmarkStart w:id="57" w:name="_Toc184312067"/>
      <w:bookmarkEnd w:id="57"/>
      <w:bookmarkStart w:id="58" w:name="_Toc184310304"/>
      <w:bookmarkEnd w:id="58"/>
      <w:bookmarkStart w:id="59" w:name="_Toc184308039"/>
      <w:bookmarkEnd w:id="59"/>
      <w:bookmarkStart w:id="60" w:name="_Toc184310329"/>
      <w:bookmarkEnd w:id="60"/>
      <w:bookmarkStart w:id="61" w:name="_Toc184313290"/>
      <w:bookmarkEnd w:id="61"/>
      <w:bookmarkStart w:id="62" w:name="_Toc184308102"/>
      <w:bookmarkEnd w:id="62"/>
      <w:bookmarkStart w:id="63" w:name="_Toc184314420"/>
      <w:bookmarkEnd w:id="63"/>
      <w:bookmarkStart w:id="64" w:name="_Toc184314465"/>
      <w:bookmarkEnd w:id="64"/>
      <w:bookmarkStart w:id="65" w:name="_Toc184314427"/>
      <w:bookmarkEnd w:id="65"/>
      <w:bookmarkStart w:id="66" w:name="_Toc184314476"/>
      <w:bookmarkEnd w:id="66"/>
      <w:bookmarkStart w:id="67" w:name="_Toc184313273"/>
      <w:bookmarkEnd w:id="67"/>
      <w:bookmarkStart w:id="68" w:name="_Toc184308074"/>
      <w:bookmarkEnd w:id="68"/>
      <w:bookmarkStart w:id="69" w:name="_Toc184308092"/>
      <w:bookmarkEnd w:id="69"/>
      <w:bookmarkStart w:id="70" w:name="_Toc184314433"/>
      <w:bookmarkEnd w:id="70"/>
      <w:bookmarkStart w:id="71" w:name="_Toc184314422"/>
      <w:bookmarkEnd w:id="71"/>
      <w:bookmarkStart w:id="72" w:name="_Toc184312084"/>
      <w:bookmarkEnd w:id="72"/>
      <w:bookmarkStart w:id="73" w:name="_Toc184310274"/>
      <w:bookmarkEnd w:id="73"/>
      <w:bookmarkStart w:id="74" w:name="_Toc184308085"/>
      <w:bookmarkEnd w:id="74"/>
      <w:bookmarkStart w:id="75" w:name="_Toc184312112"/>
      <w:bookmarkEnd w:id="75"/>
      <w:bookmarkStart w:id="76" w:name="_Toc184308078"/>
      <w:bookmarkEnd w:id="76"/>
      <w:bookmarkStart w:id="77" w:name="_Toc184308082"/>
      <w:bookmarkEnd w:id="77"/>
      <w:bookmarkStart w:id="78" w:name="_Toc184313244"/>
      <w:bookmarkEnd w:id="78"/>
      <w:bookmarkStart w:id="79" w:name="_Toc184314460"/>
      <w:bookmarkEnd w:id="79"/>
      <w:bookmarkStart w:id="80" w:name="_Toc184310272"/>
      <w:bookmarkEnd w:id="80"/>
      <w:bookmarkStart w:id="81" w:name="_Toc184314462"/>
      <w:bookmarkEnd w:id="81"/>
      <w:bookmarkStart w:id="82" w:name="_Toc184314454"/>
      <w:bookmarkEnd w:id="82"/>
      <w:bookmarkStart w:id="83" w:name="_Toc184312087"/>
      <w:bookmarkEnd w:id="83"/>
      <w:bookmarkStart w:id="84" w:name="_Toc184310283"/>
      <w:bookmarkEnd w:id="84"/>
      <w:bookmarkStart w:id="85" w:name="_Toc184308097"/>
      <w:bookmarkEnd w:id="85"/>
      <w:bookmarkStart w:id="86" w:name="_Toc184313256"/>
      <w:bookmarkEnd w:id="86"/>
      <w:bookmarkStart w:id="87" w:name="_Toc184308101"/>
      <w:bookmarkEnd w:id="87"/>
      <w:bookmarkStart w:id="88" w:name="_Toc184308042"/>
      <w:bookmarkEnd w:id="88"/>
      <w:bookmarkStart w:id="89" w:name="_Toc184314432"/>
      <w:bookmarkEnd w:id="89"/>
      <w:bookmarkStart w:id="90" w:name="_Toc184308077"/>
      <w:bookmarkEnd w:id="90"/>
      <w:bookmarkStart w:id="91" w:name="_Toc184312114"/>
      <w:bookmarkEnd w:id="91"/>
      <w:bookmarkStart w:id="92" w:name="_Toc184308051"/>
      <w:bookmarkEnd w:id="92"/>
      <w:bookmarkStart w:id="93" w:name="_Toc184312096"/>
      <w:bookmarkEnd w:id="93"/>
      <w:bookmarkStart w:id="94" w:name="_Toc184312076"/>
      <w:bookmarkEnd w:id="94"/>
      <w:bookmarkStart w:id="95" w:name="_Toc184313276"/>
      <w:bookmarkEnd w:id="95"/>
      <w:bookmarkStart w:id="96" w:name="_Toc184310343"/>
      <w:bookmarkEnd w:id="96"/>
      <w:bookmarkStart w:id="97" w:name="_Toc184314419"/>
      <w:bookmarkEnd w:id="97"/>
      <w:bookmarkStart w:id="98" w:name="_Toc184310290"/>
      <w:bookmarkEnd w:id="98"/>
      <w:bookmarkStart w:id="99" w:name="_Toc184314470"/>
      <w:bookmarkEnd w:id="99"/>
      <w:bookmarkStart w:id="100" w:name="_Toc184310278"/>
      <w:bookmarkEnd w:id="100"/>
      <w:bookmarkStart w:id="101" w:name="_Toc184310328"/>
      <w:bookmarkEnd w:id="101"/>
      <w:bookmarkStart w:id="102" w:name="_Toc184310286"/>
      <w:bookmarkEnd w:id="102"/>
      <w:bookmarkStart w:id="103" w:name="_Toc184313303"/>
      <w:bookmarkEnd w:id="103"/>
      <w:bookmarkStart w:id="104" w:name="_Toc184308062"/>
      <w:bookmarkEnd w:id="104"/>
      <w:bookmarkStart w:id="105" w:name="_Toc184313289"/>
      <w:bookmarkEnd w:id="105"/>
      <w:bookmarkStart w:id="106" w:name="_Toc184308065"/>
      <w:bookmarkEnd w:id="106"/>
      <w:bookmarkStart w:id="107" w:name="_Toc184313266"/>
      <w:bookmarkEnd w:id="107"/>
      <w:bookmarkStart w:id="108" w:name="_Toc184308094"/>
      <w:bookmarkEnd w:id="108"/>
      <w:bookmarkStart w:id="109" w:name="_Toc184313251"/>
      <w:bookmarkEnd w:id="109"/>
      <w:bookmarkStart w:id="110" w:name="_Toc184312070"/>
      <w:bookmarkEnd w:id="110"/>
      <w:bookmarkStart w:id="111" w:name="_Toc184308066"/>
      <w:bookmarkEnd w:id="111"/>
      <w:bookmarkStart w:id="112" w:name="_Toc184313293"/>
      <w:bookmarkEnd w:id="112"/>
      <w:bookmarkStart w:id="113" w:name="_Toc184312094"/>
      <w:bookmarkEnd w:id="113"/>
      <w:bookmarkStart w:id="114" w:name="_Toc184310284"/>
      <w:bookmarkEnd w:id="114"/>
      <w:bookmarkStart w:id="115" w:name="_Toc184314425"/>
      <w:bookmarkEnd w:id="115"/>
      <w:bookmarkStart w:id="116" w:name="_Toc184314458"/>
      <w:bookmarkEnd w:id="116"/>
      <w:bookmarkStart w:id="117" w:name="_Toc184313297"/>
      <w:bookmarkEnd w:id="117"/>
      <w:bookmarkStart w:id="118" w:name="_Toc184312101"/>
      <w:bookmarkEnd w:id="118"/>
      <w:bookmarkStart w:id="119" w:name="_Toc184312088"/>
      <w:bookmarkEnd w:id="119"/>
      <w:bookmarkStart w:id="120" w:name="_Toc184312115"/>
      <w:bookmarkEnd w:id="120"/>
      <w:bookmarkStart w:id="121" w:name="_Toc184314439"/>
      <w:bookmarkEnd w:id="121"/>
      <w:bookmarkStart w:id="122" w:name="_Toc184308069"/>
      <w:bookmarkEnd w:id="122"/>
      <w:bookmarkStart w:id="123" w:name="_Toc184313260"/>
      <w:bookmarkEnd w:id="123"/>
      <w:bookmarkStart w:id="124" w:name="_Toc184308095"/>
      <w:bookmarkEnd w:id="124"/>
      <w:bookmarkStart w:id="125" w:name="_Toc184308087"/>
      <w:bookmarkEnd w:id="125"/>
      <w:bookmarkStart w:id="126" w:name="_Toc184312072"/>
      <w:bookmarkEnd w:id="126"/>
      <w:bookmarkStart w:id="127" w:name="_Toc184308075"/>
      <w:bookmarkEnd w:id="127"/>
      <w:bookmarkStart w:id="128" w:name="_Toc184308086"/>
      <w:bookmarkEnd w:id="128"/>
      <w:bookmarkStart w:id="129" w:name="_Toc184308071"/>
      <w:bookmarkEnd w:id="129"/>
      <w:bookmarkStart w:id="130" w:name="_Toc184308064"/>
      <w:bookmarkEnd w:id="130"/>
      <w:bookmarkStart w:id="131" w:name="_Toc184312109"/>
      <w:bookmarkEnd w:id="131"/>
      <w:bookmarkStart w:id="132" w:name="_Toc184312110"/>
      <w:bookmarkEnd w:id="132"/>
      <w:bookmarkStart w:id="133" w:name="_Toc184312071"/>
      <w:bookmarkEnd w:id="133"/>
      <w:bookmarkStart w:id="134" w:name="_Toc184312093"/>
      <w:bookmarkEnd w:id="134"/>
      <w:bookmarkStart w:id="135" w:name="_Toc184312120"/>
      <w:bookmarkEnd w:id="135"/>
      <w:bookmarkStart w:id="136" w:name="_Toc184312100"/>
      <w:bookmarkEnd w:id="136"/>
      <w:bookmarkStart w:id="137" w:name="_Toc184312135"/>
      <w:bookmarkEnd w:id="137"/>
      <w:bookmarkStart w:id="138" w:name="_Toc184310337"/>
      <w:bookmarkEnd w:id="138"/>
      <w:bookmarkStart w:id="139" w:name="_Toc184312128"/>
      <w:bookmarkEnd w:id="139"/>
      <w:bookmarkStart w:id="140" w:name="_Toc184310325"/>
      <w:bookmarkEnd w:id="140"/>
      <w:bookmarkStart w:id="141" w:name="_Toc184314477"/>
      <w:bookmarkEnd w:id="141"/>
      <w:bookmarkStart w:id="142" w:name="_Toc184310294"/>
      <w:bookmarkEnd w:id="142"/>
      <w:bookmarkStart w:id="143" w:name="_Toc184308059"/>
      <w:bookmarkEnd w:id="143"/>
      <w:bookmarkStart w:id="144" w:name="_Toc184314444"/>
      <w:bookmarkEnd w:id="144"/>
      <w:bookmarkStart w:id="145" w:name="_Toc184313300"/>
      <w:bookmarkEnd w:id="145"/>
      <w:bookmarkStart w:id="146" w:name="_Toc184313248"/>
      <w:bookmarkEnd w:id="146"/>
      <w:bookmarkStart w:id="147" w:name="_Toc184310287"/>
      <w:bookmarkEnd w:id="147"/>
      <w:bookmarkStart w:id="148" w:name="_Toc184314463"/>
      <w:bookmarkEnd w:id="148"/>
      <w:bookmarkStart w:id="149" w:name="_Toc184312083"/>
      <w:bookmarkEnd w:id="149"/>
      <w:bookmarkStart w:id="150" w:name="_Toc184313242"/>
      <w:bookmarkEnd w:id="150"/>
      <w:bookmarkStart w:id="151" w:name="_Toc184308070"/>
      <w:bookmarkEnd w:id="151"/>
      <w:bookmarkStart w:id="152" w:name="_Toc184314453"/>
      <w:bookmarkEnd w:id="152"/>
      <w:bookmarkStart w:id="153" w:name="_Toc184314445"/>
      <w:bookmarkEnd w:id="153"/>
      <w:bookmarkStart w:id="154" w:name="_Toc184308041"/>
      <w:bookmarkEnd w:id="154"/>
      <w:bookmarkStart w:id="155" w:name="_Toc184310300"/>
      <w:bookmarkEnd w:id="155"/>
      <w:bookmarkStart w:id="156" w:name="_Toc184313301"/>
      <w:bookmarkEnd w:id="156"/>
      <w:bookmarkStart w:id="157" w:name="_Toc184308044"/>
      <w:bookmarkEnd w:id="157"/>
      <w:bookmarkStart w:id="158" w:name="_Toc184314424"/>
      <w:bookmarkEnd w:id="158"/>
      <w:bookmarkStart w:id="159" w:name="_Toc184308040"/>
      <w:bookmarkEnd w:id="159"/>
      <w:bookmarkStart w:id="160" w:name="_Toc184313265"/>
      <w:bookmarkEnd w:id="160"/>
      <w:bookmarkStart w:id="161" w:name="_Toc184308084"/>
      <w:bookmarkEnd w:id="161"/>
      <w:bookmarkStart w:id="162" w:name="_Toc184312113"/>
      <w:bookmarkEnd w:id="162"/>
      <w:bookmarkStart w:id="163" w:name="_Toc184310299"/>
      <w:bookmarkEnd w:id="163"/>
      <w:bookmarkStart w:id="164" w:name="_Toc184313269"/>
      <w:bookmarkEnd w:id="164"/>
      <w:bookmarkStart w:id="165" w:name="_Toc184313267"/>
      <w:bookmarkEnd w:id="165"/>
      <w:bookmarkStart w:id="166" w:name="_Toc184313253"/>
      <w:bookmarkEnd w:id="166"/>
      <w:bookmarkStart w:id="167" w:name="_Toc184308105"/>
      <w:bookmarkEnd w:id="167"/>
      <w:bookmarkStart w:id="168" w:name="_Toc184314467"/>
      <w:bookmarkEnd w:id="168"/>
      <w:bookmarkStart w:id="169" w:name="_Toc184310292"/>
      <w:bookmarkEnd w:id="169"/>
      <w:bookmarkStart w:id="170" w:name="_Toc184308089"/>
      <w:bookmarkEnd w:id="170"/>
      <w:bookmarkStart w:id="171" w:name="_Toc184314450"/>
      <w:bookmarkEnd w:id="171"/>
      <w:bookmarkStart w:id="172" w:name="_Toc184308054"/>
      <w:bookmarkEnd w:id="172"/>
      <w:bookmarkStart w:id="173" w:name="_Toc184314417"/>
      <w:bookmarkEnd w:id="173"/>
      <w:bookmarkStart w:id="174" w:name="_Toc184310289"/>
      <w:bookmarkEnd w:id="174"/>
      <w:bookmarkStart w:id="175" w:name="_Toc184313287"/>
      <w:bookmarkEnd w:id="175"/>
      <w:bookmarkStart w:id="176" w:name="_Toc184314480"/>
      <w:bookmarkEnd w:id="176"/>
      <w:bookmarkStart w:id="177" w:name="_Toc184314459"/>
      <w:bookmarkEnd w:id="177"/>
      <w:bookmarkStart w:id="178" w:name="_Toc184310288"/>
      <w:bookmarkEnd w:id="178"/>
      <w:bookmarkStart w:id="179" w:name="_Toc184312105"/>
      <w:bookmarkEnd w:id="179"/>
      <w:bookmarkStart w:id="180" w:name="_Toc184312116"/>
      <w:bookmarkEnd w:id="180"/>
      <w:bookmarkStart w:id="181" w:name="_Toc184314415"/>
      <w:bookmarkEnd w:id="181"/>
      <w:bookmarkStart w:id="182" w:name="_Toc184312099"/>
      <w:bookmarkEnd w:id="182"/>
      <w:bookmarkStart w:id="183" w:name="_Toc184313274"/>
      <w:bookmarkEnd w:id="183"/>
      <w:bookmarkStart w:id="184" w:name="_Toc184313240"/>
      <w:bookmarkEnd w:id="184"/>
      <w:bookmarkStart w:id="185" w:name="_Toc184313298"/>
      <w:bookmarkEnd w:id="185"/>
      <w:bookmarkStart w:id="186" w:name="_Toc184312103"/>
      <w:bookmarkEnd w:id="186"/>
      <w:bookmarkStart w:id="187" w:name="_Toc184310280"/>
      <w:bookmarkEnd w:id="187"/>
      <w:bookmarkStart w:id="188" w:name="_Toc184314451"/>
      <w:bookmarkEnd w:id="188"/>
      <w:bookmarkStart w:id="189" w:name="_Toc184308053"/>
      <w:bookmarkEnd w:id="189"/>
      <w:bookmarkStart w:id="190" w:name="_Toc184308104"/>
      <w:bookmarkEnd w:id="190"/>
      <w:bookmarkStart w:id="191" w:name="_Toc184310340"/>
      <w:bookmarkEnd w:id="191"/>
      <w:bookmarkStart w:id="192" w:name="_Toc184313249"/>
      <w:bookmarkEnd w:id="192"/>
      <w:bookmarkStart w:id="193" w:name="_Toc184312090"/>
      <w:bookmarkEnd w:id="193"/>
      <w:bookmarkStart w:id="194" w:name="_Toc184314464"/>
      <w:bookmarkEnd w:id="194"/>
      <w:bookmarkStart w:id="195" w:name="_Toc184314431"/>
      <w:bookmarkEnd w:id="195"/>
      <w:bookmarkStart w:id="196" w:name="_Toc184313246"/>
      <w:bookmarkEnd w:id="196"/>
      <w:bookmarkStart w:id="197" w:name="_Toc184308083"/>
      <w:bookmarkEnd w:id="197"/>
      <w:bookmarkStart w:id="198" w:name="_Toc184314448"/>
      <w:bookmarkEnd w:id="198"/>
      <w:bookmarkStart w:id="199" w:name="_Toc184308067"/>
      <w:bookmarkEnd w:id="199"/>
      <w:bookmarkStart w:id="200" w:name="_Toc184314414"/>
      <w:bookmarkEnd w:id="200"/>
      <w:bookmarkStart w:id="201" w:name="_Toc184313252"/>
      <w:bookmarkEnd w:id="201"/>
      <w:bookmarkStart w:id="202" w:name="_Toc184312137"/>
      <w:bookmarkEnd w:id="202"/>
      <w:bookmarkStart w:id="203" w:name="_Toc184314482"/>
      <w:bookmarkEnd w:id="203"/>
      <w:bookmarkStart w:id="204" w:name="_Toc184310312"/>
      <w:bookmarkEnd w:id="204"/>
      <w:bookmarkStart w:id="205" w:name="_Toc184314435"/>
      <w:bookmarkEnd w:id="205"/>
      <w:bookmarkStart w:id="206" w:name="_Toc184310285"/>
      <w:bookmarkEnd w:id="206"/>
      <w:bookmarkStart w:id="207" w:name="_Toc184313285"/>
      <w:bookmarkEnd w:id="207"/>
      <w:bookmarkStart w:id="208" w:name="_Toc184312131"/>
      <w:bookmarkEnd w:id="208"/>
      <w:bookmarkStart w:id="209" w:name="_Toc184310277"/>
      <w:bookmarkEnd w:id="209"/>
      <w:bookmarkStart w:id="210" w:name="_Toc184312119"/>
      <w:bookmarkEnd w:id="210"/>
      <w:bookmarkStart w:id="211" w:name="_Toc184312117"/>
      <w:bookmarkEnd w:id="211"/>
      <w:bookmarkStart w:id="212" w:name="_Toc184313308"/>
      <w:bookmarkEnd w:id="212"/>
      <w:bookmarkStart w:id="213" w:name="_Toc184308047"/>
      <w:bookmarkEnd w:id="213"/>
      <w:bookmarkStart w:id="214" w:name="_Toc184313280"/>
      <w:bookmarkEnd w:id="214"/>
      <w:bookmarkStart w:id="215" w:name="_Toc184313288"/>
      <w:bookmarkEnd w:id="215"/>
      <w:bookmarkStart w:id="216" w:name="_Toc184308103"/>
      <w:bookmarkEnd w:id="216"/>
      <w:bookmarkStart w:id="217" w:name="_Toc184312091"/>
      <w:bookmarkEnd w:id="217"/>
      <w:bookmarkStart w:id="218" w:name="_Toc184312130"/>
      <w:bookmarkEnd w:id="218"/>
      <w:bookmarkStart w:id="219" w:name="_Toc184313284"/>
      <w:bookmarkEnd w:id="219"/>
      <w:bookmarkStart w:id="220" w:name="_Toc184313250"/>
      <w:bookmarkEnd w:id="220"/>
      <w:bookmarkStart w:id="221" w:name="_Toc184308090"/>
      <w:bookmarkEnd w:id="221"/>
      <w:bookmarkStart w:id="222" w:name="_Toc184313305"/>
      <w:bookmarkEnd w:id="222"/>
      <w:bookmarkStart w:id="223" w:name="_Toc184314421"/>
      <w:bookmarkEnd w:id="223"/>
      <w:bookmarkStart w:id="224" w:name="_Toc184313306"/>
      <w:bookmarkEnd w:id="224"/>
      <w:bookmarkStart w:id="225" w:name="_Toc184310327"/>
      <w:bookmarkEnd w:id="225"/>
      <w:bookmarkStart w:id="226" w:name="_Toc184308080"/>
      <w:bookmarkEnd w:id="226"/>
      <w:bookmarkStart w:id="227" w:name="_Toc184313281"/>
      <w:bookmarkEnd w:id="227"/>
      <w:bookmarkStart w:id="228" w:name="_Toc184312085"/>
      <w:bookmarkEnd w:id="228"/>
      <w:bookmarkStart w:id="229" w:name="_Toc184310324"/>
      <w:bookmarkEnd w:id="229"/>
      <w:bookmarkStart w:id="230" w:name="_Toc184310302"/>
      <w:bookmarkEnd w:id="230"/>
      <w:bookmarkStart w:id="231" w:name="_Toc184312136"/>
      <w:bookmarkEnd w:id="231"/>
      <w:bookmarkStart w:id="232" w:name="_Toc184312129"/>
      <w:bookmarkEnd w:id="232"/>
      <w:bookmarkStart w:id="233" w:name="_Toc184313259"/>
      <w:bookmarkEnd w:id="233"/>
      <w:bookmarkStart w:id="234" w:name="_Toc184312132"/>
      <w:bookmarkEnd w:id="234"/>
      <w:bookmarkStart w:id="235" w:name="_Toc184314426"/>
      <w:bookmarkEnd w:id="235"/>
      <w:bookmarkStart w:id="236" w:name="_Toc184310291"/>
      <w:bookmarkEnd w:id="236"/>
      <w:bookmarkStart w:id="237" w:name="_Toc184310333"/>
      <w:bookmarkEnd w:id="237"/>
      <w:bookmarkStart w:id="238" w:name="_Toc184314452"/>
      <w:bookmarkEnd w:id="238"/>
      <w:bookmarkStart w:id="239" w:name="_Toc184313307"/>
      <w:bookmarkEnd w:id="239"/>
      <w:bookmarkStart w:id="240" w:name="_Toc184314430"/>
      <w:bookmarkEnd w:id="240"/>
      <w:bookmarkStart w:id="241" w:name="_Toc184310334"/>
      <w:bookmarkEnd w:id="241"/>
      <w:bookmarkStart w:id="242" w:name="_Toc184313277"/>
      <w:bookmarkEnd w:id="242"/>
      <w:bookmarkStart w:id="243" w:name="_Toc184310335"/>
      <w:bookmarkEnd w:id="243"/>
      <w:bookmarkStart w:id="244" w:name="_Toc184314472"/>
      <w:bookmarkEnd w:id="244"/>
      <w:bookmarkStart w:id="245" w:name="_Toc184308063"/>
      <w:bookmarkEnd w:id="245"/>
      <w:bookmarkStart w:id="246" w:name="_Toc184310342"/>
      <w:bookmarkEnd w:id="246"/>
      <w:bookmarkStart w:id="247" w:name="_Toc184308079"/>
      <w:bookmarkEnd w:id="247"/>
      <w:bookmarkStart w:id="248" w:name="_Toc184313258"/>
      <w:bookmarkEnd w:id="248"/>
      <w:bookmarkStart w:id="249" w:name="_Toc184308100"/>
      <w:bookmarkEnd w:id="249"/>
      <w:bookmarkStart w:id="250" w:name="_Toc184308073"/>
      <w:bookmarkEnd w:id="250"/>
      <w:bookmarkStart w:id="251" w:name="_Toc184310322"/>
      <w:bookmarkEnd w:id="251"/>
      <w:bookmarkStart w:id="252" w:name="_Toc184310276"/>
      <w:bookmarkEnd w:id="252"/>
      <w:bookmarkStart w:id="253" w:name="_Toc184312124"/>
      <w:bookmarkEnd w:id="253"/>
      <w:bookmarkStart w:id="254" w:name="_Toc184310332"/>
      <w:bookmarkEnd w:id="254"/>
      <w:bookmarkStart w:id="255" w:name="_Toc184314429"/>
      <w:bookmarkEnd w:id="255"/>
      <w:bookmarkStart w:id="256" w:name="_Toc184310305"/>
      <w:bookmarkEnd w:id="256"/>
      <w:bookmarkStart w:id="257" w:name="_Toc184308049"/>
      <w:bookmarkEnd w:id="257"/>
      <w:bookmarkStart w:id="258" w:name="_Toc184312068"/>
      <w:bookmarkEnd w:id="258"/>
      <w:bookmarkStart w:id="259" w:name="_Toc184310303"/>
      <w:bookmarkEnd w:id="259"/>
      <w:bookmarkStart w:id="260" w:name="_Toc184312081"/>
      <w:bookmarkEnd w:id="260"/>
      <w:bookmarkStart w:id="261" w:name="_Toc184314411"/>
      <w:bookmarkEnd w:id="261"/>
      <w:bookmarkStart w:id="262" w:name="_Toc184312089"/>
      <w:bookmarkEnd w:id="262"/>
      <w:bookmarkStart w:id="263" w:name="_Toc184308036"/>
      <w:bookmarkEnd w:id="263"/>
      <w:bookmarkStart w:id="264" w:name="_Toc184314475"/>
      <w:bookmarkEnd w:id="264"/>
      <w:bookmarkStart w:id="265" w:name="_Toc184312075"/>
      <w:bookmarkEnd w:id="265"/>
      <w:bookmarkStart w:id="266" w:name="_Toc184313295"/>
      <w:bookmarkEnd w:id="266"/>
      <w:bookmarkStart w:id="267" w:name="_Toc184312127"/>
      <w:bookmarkEnd w:id="267"/>
      <w:bookmarkStart w:id="268" w:name="_Toc184313283"/>
      <w:bookmarkEnd w:id="268"/>
      <w:bookmarkStart w:id="269" w:name="_Toc184312108"/>
      <w:bookmarkEnd w:id="269"/>
      <w:bookmarkStart w:id="270" w:name="_Toc184314413"/>
      <w:bookmarkEnd w:id="270"/>
      <w:bookmarkStart w:id="271" w:name="_Toc184312134"/>
      <w:bookmarkEnd w:id="271"/>
      <w:bookmarkStart w:id="272" w:name="_Toc184310320"/>
      <w:bookmarkEnd w:id="272"/>
      <w:bookmarkStart w:id="273" w:name="_Toc184314418"/>
      <w:bookmarkEnd w:id="273"/>
      <w:bookmarkStart w:id="274" w:name="_Toc184308098"/>
      <w:bookmarkEnd w:id="274"/>
      <w:bookmarkStart w:id="275" w:name="_Toc184313278"/>
      <w:bookmarkEnd w:id="275"/>
      <w:bookmarkStart w:id="276" w:name="_Toc184312126"/>
      <w:bookmarkEnd w:id="276"/>
      <w:bookmarkStart w:id="277" w:name="_Toc184308052"/>
      <w:bookmarkEnd w:id="277"/>
      <w:bookmarkStart w:id="278" w:name="_Toc184312139"/>
      <w:bookmarkEnd w:id="278"/>
      <w:bookmarkStart w:id="279" w:name="_Toc184313271"/>
      <w:bookmarkEnd w:id="279"/>
      <w:bookmarkStart w:id="280" w:name="_Toc184314473"/>
      <w:bookmarkEnd w:id="280"/>
      <w:bookmarkStart w:id="281" w:name="_Toc184308056"/>
      <w:bookmarkEnd w:id="281"/>
      <w:bookmarkStart w:id="282" w:name="_Toc184310338"/>
      <w:bookmarkEnd w:id="282"/>
      <w:bookmarkStart w:id="283" w:name="_Toc184314466"/>
      <w:bookmarkEnd w:id="283"/>
      <w:bookmarkStart w:id="284" w:name="_Toc184310282"/>
      <w:bookmarkEnd w:id="284"/>
      <w:bookmarkStart w:id="285" w:name="_Toc184312095"/>
      <w:bookmarkEnd w:id="285"/>
      <w:bookmarkStart w:id="286" w:name="_Toc184312079"/>
      <w:bookmarkEnd w:id="286"/>
      <w:bookmarkStart w:id="287" w:name="_Toc184312111"/>
      <w:bookmarkEnd w:id="287"/>
      <w:bookmarkStart w:id="288" w:name="_Toc184308046"/>
      <w:bookmarkEnd w:id="288"/>
      <w:bookmarkStart w:id="289" w:name="_Toc184308043"/>
      <w:bookmarkEnd w:id="289"/>
      <w:bookmarkStart w:id="290" w:name="_Toc184313296"/>
      <w:bookmarkEnd w:id="290"/>
      <w:bookmarkStart w:id="291" w:name="_Toc184308106"/>
      <w:bookmarkEnd w:id="291"/>
      <w:bookmarkStart w:id="292" w:name="_Toc184310293"/>
      <w:bookmarkEnd w:id="292"/>
      <w:bookmarkStart w:id="293" w:name="_Toc184313310"/>
      <w:bookmarkEnd w:id="293"/>
      <w:bookmarkStart w:id="294" w:name="_Toc184313255"/>
      <w:bookmarkEnd w:id="294"/>
      <w:bookmarkStart w:id="295" w:name="_Toc184312121"/>
      <w:bookmarkEnd w:id="295"/>
      <w:bookmarkStart w:id="296" w:name="_Toc184310319"/>
      <w:bookmarkEnd w:id="296"/>
      <w:bookmarkStart w:id="297" w:name="_Toc184314440"/>
      <w:bookmarkEnd w:id="297"/>
      <w:bookmarkStart w:id="298" w:name="_Toc184308072"/>
      <w:bookmarkEnd w:id="298"/>
      <w:bookmarkStart w:id="299" w:name="_Toc184310279"/>
      <w:bookmarkEnd w:id="299"/>
      <w:bookmarkStart w:id="300" w:name="_Toc184308038"/>
      <w:bookmarkEnd w:id="300"/>
      <w:bookmarkStart w:id="301" w:name="_Toc184313292"/>
      <w:bookmarkEnd w:id="301"/>
      <w:bookmarkStart w:id="302" w:name="_Toc184314471"/>
      <w:bookmarkEnd w:id="302"/>
      <w:bookmarkStart w:id="303" w:name="_Toc184313241"/>
      <w:bookmarkEnd w:id="303"/>
      <w:bookmarkStart w:id="304" w:name="_Toc184310310"/>
      <w:bookmarkEnd w:id="304"/>
      <w:bookmarkStart w:id="305" w:name="_Toc184308068"/>
      <w:bookmarkEnd w:id="305"/>
      <w:bookmarkStart w:id="306" w:name="_Toc184308058"/>
      <w:bookmarkEnd w:id="306"/>
      <w:bookmarkStart w:id="307" w:name="_Toc184312082"/>
      <w:bookmarkEnd w:id="307"/>
      <w:bookmarkStart w:id="308" w:name="_Toc184308060"/>
      <w:bookmarkEnd w:id="308"/>
      <w:bookmarkStart w:id="309" w:name="_Toc184312133"/>
      <w:bookmarkEnd w:id="309"/>
      <w:bookmarkStart w:id="310" w:name="_Toc184308076"/>
      <w:bookmarkEnd w:id="310"/>
      <w:bookmarkStart w:id="311" w:name="_Toc184314442"/>
      <w:bookmarkEnd w:id="311"/>
      <w:bookmarkStart w:id="312" w:name="_Toc184313272"/>
      <w:bookmarkEnd w:id="312"/>
      <w:bookmarkStart w:id="313" w:name="_Toc184313264"/>
      <w:bookmarkEnd w:id="313"/>
      <w:bookmarkStart w:id="314" w:name="_Toc184314474"/>
      <w:bookmarkEnd w:id="314"/>
      <w:bookmarkStart w:id="315" w:name="_Toc184314455"/>
      <w:bookmarkEnd w:id="315"/>
      <w:bookmarkStart w:id="316" w:name="_Toc184314446"/>
      <w:bookmarkEnd w:id="316"/>
      <w:bookmarkStart w:id="317" w:name="_Toc184314481"/>
      <w:bookmarkEnd w:id="317"/>
      <w:bookmarkStart w:id="318" w:name="_Toc184313309"/>
      <w:bookmarkEnd w:id="318"/>
      <w:bookmarkStart w:id="319" w:name="_Toc184313286"/>
      <w:bookmarkEnd w:id="319"/>
      <w:bookmarkStart w:id="320" w:name="_Toc184314423"/>
      <w:bookmarkEnd w:id="320"/>
      <w:bookmarkStart w:id="321" w:name="_Toc184310330"/>
      <w:bookmarkEnd w:id="321"/>
      <w:bookmarkStart w:id="322" w:name="_Toc184312097"/>
      <w:bookmarkEnd w:id="322"/>
      <w:bookmarkStart w:id="323" w:name="_Toc184310295"/>
      <w:bookmarkEnd w:id="323"/>
      <w:bookmarkStart w:id="324" w:name="_Toc184313275"/>
      <w:bookmarkEnd w:id="324"/>
      <w:bookmarkStart w:id="325" w:name="_Toc184308057"/>
      <w:bookmarkEnd w:id="325"/>
      <w:bookmarkStart w:id="326" w:name="_Toc184310314"/>
      <w:bookmarkEnd w:id="326"/>
      <w:bookmarkStart w:id="327" w:name="_Toc184313282"/>
      <w:bookmarkEnd w:id="327"/>
      <w:bookmarkStart w:id="328" w:name="_Toc184310298"/>
      <w:bookmarkEnd w:id="328"/>
      <w:bookmarkStart w:id="329" w:name="_Toc184314412"/>
      <w:bookmarkEnd w:id="329"/>
      <w:bookmarkStart w:id="330" w:name="_Toc184314436"/>
      <w:bookmarkEnd w:id="330"/>
      <w:bookmarkStart w:id="331" w:name="_Toc184310297"/>
      <w:bookmarkEnd w:id="331"/>
      <w:bookmarkStart w:id="332" w:name="_Toc184310306"/>
      <w:bookmarkEnd w:id="332"/>
      <w:bookmarkStart w:id="333" w:name="_Toc184312138"/>
      <w:bookmarkEnd w:id="333"/>
      <w:bookmarkStart w:id="334" w:name="_Toc184313291"/>
      <w:bookmarkEnd w:id="334"/>
      <w:bookmarkStart w:id="335" w:name="_Toc184313262"/>
      <w:bookmarkEnd w:id="335"/>
      <w:bookmarkStart w:id="336" w:name="_Toc184314469"/>
      <w:bookmarkEnd w:id="336"/>
      <w:bookmarkStart w:id="337" w:name="_Toc184312092"/>
      <w:bookmarkEnd w:id="337"/>
      <w:bookmarkStart w:id="338" w:name="_Toc184314443"/>
      <w:bookmarkEnd w:id="338"/>
      <w:bookmarkStart w:id="339" w:name="_Toc184312080"/>
      <w:bookmarkEnd w:id="339"/>
      <w:bookmarkStart w:id="340" w:name="_Toc184314437"/>
      <w:bookmarkEnd w:id="340"/>
      <w:bookmarkStart w:id="341" w:name="_Toc184313263"/>
      <w:bookmarkEnd w:id="341"/>
      <w:bookmarkStart w:id="342" w:name="_Toc184310307"/>
      <w:bookmarkEnd w:id="342"/>
      <w:bookmarkStart w:id="343" w:name="_Toc184308108"/>
      <w:bookmarkEnd w:id="343"/>
      <w:bookmarkStart w:id="344" w:name="_Toc184314416"/>
      <w:bookmarkEnd w:id="344"/>
      <w:bookmarkStart w:id="345" w:name="_Toc184312069"/>
      <w:bookmarkEnd w:id="345"/>
      <w:bookmarkStart w:id="346" w:name="_Toc184310321"/>
      <w:bookmarkEnd w:id="346"/>
      <w:bookmarkStart w:id="347" w:name="_Toc184308037"/>
      <w:bookmarkEnd w:id="347"/>
      <w:bookmarkStart w:id="348" w:name="_Toc184310309"/>
      <w:bookmarkEnd w:id="348"/>
      <w:bookmarkStart w:id="349" w:name="_Toc184314428"/>
      <w:bookmarkEnd w:id="349"/>
      <w:bookmarkStart w:id="350" w:name="_Toc184308088"/>
      <w:bookmarkEnd w:id="350"/>
      <w:bookmarkStart w:id="351" w:name="_Toc184310339"/>
      <w:bookmarkEnd w:id="351"/>
      <w:bookmarkStart w:id="352" w:name="_Toc184308107"/>
      <w:bookmarkEnd w:id="352"/>
      <w:bookmarkStart w:id="353" w:name="_Toc184313270"/>
      <w:bookmarkEnd w:id="353"/>
      <w:bookmarkStart w:id="354" w:name="_Toc184308081"/>
      <w:bookmarkEnd w:id="354"/>
      <w:bookmarkStart w:id="355" w:name="_Toc184314461"/>
      <w:bookmarkEnd w:id="355"/>
      <w:bookmarkStart w:id="356" w:name="_Toc184314447"/>
      <w:bookmarkEnd w:id="356"/>
      <w:bookmarkStart w:id="357" w:name="_Toc184310281"/>
      <w:bookmarkEnd w:id="357"/>
      <w:bookmarkStart w:id="358" w:name="_Toc184310315"/>
      <w:bookmarkEnd w:id="358"/>
      <w:bookmarkStart w:id="359" w:name="_Toc184313243"/>
      <w:bookmarkEnd w:id="359"/>
      <w:bookmarkStart w:id="360" w:name="_Toc184313304"/>
      <w:bookmarkEnd w:id="360"/>
      <w:bookmarkStart w:id="361" w:name="_Toc184313247"/>
      <w:bookmarkEnd w:id="361"/>
      <w:bookmarkStart w:id="362" w:name="_Toc184310275"/>
      <w:bookmarkEnd w:id="362"/>
      <w:bookmarkStart w:id="363" w:name="_Toc184313245"/>
      <w:bookmarkEnd w:id="363"/>
      <w:bookmarkStart w:id="364" w:name="_Toc184310344"/>
      <w:bookmarkEnd w:id="364"/>
      <w:bookmarkStart w:id="365" w:name="_Toc184310336"/>
      <w:bookmarkEnd w:id="365"/>
      <w:bookmarkStart w:id="366" w:name="_Toc184310317"/>
      <w:bookmarkEnd w:id="366"/>
      <w:bookmarkStart w:id="367" w:name="_Toc184312125"/>
      <w:bookmarkEnd w:id="367"/>
      <w:bookmarkStart w:id="368" w:name="_Toc184313257"/>
      <w:bookmarkEnd w:id="368"/>
      <w:bookmarkStart w:id="369" w:name="_Toc184312077"/>
      <w:bookmarkEnd w:id="369"/>
      <w:bookmarkStart w:id="370" w:name="_Toc184310308"/>
      <w:bookmarkEnd w:id="370"/>
      <w:bookmarkStart w:id="371" w:name="_Toc184310313"/>
      <w:bookmarkEnd w:id="371"/>
      <w:bookmarkStart w:id="372" w:name="_Toc184313261"/>
      <w:bookmarkEnd w:id="372"/>
      <w:bookmarkStart w:id="373" w:name="_Toc184310318"/>
      <w:bookmarkEnd w:id="373"/>
      <w:bookmarkStart w:id="374" w:name="_Toc184314438"/>
      <w:bookmarkEnd w:id="374"/>
      <w:bookmarkStart w:id="375" w:name="_Toc184312102"/>
      <w:bookmarkEnd w:id="375"/>
      <w:bookmarkStart w:id="376" w:name="_Toc184314449"/>
      <w:bookmarkEnd w:id="376"/>
      <w:bookmarkStart w:id="377" w:name="_Toc184314479"/>
      <w:bookmarkEnd w:id="377"/>
      <w:bookmarkStart w:id="378" w:name="_Toc184312098"/>
      <w:bookmarkEnd w:id="378"/>
      <w:bookmarkStart w:id="379" w:name="_Toc184313254"/>
      <w:bookmarkEnd w:id="379"/>
      <w:bookmarkStart w:id="380" w:name="_Toc184313299"/>
      <w:bookmarkEnd w:id="380"/>
      <w:bookmarkStart w:id="381" w:name="_Toc184308061"/>
      <w:bookmarkEnd w:id="381"/>
      <w:bookmarkStart w:id="382" w:name="_Toc184313302"/>
      <w:bookmarkEnd w:id="382"/>
      <w:bookmarkStart w:id="383" w:name="_Toc184314468"/>
      <w:bookmarkEnd w:id="383"/>
      <w:bookmarkStart w:id="384" w:name="_Toc184308050"/>
      <w:bookmarkEnd w:id="384"/>
      <w:bookmarkStart w:id="385" w:name="_Toc184310273"/>
      <w:bookmarkEnd w:id="385"/>
      <w:bookmarkStart w:id="386" w:name="_Toc184314410"/>
      <w:bookmarkEnd w:id="386"/>
      <w:bookmarkStart w:id="387" w:name="_Toc184308096"/>
      <w:bookmarkEnd w:id="387"/>
      <w:bookmarkStart w:id="388" w:name="_Toc184312106"/>
      <w:bookmarkEnd w:id="388"/>
      <w:bookmarkStart w:id="389" w:name="_Toc184310316"/>
      <w:bookmarkEnd w:id="389"/>
      <w:bookmarkStart w:id="390" w:name="_Toc184308055"/>
      <w:bookmarkEnd w:id="390"/>
      <w:bookmarkStart w:id="391" w:name="_Toc184314434"/>
      <w:bookmarkEnd w:id="391"/>
      <w:bookmarkStart w:id="392" w:name="_Toc184313268"/>
      <w:bookmarkEnd w:id="392"/>
      <w:bookmarkStart w:id="393" w:name="_Toc184312122"/>
      <w:bookmarkEnd w:id="393"/>
      <w:bookmarkStart w:id="394" w:name="_Toc184312118"/>
      <w:bookmarkEnd w:id="394"/>
      <w:bookmarkStart w:id="395" w:name="_Toc184308091"/>
      <w:bookmarkEnd w:id="395"/>
      <w:bookmarkStart w:id="396" w:name="_Toc184312123"/>
      <w:bookmarkEnd w:id="396"/>
      <w:bookmarkStart w:id="397" w:name="_Toc184314456"/>
      <w:bookmarkEnd w:id="397"/>
      <w:bookmarkStart w:id="398" w:name="_Toc184314441"/>
      <w:bookmarkEnd w:id="398"/>
      <w:bookmarkStart w:id="399" w:name="_Toc184308099"/>
      <w:bookmarkEnd w:id="399"/>
      <w:bookmarkStart w:id="400" w:name="_Toc184312073"/>
      <w:bookmarkEnd w:id="400"/>
      <w:bookmarkStart w:id="401" w:name="_Toc184310311"/>
      <w:bookmarkEnd w:id="401"/>
      <w:bookmarkStart w:id="402" w:name="_Toc184310326"/>
      <w:bookmarkEnd w:id="402"/>
      <w:bookmarkStart w:id="403" w:name="_Toc184314457"/>
      <w:bookmarkEnd w:id="403"/>
      <w:bookmarkStart w:id="404" w:name="_Toc184313294"/>
      <w:bookmarkEnd w:id="404"/>
      <w:r>
        <w:rPr>
          <w:rFonts w:hint="eastAsia" w:ascii="Times New Roman" w:hAnsi="Times New Roman" w:eastAsia="宋体" w:cs="Times New Roman"/>
          <w:b/>
          <w:bCs/>
          <w:color w:val="auto"/>
          <w:kern w:val="44"/>
          <w:sz w:val="30"/>
          <w:szCs w:val="30"/>
          <w:lang w:val="en-US" w:eastAsia="zh-CN" w:bidi="ar-SA"/>
        </w:rPr>
        <w:t>评标办法</w:t>
      </w:r>
      <w:bookmarkEnd w:id="39"/>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3"/>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5598"/>
        <w:gridCol w:w="749"/>
        <w:gridCol w:w="9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598"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评标标准</w:t>
            </w:r>
          </w:p>
        </w:tc>
        <w:tc>
          <w:tcPr>
            <w:tcW w:w="749"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主观分/客观分属性</w:t>
            </w: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ascii="宋体" w:hAnsi="宋体" w:cs="宋体"/>
                <w:color w:val="auto"/>
                <w:szCs w:val="24"/>
              </w:rPr>
            </w:pPr>
            <w:r>
              <w:rPr>
                <w:rFonts w:hint="eastAsia" w:ascii="宋体" w:hAnsi="宋体" w:cs="宋体"/>
                <w:color w:val="auto"/>
                <w:szCs w:val="24"/>
              </w:rPr>
              <w:t>供应商自2020年1月1日以来（以合同最终签订日期为准），承接具有本项目主要内容特征的项目业绩的，每提供一份项目业绩得0.5分，最高得</w:t>
            </w:r>
            <w:r>
              <w:rPr>
                <w:rFonts w:hint="eastAsia" w:ascii="宋体" w:hAnsi="宋体" w:cs="宋体"/>
                <w:color w:val="auto"/>
                <w:szCs w:val="24"/>
                <w:lang w:val="en-US" w:eastAsia="zh-CN"/>
              </w:rPr>
              <w:t>2</w:t>
            </w:r>
            <w:r>
              <w:rPr>
                <w:rFonts w:hint="eastAsia" w:ascii="宋体" w:hAnsi="宋体" w:cs="宋体"/>
                <w:color w:val="auto"/>
                <w:szCs w:val="24"/>
              </w:rPr>
              <w:t>分。</w:t>
            </w:r>
          </w:p>
          <w:p>
            <w:pPr>
              <w:pStyle w:val="130"/>
              <w:snapToGrid w:val="0"/>
              <w:spacing w:before="0" w:line="240" w:lineRule="auto"/>
              <w:ind w:firstLine="0" w:firstLineChars="0"/>
              <w:jc w:val="left"/>
              <w:rPr>
                <w:rFonts w:hint="eastAsia" w:ascii="宋体" w:hAnsi="宋体" w:eastAsia="宋体" w:cs="宋体"/>
                <w:color w:val="auto"/>
                <w:sz w:val="24"/>
                <w:szCs w:val="24"/>
              </w:rPr>
            </w:pPr>
            <w:r>
              <w:rPr>
                <w:rFonts w:hint="eastAsia" w:ascii="宋体" w:hAnsi="宋体" w:cs="宋体"/>
                <w:color w:val="auto"/>
                <w:szCs w:val="24"/>
              </w:rPr>
              <w:t>证明材料：提供合同复印件加盖公章（合同内容无法体现项目内容的可另行提供合同中甲方出具的证明材料），否则不得分。</w:t>
            </w:r>
          </w:p>
        </w:tc>
        <w:tc>
          <w:tcPr>
            <w:tcW w:w="749" w:type="dxa"/>
            <w:vAlign w:val="center"/>
          </w:tcPr>
          <w:p>
            <w:pPr>
              <w:pStyle w:val="130"/>
              <w:spacing w:before="0"/>
              <w:ind w:firstLine="0" w:firstLineChars="0"/>
              <w:jc w:val="center"/>
              <w:rPr>
                <w:rFonts w:hint="default" w:ascii="宋体" w:hAnsi="宋体" w:eastAsia="宋体" w:cs="宋体"/>
                <w:color w:val="auto"/>
                <w:sz w:val="24"/>
                <w:szCs w:val="24"/>
                <w:lang w:val="en-US" w:eastAsia="zh-CN"/>
              </w:rPr>
            </w:pPr>
            <w:r>
              <w:rPr>
                <w:rFonts w:hint="eastAsia" w:cs="仿宋_GB2312" w:asciiTheme="minorEastAsia" w:hAnsiTheme="minorEastAsia" w:eastAsiaTheme="minorEastAsia"/>
                <w:color w:val="auto"/>
                <w:szCs w:val="24"/>
                <w:lang w:val="en-US" w:eastAsia="zh-CN"/>
              </w:rPr>
              <w:t>2</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lang w:val="en-US" w:eastAsia="zh-CN"/>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供应商对</w:t>
            </w:r>
            <w:r>
              <w:rPr>
                <w:rFonts w:hint="eastAsia" w:ascii="宋体" w:hAnsi="宋体" w:eastAsia="宋体" w:cs="宋体"/>
                <w:color w:val="auto"/>
                <w:sz w:val="24"/>
                <w:szCs w:val="24"/>
                <w:lang w:eastAsia="zh-CN"/>
              </w:rPr>
              <w:t>招标文件</w:t>
            </w:r>
            <w:r>
              <w:rPr>
                <w:rFonts w:hint="eastAsia" w:ascii="宋体" w:hAnsi="宋体" w:eastAsia="宋体" w:cs="宋体"/>
                <w:color w:val="auto"/>
                <w:sz w:val="24"/>
                <w:szCs w:val="24"/>
              </w:rPr>
              <w:t>第三部分 采购需求中“</w:t>
            </w:r>
            <w:r>
              <w:rPr>
                <w:rFonts w:hint="eastAsia" w:ascii="宋体" w:hAnsi="宋体" w:cs="宋体"/>
                <w:color w:val="auto"/>
                <w:szCs w:val="24"/>
                <w:lang w:val="en-US" w:eastAsia="zh-CN"/>
              </w:rPr>
              <w:t>2.技术服务要求</w:t>
            </w:r>
            <w:r>
              <w:rPr>
                <w:rFonts w:hint="eastAsia" w:ascii="宋体" w:hAnsi="宋体" w:eastAsia="宋体" w:cs="宋体"/>
                <w:color w:val="auto"/>
                <w:sz w:val="24"/>
                <w:szCs w:val="24"/>
              </w:rPr>
              <w:t>”的</w:t>
            </w:r>
            <w:r>
              <w:rPr>
                <w:rFonts w:hint="eastAsia" w:ascii="宋体" w:hAnsi="宋体" w:eastAsia="宋体" w:cs="宋体"/>
                <w:color w:val="auto"/>
                <w:sz w:val="24"/>
                <w:szCs w:val="24"/>
                <w:lang w:val="en-US" w:eastAsia="zh-CN"/>
              </w:rPr>
              <w:t>响应情况</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标注</w:t>
            </w:r>
            <w:r>
              <w:rPr>
                <w:rFonts w:hint="eastAsia" w:ascii="宋体" w:hAnsi="宋体" w:eastAsia="宋体" w:cs="宋体"/>
                <w:color w:val="auto"/>
                <w:sz w:val="24"/>
                <w:szCs w:val="24"/>
              </w:rPr>
              <w:t>“★”条款</w:t>
            </w:r>
            <w:r>
              <w:rPr>
                <w:rFonts w:hint="eastAsia" w:ascii="宋体" w:hAnsi="宋体" w:eastAsia="宋体" w:cs="宋体"/>
                <w:color w:val="auto"/>
                <w:sz w:val="24"/>
                <w:szCs w:val="24"/>
                <w:lang w:eastAsia="zh-CN"/>
              </w:rPr>
              <w:t>每一项</w:t>
            </w:r>
            <w:r>
              <w:rPr>
                <w:rFonts w:hint="eastAsia" w:ascii="宋体" w:hAnsi="宋体" w:eastAsia="宋体" w:cs="宋体"/>
                <w:color w:val="auto"/>
                <w:sz w:val="24"/>
                <w:szCs w:val="24"/>
              </w:rPr>
              <w:t>不满足</w:t>
            </w:r>
            <w:r>
              <w:rPr>
                <w:rFonts w:hint="eastAsia" w:ascii="宋体" w:hAnsi="宋体" w:eastAsia="宋体" w:cs="宋体"/>
                <w:color w:val="auto"/>
                <w:sz w:val="24"/>
                <w:szCs w:val="24"/>
                <w:lang w:eastAsia="zh-CN"/>
              </w:rPr>
              <w:t>招标文件</w:t>
            </w:r>
            <w:r>
              <w:rPr>
                <w:rFonts w:hint="eastAsia" w:ascii="宋体" w:hAnsi="宋体" w:eastAsia="宋体" w:cs="宋体"/>
                <w:color w:val="auto"/>
                <w:sz w:val="24"/>
                <w:szCs w:val="24"/>
              </w:rPr>
              <w:t>要求扣3分，</w:t>
            </w:r>
            <w:r>
              <w:rPr>
                <w:rFonts w:hint="eastAsia" w:ascii="宋体" w:hAnsi="宋体" w:eastAsia="宋体" w:cs="宋体"/>
                <w:color w:val="auto"/>
                <w:sz w:val="24"/>
                <w:szCs w:val="24"/>
                <w:lang w:eastAsia="zh-CN"/>
              </w:rPr>
              <w:t>未标注</w:t>
            </w:r>
            <w:r>
              <w:rPr>
                <w:rFonts w:hint="eastAsia" w:ascii="宋体" w:hAnsi="宋体" w:eastAsia="宋体" w:cs="宋体"/>
                <w:color w:val="auto"/>
                <w:sz w:val="24"/>
                <w:szCs w:val="24"/>
              </w:rPr>
              <w:t>“★”条款</w:t>
            </w:r>
            <w:r>
              <w:rPr>
                <w:rFonts w:hint="eastAsia" w:ascii="宋体" w:hAnsi="宋体" w:eastAsia="宋体" w:cs="宋体"/>
                <w:color w:val="auto"/>
                <w:sz w:val="24"/>
                <w:szCs w:val="24"/>
                <w:lang w:eastAsia="zh-CN"/>
              </w:rPr>
              <w:t>每一项</w:t>
            </w:r>
            <w:r>
              <w:rPr>
                <w:rFonts w:hint="eastAsia" w:ascii="宋体" w:hAnsi="宋体" w:eastAsia="宋体" w:cs="宋体"/>
                <w:color w:val="auto"/>
                <w:sz w:val="24"/>
                <w:szCs w:val="24"/>
              </w:rPr>
              <w:t>不满足</w:t>
            </w:r>
            <w:r>
              <w:rPr>
                <w:rFonts w:hint="eastAsia" w:ascii="宋体" w:hAnsi="宋体" w:eastAsia="宋体" w:cs="宋体"/>
                <w:color w:val="auto"/>
                <w:sz w:val="24"/>
                <w:szCs w:val="24"/>
                <w:lang w:eastAsia="zh-CN"/>
              </w:rPr>
              <w:t>招标文件</w:t>
            </w:r>
            <w:r>
              <w:rPr>
                <w:rFonts w:hint="eastAsia" w:ascii="宋体" w:hAnsi="宋体" w:eastAsia="宋体" w:cs="宋体"/>
                <w:color w:val="auto"/>
                <w:sz w:val="24"/>
                <w:szCs w:val="24"/>
              </w:rPr>
              <w:t>要求扣2分，扣完为止。</w:t>
            </w:r>
          </w:p>
        </w:tc>
        <w:tc>
          <w:tcPr>
            <w:tcW w:w="749" w:type="dxa"/>
            <w:vAlign w:val="center"/>
          </w:tcPr>
          <w:p>
            <w:pPr>
              <w:pStyle w:val="130"/>
              <w:spacing w:before="0"/>
              <w:ind w:firstLine="0" w:firstLineChars="0"/>
              <w:jc w:val="center"/>
              <w:rPr>
                <w:rFonts w:hint="default" w:cs="仿宋_GB2312" w:asciiTheme="minorEastAsia" w:hAnsiTheme="minorEastAsia" w:eastAsiaTheme="minorEastAsia"/>
                <w:color w:val="auto"/>
                <w:szCs w:val="24"/>
                <w:lang w:val="en-US" w:eastAsia="zh-CN"/>
              </w:rPr>
            </w:pPr>
            <w:r>
              <w:rPr>
                <w:rFonts w:hint="eastAsia" w:cs="仿宋_GB2312" w:asciiTheme="minorEastAsia" w:hAnsiTheme="minorEastAsia" w:eastAsiaTheme="minorEastAsia"/>
                <w:color w:val="auto"/>
                <w:szCs w:val="24"/>
                <w:lang w:val="en-US" w:eastAsia="zh-CN"/>
              </w:rPr>
              <w:t>27</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lang w:eastAsia="zh-CN"/>
              </w:rPr>
            </w:pPr>
          </w:p>
        </w:tc>
        <w:tc>
          <w:tcPr>
            <w:tcW w:w="5598" w:type="dxa"/>
            <w:vAlign w:val="center"/>
          </w:tcPr>
          <w:p>
            <w:pPr>
              <w:pStyle w:val="130"/>
              <w:snapToGrid w:val="0"/>
              <w:spacing w:before="0" w:line="240" w:lineRule="auto"/>
              <w:ind w:firstLine="0" w:firstLineChars="0"/>
              <w:jc w:val="left"/>
              <w:rPr>
                <w:rFonts w:ascii="宋体" w:hAnsi="宋体" w:cs="宋体"/>
                <w:color w:val="auto"/>
                <w:szCs w:val="24"/>
              </w:rPr>
            </w:pPr>
            <w:r>
              <w:rPr>
                <w:rFonts w:hint="eastAsia" w:ascii="宋体" w:hAnsi="宋体" w:cs="宋体"/>
                <w:color w:val="auto"/>
                <w:szCs w:val="24"/>
                <w:lang w:eastAsia="zh-CN"/>
              </w:rPr>
              <w:t>供应商</w:t>
            </w:r>
            <w:r>
              <w:rPr>
                <w:rFonts w:hint="eastAsia" w:ascii="宋体" w:hAnsi="宋体" w:cs="宋体"/>
                <w:color w:val="auto"/>
                <w:szCs w:val="24"/>
              </w:rPr>
              <w:t>提供针对本项目的总体维修保养服务方案。</w:t>
            </w:r>
          </w:p>
          <w:p>
            <w:pPr>
              <w:pStyle w:val="130"/>
              <w:snapToGrid w:val="0"/>
              <w:spacing w:before="0" w:line="240" w:lineRule="auto"/>
              <w:ind w:firstLine="0" w:firstLineChars="0"/>
              <w:jc w:val="left"/>
              <w:rPr>
                <w:rFonts w:hint="eastAsia" w:ascii="宋体" w:hAnsi="宋体" w:eastAsia="宋体" w:cs="宋体"/>
                <w:color w:val="auto"/>
                <w:sz w:val="24"/>
                <w:szCs w:val="24"/>
              </w:rPr>
            </w:pPr>
            <w:r>
              <w:rPr>
                <w:rFonts w:hint="eastAsia" w:ascii="宋体" w:hAnsi="宋体" w:cs="宋体"/>
                <w:color w:val="auto"/>
                <w:szCs w:val="24"/>
              </w:rPr>
              <w:t>内容完整详细、科学合理、可行的得5分，较完善、合理、可行的得4分，基本可行的得3分，存在不足的得2分，较差的得1分，无相关内容得0分。</w:t>
            </w:r>
          </w:p>
        </w:tc>
        <w:tc>
          <w:tcPr>
            <w:tcW w:w="749" w:type="dxa"/>
            <w:vAlign w:val="center"/>
          </w:tcPr>
          <w:p>
            <w:pPr>
              <w:pStyle w:val="130"/>
              <w:spacing w:before="0"/>
              <w:ind w:firstLine="0" w:firstLineChars="0"/>
              <w:jc w:val="center"/>
              <w:rPr>
                <w:rFonts w:hint="default" w:ascii="宋体" w:hAnsi="宋体" w:eastAsia="宋体" w:cs="宋体"/>
                <w:color w:val="auto"/>
                <w:sz w:val="24"/>
                <w:szCs w:val="24"/>
                <w:lang w:val="en-US" w:eastAsia="zh-CN"/>
              </w:rPr>
            </w:pPr>
            <w:r>
              <w:rPr>
                <w:rFonts w:hint="eastAsia" w:cs="仿宋_GB2312" w:asciiTheme="minorEastAsia" w:hAnsiTheme="minorEastAsia" w:eastAsiaTheme="minorEastAsia"/>
                <w:color w:val="auto"/>
                <w:szCs w:val="24"/>
                <w:lang w:val="en-US" w:eastAsia="zh-CN"/>
              </w:rPr>
              <w:t>5</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项目组织实施方案的科学性、合理性、规范性和可操作性。</w:t>
            </w:r>
          </w:p>
          <w:p>
            <w:pPr>
              <w:pStyle w:val="130"/>
              <w:snapToGrid w:val="0"/>
              <w:spacing w:before="0" w:line="240" w:lineRule="auto"/>
              <w:ind w:firstLine="0" w:firstLineChars="0"/>
              <w:jc w:val="left"/>
              <w:rPr>
                <w:rFonts w:hint="eastAsia" w:ascii="宋体" w:hAnsi="宋体" w:eastAsia="宋体" w:cs="宋体"/>
                <w:color w:val="auto"/>
                <w:sz w:val="24"/>
                <w:szCs w:val="24"/>
              </w:rPr>
            </w:pPr>
            <w:r>
              <w:rPr>
                <w:rFonts w:hint="eastAsia" w:ascii="宋体" w:hAnsi="宋体" w:cs="宋体"/>
                <w:color w:val="auto"/>
                <w:szCs w:val="24"/>
              </w:rPr>
              <w:t>内容完整详细、科学合理、可行的得5分，较完善、合理、可行的得4分，基本可行的得3分，存在不足的得2分，较差的得1分，无相关内容得0分。</w:t>
            </w:r>
          </w:p>
        </w:tc>
        <w:tc>
          <w:tcPr>
            <w:tcW w:w="749" w:type="dxa"/>
            <w:vAlign w:val="center"/>
          </w:tcPr>
          <w:p>
            <w:pPr>
              <w:pStyle w:val="130"/>
              <w:spacing w:before="0"/>
              <w:ind w:firstLine="0" w:firstLine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供应商的</w:t>
            </w:r>
            <w:r>
              <w:rPr>
                <w:rFonts w:hint="eastAsia" w:ascii="宋体" w:hAnsi="宋体" w:cs="宋体"/>
                <w:color w:val="auto"/>
                <w:szCs w:val="24"/>
                <w:lang w:val="en-US" w:eastAsia="zh-CN"/>
              </w:rPr>
              <w:t>维保</w:t>
            </w:r>
            <w:r>
              <w:rPr>
                <w:rFonts w:hint="eastAsia" w:ascii="宋体" w:hAnsi="宋体" w:cs="宋体"/>
                <w:color w:val="auto"/>
                <w:szCs w:val="24"/>
              </w:rPr>
              <w:t>质量保证方案：</w:t>
            </w:r>
          </w:p>
          <w:p>
            <w:pPr>
              <w:pStyle w:val="130"/>
              <w:snapToGrid w:val="0"/>
              <w:spacing w:before="0" w:line="240" w:lineRule="auto"/>
              <w:ind w:firstLine="0" w:firstLineChars="0"/>
              <w:jc w:val="left"/>
              <w:rPr>
                <w:rFonts w:hint="eastAsia" w:ascii="Times New Roman" w:hAnsi="Times New Roman" w:eastAsia="宋体" w:cs="Times New Roman"/>
                <w:color w:val="auto"/>
                <w:kern w:val="2"/>
                <w:sz w:val="24"/>
                <w:szCs w:val="20"/>
                <w:lang w:val="en-US" w:eastAsia="zh-CN" w:bidi="ar-SA"/>
              </w:rPr>
            </w:pPr>
            <w:r>
              <w:rPr>
                <w:rFonts w:hint="eastAsia" w:ascii="宋体" w:hAnsi="宋体" w:eastAsia="宋体" w:cs="宋体"/>
                <w:color w:val="auto"/>
                <w:kern w:val="2"/>
                <w:sz w:val="24"/>
                <w:lang w:val="en-US" w:bidi="ar-SA"/>
              </w:rPr>
              <w:t>内容完整详细、科学合理、可行的得5分，较完善、合理、可行的得4分，基本可行的得3分，存在不足的得2分，较差的得1分，无相关内容得0分。</w:t>
            </w:r>
          </w:p>
        </w:tc>
        <w:tc>
          <w:tcPr>
            <w:tcW w:w="749" w:type="dxa"/>
            <w:vAlign w:val="center"/>
          </w:tcPr>
          <w:p>
            <w:pPr>
              <w:pStyle w:val="130"/>
              <w:spacing w:before="0"/>
              <w:ind w:firstLine="0" w:firstLineChars="0"/>
              <w:jc w:val="center"/>
              <w:rPr>
                <w:rFonts w:hint="default" w:ascii="宋体" w:hAnsi="宋体" w:eastAsia="宋体" w:cs="宋体"/>
                <w:color w:val="auto"/>
                <w:kern w:val="2"/>
                <w:sz w:val="24"/>
                <w:szCs w:val="24"/>
                <w:lang w:val="en-US" w:eastAsia="zh-CN" w:bidi="ar-SA"/>
              </w:rPr>
            </w:pPr>
            <w:r>
              <w:rPr>
                <w:rFonts w:hint="eastAsia" w:cs="仿宋_GB2312" w:asciiTheme="minorEastAsia" w:hAnsiTheme="minorEastAsia" w:eastAsiaTheme="minorEastAsia"/>
                <w:color w:val="auto"/>
                <w:szCs w:val="24"/>
                <w:lang w:val="en-US" w:eastAsia="zh-CN"/>
              </w:rPr>
              <w:t>5</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拟担任本项目负责人的专业素质、技术能力、类似项目经验，调动各项资源的能力，确保100%到位所采取的措施情况。</w:t>
            </w:r>
          </w:p>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eastAsia="宋体" w:cs="宋体"/>
                <w:color w:val="auto"/>
                <w:kern w:val="2"/>
                <w:sz w:val="24"/>
                <w:lang w:val="en-US" w:bidi="ar-SA"/>
              </w:rPr>
              <w:t>内容完整详细、科学合理、可行的得</w:t>
            </w:r>
            <w:r>
              <w:rPr>
                <w:rFonts w:hint="eastAsia" w:ascii="宋体" w:hAnsi="宋体" w:cs="宋体"/>
                <w:color w:val="auto"/>
                <w:kern w:val="2"/>
                <w:sz w:val="24"/>
                <w:lang w:val="en-US" w:eastAsia="zh-CN" w:bidi="ar-SA"/>
              </w:rPr>
              <w:t>3</w:t>
            </w:r>
            <w:r>
              <w:rPr>
                <w:rFonts w:hint="eastAsia" w:ascii="宋体" w:hAnsi="宋体" w:eastAsia="宋体" w:cs="宋体"/>
                <w:color w:val="auto"/>
                <w:kern w:val="2"/>
                <w:sz w:val="24"/>
                <w:lang w:val="en-US" w:bidi="ar-SA"/>
              </w:rPr>
              <w:t>分，较完善、合理、可行的得</w:t>
            </w:r>
            <w:r>
              <w:rPr>
                <w:rFonts w:hint="eastAsia" w:ascii="宋体" w:hAnsi="宋体" w:cs="宋体"/>
                <w:color w:val="auto"/>
                <w:kern w:val="2"/>
                <w:sz w:val="24"/>
                <w:lang w:val="en-US" w:eastAsia="zh-CN" w:bidi="ar-SA"/>
              </w:rPr>
              <w:t>2</w:t>
            </w:r>
            <w:r>
              <w:rPr>
                <w:rFonts w:hint="eastAsia" w:ascii="宋体" w:hAnsi="宋体" w:eastAsia="宋体" w:cs="宋体"/>
                <w:color w:val="auto"/>
                <w:kern w:val="2"/>
                <w:sz w:val="24"/>
                <w:lang w:val="en-US" w:bidi="ar-SA"/>
              </w:rPr>
              <w:t>分，基本可行的得</w:t>
            </w:r>
            <w:r>
              <w:rPr>
                <w:rFonts w:hint="eastAsia" w:ascii="宋体" w:hAnsi="宋体" w:cs="宋体"/>
                <w:color w:val="auto"/>
                <w:kern w:val="2"/>
                <w:sz w:val="24"/>
                <w:lang w:val="en-US" w:eastAsia="zh-CN" w:bidi="ar-SA"/>
              </w:rPr>
              <w:t>1</w:t>
            </w:r>
            <w:r>
              <w:rPr>
                <w:rFonts w:hint="eastAsia" w:ascii="宋体" w:hAnsi="宋体" w:eastAsia="宋体" w:cs="宋体"/>
                <w:color w:val="auto"/>
                <w:kern w:val="2"/>
                <w:sz w:val="24"/>
                <w:lang w:val="en-US" w:bidi="ar-SA"/>
              </w:rPr>
              <w:t>分，无相关内容得0分。</w:t>
            </w:r>
          </w:p>
        </w:tc>
        <w:tc>
          <w:tcPr>
            <w:tcW w:w="749" w:type="dxa"/>
            <w:vAlign w:val="center"/>
          </w:tcPr>
          <w:p>
            <w:pPr>
              <w:pStyle w:val="130"/>
              <w:spacing w:before="0"/>
              <w:ind w:firstLine="0" w:firstLine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实施工程师对医院业务熟悉程度,维保服务的经历，提供资质证书，工作经历。</w:t>
            </w:r>
          </w:p>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eastAsia="宋体" w:cs="宋体"/>
                <w:color w:val="auto"/>
                <w:kern w:val="2"/>
                <w:sz w:val="24"/>
                <w:lang w:val="en-US" w:bidi="ar-SA"/>
              </w:rPr>
              <w:t>内容完整详细、科学合理、可行的得5分，较完善、合理、可行的得4分，基本可行的得3分，存在不足的得2分，较差的得1分，无相关内容得0分。</w:t>
            </w:r>
          </w:p>
        </w:tc>
        <w:tc>
          <w:tcPr>
            <w:tcW w:w="749" w:type="dxa"/>
            <w:vAlign w:val="center"/>
          </w:tcPr>
          <w:p>
            <w:pPr>
              <w:pStyle w:val="130"/>
              <w:spacing w:before="0"/>
              <w:ind w:firstLine="0" w:firstLine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eastAsia="宋体" w:cs="宋体"/>
                <w:color w:val="auto"/>
                <w:kern w:val="2"/>
                <w:sz w:val="24"/>
                <w:lang w:val="en-US" w:bidi="ar-SA"/>
              </w:rPr>
            </w:pPr>
            <w:r>
              <w:rPr>
                <w:rFonts w:hint="eastAsia" w:ascii="宋体" w:hAnsi="宋体" w:eastAsia="宋体" w:cs="宋体"/>
                <w:color w:val="auto"/>
                <w:kern w:val="2"/>
                <w:sz w:val="24"/>
                <w:lang w:val="en-US" w:bidi="ar-SA"/>
              </w:rPr>
              <w:t>现场服务、技术故障解决时间、设备故障解决时间等的承诺。</w:t>
            </w:r>
          </w:p>
          <w:p>
            <w:pPr>
              <w:pStyle w:val="130"/>
              <w:snapToGrid w:val="0"/>
              <w:spacing w:before="0" w:line="240" w:lineRule="auto"/>
              <w:ind w:firstLine="0" w:firstLineChars="0"/>
              <w:jc w:val="left"/>
              <w:rPr>
                <w:rFonts w:hint="eastAsia" w:ascii="宋体" w:hAnsi="宋体" w:eastAsia="宋体" w:cs="宋体"/>
                <w:color w:val="auto"/>
                <w:kern w:val="2"/>
                <w:sz w:val="24"/>
                <w:lang w:val="en-US" w:bidi="ar-SA"/>
              </w:rPr>
            </w:pPr>
            <w:r>
              <w:rPr>
                <w:rFonts w:hint="eastAsia" w:ascii="宋体" w:hAnsi="宋体" w:eastAsia="宋体" w:cs="宋体"/>
                <w:color w:val="auto"/>
                <w:kern w:val="2"/>
                <w:sz w:val="24"/>
                <w:lang w:val="en-US" w:bidi="ar-SA"/>
              </w:rPr>
              <w:t>内容完整详细、科学合理、可行的得5分，较完善、合理、可行的得4分，基本可行的得3分，存在不足的得2分，较差的得1分，无相关内容得0分。</w:t>
            </w:r>
          </w:p>
        </w:tc>
        <w:tc>
          <w:tcPr>
            <w:tcW w:w="749" w:type="dxa"/>
            <w:vAlign w:val="center"/>
          </w:tcPr>
          <w:p>
            <w:pPr>
              <w:pStyle w:val="130"/>
              <w:spacing w:before="0"/>
              <w:ind w:firstLine="0" w:firstLine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根据供应商提供的应急预案，突击保障、突发问题解决、故障的响应速度以及处理方案等的可靠性和周密性进行评审。</w:t>
            </w:r>
          </w:p>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eastAsia="宋体" w:cs="宋体"/>
                <w:color w:val="auto"/>
                <w:kern w:val="2"/>
                <w:sz w:val="24"/>
                <w:lang w:val="en-US" w:bidi="ar-SA"/>
              </w:rPr>
              <w:t>内容完整详细、科学合理、可行的得5分，较完善、合理、可行的得4分，基本可行的得3分，存在不足的得2分，较差的得1分，无相关内容得0分。</w:t>
            </w:r>
          </w:p>
        </w:tc>
        <w:tc>
          <w:tcPr>
            <w:tcW w:w="749" w:type="dxa"/>
            <w:vAlign w:val="center"/>
          </w:tcPr>
          <w:p>
            <w:pPr>
              <w:pStyle w:val="130"/>
              <w:spacing w:before="0"/>
              <w:ind w:firstLine="0" w:firstLine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根据供应商对采购单位操作人员及管理人员提供的培训计划方案，评委根据培训的内容、时间、频率等进行评审。</w:t>
            </w:r>
          </w:p>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内容完整详细、科学合理、可行的得</w:t>
            </w:r>
            <w:r>
              <w:rPr>
                <w:rFonts w:hint="eastAsia" w:ascii="宋体" w:hAnsi="宋体" w:cs="宋体"/>
                <w:color w:val="auto"/>
                <w:szCs w:val="24"/>
                <w:lang w:val="en-US" w:eastAsia="zh-CN"/>
              </w:rPr>
              <w:t>4</w:t>
            </w:r>
            <w:r>
              <w:rPr>
                <w:rFonts w:hint="eastAsia" w:ascii="宋体" w:hAnsi="宋体" w:cs="宋体"/>
                <w:color w:val="auto"/>
                <w:szCs w:val="24"/>
              </w:rPr>
              <w:t>分，较完善、合理、可行的得</w:t>
            </w:r>
            <w:r>
              <w:rPr>
                <w:rFonts w:hint="eastAsia" w:ascii="宋体" w:hAnsi="宋体" w:cs="宋体"/>
                <w:color w:val="auto"/>
                <w:szCs w:val="24"/>
                <w:lang w:val="en-US" w:eastAsia="zh-CN"/>
              </w:rPr>
              <w:t>3</w:t>
            </w:r>
            <w:r>
              <w:rPr>
                <w:rFonts w:hint="eastAsia" w:ascii="宋体" w:hAnsi="宋体" w:cs="宋体"/>
                <w:color w:val="auto"/>
                <w:szCs w:val="24"/>
              </w:rPr>
              <w:t>分，基本可行的得</w:t>
            </w:r>
            <w:r>
              <w:rPr>
                <w:rFonts w:hint="eastAsia" w:ascii="宋体" w:hAnsi="宋体" w:cs="宋体"/>
                <w:color w:val="auto"/>
                <w:szCs w:val="24"/>
                <w:lang w:val="en-US" w:eastAsia="zh-CN"/>
              </w:rPr>
              <w:t>2</w:t>
            </w:r>
            <w:r>
              <w:rPr>
                <w:rFonts w:hint="eastAsia" w:ascii="宋体" w:hAnsi="宋体" w:cs="宋体"/>
                <w:color w:val="auto"/>
                <w:szCs w:val="24"/>
              </w:rPr>
              <w:t>分，较差的得1分，无相关内容得0分。</w:t>
            </w:r>
          </w:p>
        </w:tc>
        <w:tc>
          <w:tcPr>
            <w:tcW w:w="749" w:type="dxa"/>
            <w:vAlign w:val="center"/>
          </w:tcPr>
          <w:p>
            <w:pPr>
              <w:pStyle w:val="130"/>
              <w:spacing w:before="0"/>
              <w:ind w:firstLine="0" w:firstLine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eastAsia" w:ascii="宋体" w:hAnsi="宋体" w:eastAsia="宋体" w:cs="宋体"/>
                <w:color w:val="auto"/>
                <w:sz w:val="24"/>
                <w:szCs w:val="24"/>
              </w:rPr>
            </w:pPr>
          </w:p>
        </w:tc>
        <w:tc>
          <w:tcPr>
            <w:tcW w:w="5598" w:type="dxa"/>
            <w:vAlign w:val="center"/>
          </w:tcPr>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根据供应商提供的验收方案进行评审。</w:t>
            </w:r>
          </w:p>
          <w:p>
            <w:pPr>
              <w:pStyle w:val="130"/>
              <w:snapToGrid w:val="0"/>
              <w:spacing w:before="0" w:line="240" w:lineRule="auto"/>
              <w:ind w:firstLine="0" w:firstLineChars="0"/>
              <w:jc w:val="left"/>
              <w:rPr>
                <w:rFonts w:hint="eastAsia" w:ascii="宋体" w:hAnsi="宋体" w:cs="宋体"/>
                <w:color w:val="auto"/>
                <w:szCs w:val="24"/>
              </w:rPr>
            </w:pPr>
            <w:r>
              <w:rPr>
                <w:rFonts w:hint="eastAsia" w:ascii="宋体" w:hAnsi="宋体" w:cs="宋体"/>
                <w:color w:val="auto"/>
                <w:szCs w:val="24"/>
              </w:rPr>
              <w:t>内容完整详细、科学合理、可行的得</w:t>
            </w:r>
            <w:r>
              <w:rPr>
                <w:rFonts w:hint="eastAsia" w:ascii="宋体" w:hAnsi="宋体" w:cs="宋体"/>
                <w:color w:val="auto"/>
                <w:szCs w:val="24"/>
                <w:lang w:val="en-US" w:eastAsia="zh-CN"/>
              </w:rPr>
              <w:t>4</w:t>
            </w:r>
            <w:r>
              <w:rPr>
                <w:rFonts w:hint="eastAsia" w:ascii="宋体" w:hAnsi="宋体" w:cs="宋体"/>
                <w:color w:val="auto"/>
                <w:szCs w:val="24"/>
              </w:rPr>
              <w:t>分，较完善、合理、可行的得</w:t>
            </w:r>
            <w:r>
              <w:rPr>
                <w:rFonts w:hint="eastAsia" w:ascii="宋体" w:hAnsi="宋体" w:cs="宋体"/>
                <w:color w:val="auto"/>
                <w:szCs w:val="24"/>
                <w:lang w:val="en-US" w:eastAsia="zh-CN"/>
              </w:rPr>
              <w:t>3</w:t>
            </w:r>
            <w:r>
              <w:rPr>
                <w:rFonts w:hint="eastAsia" w:ascii="宋体" w:hAnsi="宋体" w:cs="宋体"/>
                <w:color w:val="auto"/>
                <w:szCs w:val="24"/>
              </w:rPr>
              <w:t>分，基本可行的得</w:t>
            </w:r>
            <w:r>
              <w:rPr>
                <w:rFonts w:hint="eastAsia" w:ascii="宋体" w:hAnsi="宋体" w:cs="宋体"/>
                <w:color w:val="auto"/>
                <w:szCs w:val="24"/>
                <w:lang w:val="en-US" w:eastAsia="zh-CN"/>
              </w:rPr>
              <w:t>2</w:t>
            </w:r>
            <w:r>
              <w:rPr>
                <w:rFonts w:hint="eastAsia" w:ascii="宋体" w:hAnsi="宋体" w:cs="宋体"/>
                <w:color w:val="auto"/>
                <w:szCs w:val="24"/>
              </w:rPr>
              <w:t>分，较差的得1分，无相关内容得0分。</w:t>
            </w:r>
          </w:p>
        </w:tc>
        <w:tc>
          <w:tcPr>
            <w:tcW w:w="749" w:type="dxa"/>
            <w:vAlign w:val="center"/>
          </w:tcPr>
          <w:p>
            <w:pPr>
              <w:pStyle w:val="130"/>
              <w:spacing w:before="0"/>
              <w:ind w:firstLine="0" w:firstLineChars="0"/>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w:t>
            </w:r>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keepNext w:val="0"/>
              <w:keepLines w:val="0"/>
              <w:pageBreakBefore w:val="0"/>
              <w:numPr>
                <w:ilvl w:val="0"/>
                <w:numId w:val="1"/>
              </w:numPr>
              <w:kinsoku/>
              <w:wordWrap/>
              <w:overflowPunct/>
              <w:topLinePunct w:val="0"/>
              <w:autoSpaceDE/>
              <w:autoSpaceDN/>
              <w:bidi w:val="0"/>
              <w:adjustRightInd w:val="0"/>
              <w:snapToGrid w:val="0"/>
              <w:spacing w:line="288" w:lineRule="auto"/>
              <w:ind w:left="425" w:leftChars="0" w:hanging="425" w:firstLineChars="0"/>
              <w:jc w:val="center"/>
              <w:textAlignment w:val="auto"/>
              <w:rPr>
                <w:rFonts w:hint="default" w:ascii="宋体" w:hAnsi="宋体" w:eastAsia="宋体" w:cs="宋体"/>
                <w:color w:val="auto"/>
                <w:sz w:val="24"/>
                <w:szCs w:val="24"/>
                <w:lang w:val="en-US" w:eastAsia="zh-CN"/>
              </w:rPr>
            </w:pPr>
          </w:p>
        </w:tc>
        <w:tc>
          <w:tcPr>
            <w:tcW w:w="5598"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left"/>
              <w:textAlignment w:val="auto"/>
              <w:outlineLvl w:val="0"/>
              <w:rPr>
                <w:rFonts w:hint="eastAsia" w:ascii="宋体" w:hAnsi="宋体" w:eastAsia="宋体" w:cs="宋体"/>
                <w:color w:val="auto"/>
                <w:sz w:val="24"/>
                <w:szCs w:val="24"/>
              </w:rPr>
            </w:pPr>
            <w:bookmarkStart w:id="405" w:name="_Toc14374"/>
            <w:r>
              <w:rPr>
                <w:rFonts w:hint="eastAsia" w:ascii="宋体" w:hAnsi="宋体" w:eastAsia="宋体" w:cs="宋体"/>
                <w:color w:val="auto"/>
                <w:sz w:val="24"/>
                <w:szCs w:val="24"/>
              </w:rPr>
              <w:t>有效投标报价的最低价作为评标基准价，其最低报价为满分；按［投标报价得分=（评标基准价/投标报价）*</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］的计算公式计算。</w:t>
            </w:r>
            <w:bookmarkEnd w:id="405"/>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val="0"/>
              <w:snapToGrid w:val="0"/>
              <w:spacing w:line="288" w:lineRule="auto"/>
              <w:ind w:firstLine="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%的扣除，用扣除后的价格参加评审。</w:t>
            </w:r>
          </w:p>
        </w:tc>
        <w:tc>
          <w:tcPr>
            <w:tcW w:w="749"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outlineLvl w:val="0"/>
              <w:rPr>
                <w:rFonts w:hint="eastAsia" w:ascii="宋体" w:hAnsi="宋体" w:eastAsia="宋体" w:cs="宋体"/>
                <w:color w:val="auto"/>
                <w:sz w:val="24"/>
                <w:szCs w:val="24"/>
                <w:lang w:val="en-US" w:eastAsia="zh-CN"/>
              </w:rPr>
            </w:pPr>
            <w:bookmarkStart w:id="406" w:name="_Toc26982"/>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bookmarkEnd w:id="406"/>
          </w:p>
        </w:tc>
        <w:tc>
          <w:tcPr>
            <w:tcW w:w="947"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outlineLvl w:val="0"/>
              <w:rPr>
                <w:rFonts w:hint="eastAsia" w:ascii="宋体" w:hAnsi="宋体" w:eastAsia="宋体" w:cs="宋体"/>
                <w:color w:val="auto"/>
                <w:sz w:val="24"/>
                <w:szCs w:val="24"/>
              </w:rPr>
            </w:pPr>
          </w:p>
        </w:tc>
        <w:tc>
          <w:tcPr>
            <w:tcW w:w="1424" w:type="dxa"/>
            <w:vAlign w:val="center"/>
          </w:tcPr>
          <w:p>
            <w:pPr>
              <w:keepNext w:val="0"/>
              <w:keepLines w:val="0"/>
              <w:pageBreakBefore w:val="0"/>
              <w:kinsoku/>
              <w:wordWrap/>
              <w:overflowPunct/>
              <w:topLinePunct w:val="0"/>
              <w:autoSpaceDE/>
              <w:autoSpaceDN/>
              <w:bidi w:val="0"/>
              <w:adjustRightInd w:val="0"/>
              <w:snapToGrid w:val="0"/>
              <w:spacing w:line="288" w:lineRule="auto"/>
              <w:ind w:firstLine="0"/>
              <w:jc w:val="center"/>
              <w:textAlignment w:val="auto"/>
              <w:outlineLvl w:val="0"/>
              <w:rPr>
                <w:rFonts w:hint="eastAsia" w:ascii="宋体" w:hAnsi="宋体" w:eastAsia="宋体" w:cs="宋体"/>
                <w:color w:val="auto"/>
                <w:sz w:val="24"/>
                <w:szCs w:val="24"/>
              </w:rPr>
            </w:pPr>
            <w:bookmarkStart w:id="407" w:name="_Toc16711"/>
            <w:r>
              <w:rPr>
                <w:rFonts w:hint="eastAsia" w:ascii="宋体" w:hAnsi="宋体" w:eastAsia="宋体" w:cs="宋体"/>
                <w:color w:val="auto"/>
                <w:sz w:val="24"/>
                <w:szCs w:val="24"/>
              </w:rPr>
              <w:t>/</w:t>
            </w:r>
            <w:bookmarkEnd w:id="407"/>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bookmarkStart w:id="434" w:name="_GoBack"/>
      <w:bookmarkEnd w:id="434"/>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bookmarkStart w:id="408" w:name="_Toc4338"/>
      <w:r>
        <w:rPr>
          <w:rFonts w:hint="eastAsia" w:ascii="宋体" w:hAnsi="宋体" w:cs="宋体"/>
          <w:b/>
          <w:color w:val="auto"/>
          <w:sz w:val="36"/>
          <w:szCs w:val="36"/>
        </w:rPr>
        <w:t>三、评标程序</w:t>
      </w:r>
      <w:bookmarkEnd w:id="408"/>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0"/>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w:t>
      </w:r>
      <w:r>
        <w:rPr>
          <w:rFonts w:hint="eastAsia" w:ascii="宋体" w:hAnsi="宋体" w:cs="宋体"/>
          <w:color w:val="auto"/>
          <w:kern w:val="0"/>
          <w:sz w:val="24"/>
          <w:lang w:val="en-US" w:eastAsia="zh-CN"/>
        </w:rPr>
        <w:t>由评标委员会投票决定</w:t>
      </w:r>
      <w:r>
        <w:rPr>
          <w:rFonts w:hint="eastAsia" w:ascii="宋体" w:hAnsi="宋体" w:cs="宋体"/>
          <w:color w:val="auto"/>
          <w:kern w:val="0"/>
          <w:sz w:val="24"/>
        </w:rPr>
        <w:t>顺序排列。投标文件满足招标文件全部实质性要求，且按照评审因素的量化指标评审得分最高的投标人为排名第一的中标候选人。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0"/>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pStyle w:val="4"/>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4.2.13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4"/>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4"/>
        <w:snapToGrid w:val="0"/>
        <w:spacing w:line="360" w:lineRule="auto"/>
        <w:rPr>
          <w:rFonts w:cs="宋体"/>
          <w:color w:val="auto"/>
        </w:rPr>
      </w:pPr>
      <w:r>
        <w:rPr>
          <w:rFonts w:hint="eastAsia" w:cs="宋体"/>
          <w:color w:val="auto"/>
        </w:rPr>
        <w:t>5.2出现影响采购公正的违法、违规行为的；</w:t>
      </w:r>
    </w:p>
    <w:p>
      <w:pPr>
        <w:pStyle w:val="24"/>
        <w:snapToGrid w:val="0"/>
        <w:spacing w:line="360" w:lineRule="auto"/>
        <w:rPr>
          <w:rFonts w:cs="宋体"/>
          <w:color w:val="auto"/>
        </w:rPr>
      </w:pPr>
      <w:r>
        <w:rPr>
          <w:rFonts w:hint="eastAsia" w:cs="宋体"/>
          <w:color w:val="auto"/>
        </w:rPr>
        <w:t>5.3投标人的报价均超过了采购预算，采购人不能支付的；</w:t>
      </w:r>
    </w:p>
    <w:p>
      <w:pPr>
        <w:pStyle w:val="24"/>
        <w:snapToGrid w:val="0"/>
        <w:spacing w:line="360" w:lineRule="auto"/>
        <w:rPr>
          <w:rFonts w:cs="宋体"/>
          <w:color w:val="auto"/>
        </w:rPr>
      </w:pPr>
      <w:r>
        <w:rPr>
          <w:rFonts w:hint="eastAsia" w:cs="宋体"/>
          <w:color w:val="auto"/>
        </w:rPr>
        <w:t>5.4因重大变故，采购任务取消的。</w:t>
      </w:r>
    </w:p>
    <w:p>
      <w:pPr>
        <w:pStyle w:val="24"/>
        <w:snapToGrid w:val="0"/>
        <w:spacing w:line="360" w:lineRule="auto"/>
        <w:rPr>
          <w:rFonts w:cs="宋体"/>
          <w:color w:val="auto"/>
        </w:rPr>
      </w:pPr>
      <w:r>
        <w:rPr>
          <w:rFonts w:hint="eastAsia" w:cs="宋体"/>
          <w:color w:val="auto"/>
        </w:rPr>
        <w:t>废标后，</w:t>
      </w:r>
      <w:r>
        <w:rPr>
          <w:rFonts w:hint="eastAsia" w:cs="宋体"/>
          <w:color w:val="auto"/>
          <w:lang w:eastAsia="zh-CN"/>
        </w:rPr>
        <w:t>采购代理机构</w:t>
      </w:r>
      <w:r>
        <w:rPr>
          <w:rFonts w:hint="eastAsia" w:cs="宋体"/>
          <w:color w:val="auto"/>
        </w:rPr>
        <w:t>应当将废标理由通知所有投标人。</w:t>
      </w:r>
    </w:p>
    <w:p>
      <w:pPr>
        <w:pStyle w:val="24"/>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w:t>
      </w:r>
      <w:r>
        <w:rPr>
          <w:rFonts w:hint="eastAsia" w:cs="宋体"/>
          <w:color w:val="auto"/>
          <w:lang w:eastAsia="zh-CN"/>
        </w:rPr>
        <w:t>采购代理机构</w:t>
      </w:r>
      <w:r>
        <w:rPr>
          <w:rFonts w:hint="eastAsia" w:cs="宋体"/>
          <w:color w:val="auto"/>
        </w:rPr>
        <w:t>沟通并作书面记录。采购人、</w:t>
      </w:r>
      <w:r>
        <w:rPr>
          <w:rFonts w:hint="eastAsia" w:cs="宋体"/>
          <w:color w:val="auto"/>
          <w:lang w:eastAsia="zh-CN"/>
        </w:rPr>
        <w:t>采购代理机构</w:t>
      </w:r>
      <w:r>
        <w:rPr>
          <w:rFonts w:hint="eastAsia" w:cs="宋体"/>
          <w:color w:val="auto"/>
        </w:rPr>
        <w:t>确认后，将修改招标文件，重新组织采购活动。</w:t>
      </w:r>
    </w:p>
    <w:p>
      <w:pPr>
        <w:pStyle w:val="24"/>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4"/>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4"/>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4"/>
        <w:snapToGrid w:val="0"/>
        <w:spacing w:line="360" w:lineRule="auto"/>
        <w:rPr>
          <w:rFonts w:ascii="宋体" w:hAnsi="宋体" w:cs="宋体"/>
          <w:b/>
          <w:color w:val="auto"/>
          <w:sz w:val="36"/>
          <w:szCs w:val="36"/>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bookmarkEnd w:id="37"/>
      <w:bookmarkStart w:id="409" w:name="第五部分"/>
      <w:bookmarkStart w:id="410" w:name="_Toc86217003"/>
    </w:p>
    <w:p>
      <w:pPr>
        <w:widowControl/>
        <w:adjustRightInd/>
        <w:jc w:val="left"/>
        <w:rPr>
          <w:rFonts w:ascii="宋体" w:hAnsi="宋体" w:cs="宋体"/>
          <w:b/>
          <w:color w:val="auto"/>
          <w:sz w:val="36"/>
          <w:szCs w:val="36"/>
        </w:rPr>
      </w:pPr>
      <w:r>
        <w:rPr>
          <w:rFonts w:ascii="宋体" w:hAnsi="宋体" w:cs="宋体"/>
          <w:b/>
          <w:color w:val="auto"/>
          <w:sz w:val="36"/>
          <w:szCs w:val="36"/>
        </w:rPr>
        <w:br w:type="page"/>
      </w:r>
    </w:p>
    <w:p>
      <w:pPr>
        <w:pStyle w:val="3"/>
        <w:bidi w:val="0"/>
        <w:spacing w:line="360" w:lineRule="auto"/>
        <w:jc w:val="center"/>
        <w:rPr>
          <w:rFonts w:hint="eastAsia" w:ascii="Times New Roman" w:hAnsi="Times New Roman" w:eastAsia="宋体" w:cs="Times New Roman"/>
          <w:color w:val="auto"/>
          <w:sz w:val="30"/>
          <w:szCs w:val="30"/>
        </w:rPr>
      </w:pPr>
      <w:bookmarkStart w:id="411" w:name="_Toc3448"/>
      <w:r>
        <w:rPr>
          <w:rFonts w:hint="eastAsia" w:ascii="Times New Roman" w:hAnsi="Times New Roman" w:eastAsia="宋体" w:cs="Times New Roman"/>
          <w:color w:val="auto"/>
          <w:sz w:val="30"/>
          <w:szCs w:val="30"/>
        </w:rPr>
        <w:t>第五部分 拟签订的合同文本</w:t>
      </w:r>
      <w:bookmarkEnd w:id="411"/>
    </w:p>
    <w:p>
      <w:pPr>
        <w:spacing w:line="360" w:lineRule="auto"/>
        <w:ind w:firstLine="315" w:firstLineChars="150"/>
        <w:rPr>
          <w:rFonts w:ascii="宋体" w:hAnsi="宋体"/>
          <w:color w:val="auto"/>
          <w:szCs w:val="21"/>
          <w:u w:val="single"/>
        </w:rPr>
      </w:pPr>
      <w:r>
        <w:rPr>
          <w:rFonts w:hint="eastAsia" w:ascii="宋体" w:hAnsi="宋体"/>
          <w:color w:val="auto"/>
          <w:szCs w:val="21"/>
        </w:rPr>
        <w:t>甲    方：</w:t>
      </w:r>
      <w:r>
        <w:rPr>
          <w:rFonts w:hint="eastAsia" w:ascii="宋体" w:hAnsi="宋体"/>
          <w:color w:val="auto"/>
          <w:szCs w:val="21"/>
          <w:u w:val="single"/>
        </w:rPr>
        <w:t>浙江省立同德医院</w:t>
      </w:r>
    </w:p>
    <w:p>
      <w:pPr>
        <w:spacing w:line="360" w:lineRule="auto"/>
        <w:ind w:firstLine="315" w:firstLineChars="150"/>
        <w:rPr>
          <w:rFonts w:ascii="宋体" w:hAnsi="宋体"/>
          <w:color w:val="auto"/>
          <w:szCs w:val="21"/>
        </w:rPr>
      </w:pPr>
      <w:r>
        <w:rPr>
          <w:rFonts w:hint="eastAsia" w:ascii="宋体" w:hAnsi="宋体"/>
          <w:color w:val="auto"/>
          <w:szCs w:val="21"/>
        </w:rPr>
        <w:t>乙    方：</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rPr>
      </w:pPr>
      <w:r>
        <w:rPr>
          <w:rFonts w:ascii="宋体" w:hAnsi="宋体"/>
          <w:color w:val="auto"/>
          <w:szCs w:val="21"/>
        </w:rPr>
        <w:t>依据《中华人民共和国</w:t>
      </w:r>
      <w:r>
        <w:rPr>
          <w:rFonts w:hint="eastAsia" w:ascii="宋体" w:hAnsi="宋体"/>
          <w:color w:val="auto"/>
          <w:szCs w:val="21"/>
          <w:lang w:val="en-US" w:eastAsia="zh-CN"/>
        </w:rPr>
        <w:t>民法典</w:t>
      </w:r>
      <w:r>
        <w:rPr>
          <w:rFonts w:ascii="宋体" w:hAnsi="宋体"/>
          <w:color w:val="auto"/>
          <w:szCs w:val="21"/>
        </w:rPr>
        <w:t>》和相关的法律法规、按照平等互利的原则</w:t>
      </w:r>
      <w:r>
        <w:rPr>
          <w:rFonts w:hint="eastAsia" w:ascii="宋体" w:hAnsi="宋体"/>
          <w:color w:val="auto"/>
          <w:szCs w:val="21"/>
        </w:rPr>
        <w:t>，</w:t>
      </w:r>
      <w:r>
        <w:rPr>
          <w:rFonts w:hint="eastAsia" w:ascii="宋体" w:hAnsi="宋体"/>
          <w:color w:val="auto"/>
          <w:szCs w:val="21"/>
          <w:u w:val="single"/>
        </w:rPr>
        <w:t xml:space="preserve"> 浙江省立同德医院</w:t>
      </w:r>
      <w:r>
        <w:rPr>
          <w:rFonts w:hint="eastAsia" w:ascii="宋体" w:hAnsi="宋体"/>
          <w:color w:val="auto"/>
          <w:szCs w:val="21"/>
        </w:rPr>
        <w:t>（以下简称：甲方）与</w:t>
      </w:r>
      <w:r>
        <w:rPr>
          <w:rFonts w:hint="eastAsia" w:ascii="宋体" w:hAnsi="宋体"/>
          <w:color w:val="auto"/>
          <w:szCs w:val="21"/>
          <w:u w:val="single"/>
        </w:rPr>
        <w:t xml:space="preserve">                 </w:t>
      </w:r>
      <w:r>
        <w:rPr>
          <w:rFonts w:hint="eastAsia" w:ascii="宋体" w:hAnsi="宋体"/>
          <w:color w:val="auto"/>
          <w:szCs w:val="21"/>
        </w:rPr>
        <w:t>（以下简称：乙方）就</w:t>
      </w:r>
      <w:r>
        <w:rPr>
          <w:rFonts w:hint="eastAsia" w:ascii="宋体" w:hAnsi="宋体"/>
          <w:color w:val="auto"/>
          <w:szCs w:val="21"/>
          <w:u w:val="single"/>
        </w:rPr>
        <w:t xml:space="preserve">             </w:t>
      </w:r>
      <w:r>
        <w:rPr>
          <w:rFonts w:hint="eastAsia" w:ascii="宋体" w:hAnsi="宋体"/>
          <w:color w:val="auto"/>
          <w:szCs w:val="21"/>
        </w:rPr>
        <w:t>，达成本合同。</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一、合同内容</w:t>
      </w:r>
    </w:p>
    <w:tbl>
      <w:tblPr>
        <w:tblStyle w:val="62"/>
        <w:tblW w:w="84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11"/>
        <w:gridCol w:w="2897"/>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Style w:val="964"/>
                <w:rFonts w:hint="default"/>
                <w:b/>
                <w:bCs/>
                <w:color w:val="auto"/>
                <w:sz w:val="21"/>
                <w:szCs w:val="21"/>
              </w:rPr>
            </w:pPr>
            <w:r>
              <w:rPr>
                <w:rStyle w:val="964"/>
                <w:rFonts w:hint="default"/>
                <w:b/>
                <w:bCs/>
                <w:color w:val="auto"/>
                <w:sz w:val="21"/>
                <w:szCs w:val="21"/>
              </w:rPr>
              <w:t>项目名称</w:t>
            </w:r>
          </w:p>
        </w:tc>
        <w:tc>
          <w:tcPr>
            <w:tcW w:w="28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Style w:val="964"/>
                <w:rFonts w:hint="default"/>
                <w:b/>
                <w:bCs/>
                <w:color w:val="auto"/>
                <w:sz w:val="21"/>
                <w:szCs w:val="21"/>
              </w:rPr>
            </w:pPr>
            <w:r>
              <w:rPr>
                <w:rStyle w:val="964"/>
                <w:rFonts w:hint="default"/>
                <w:b/>
                <w:bCs/>
                <w:color w:val="auto"/>
                <w:sz w:val="21"/>
                <w:szCs w:val="21"/>
              </w:rPr>
              <w:t>采购内容</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Style w:val="964"/>
                <w:rFonts w:hint="default"/>
                <w:b/>
                <w:bCs/>
                <w:color w:val="auto"/>
                <w:sz w:val="21"/>
                <w:szCs w:val="21"/>
              </w:rPr>
            </w:pPr>
            <w:r>
              <w:rPr>
                <w:rStyle w:val="964"/>
                <w:rFonts w:hint="default"/>
                <w:b/>
                <w:bCs/>
                <w:color w:val="auto"/>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3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Style w:val="964"/>
                <w:rFonts w:hint="default"/>
                <w:color w:val="auto"/>
                <w:sz w:val="21"/>
                <w:szCs w:val="21"/>
              </w:rPr>
            </w:pPr>
            <w:r>
              <w:rPr>
                <w:rStyle w:val="964"/>
                <w:rFonts w:hint="default"/>
                <w:color w:val="auto"/>
                <w:sz w:val="21"/>
                <w:szCs w:val="21"/>
                <w:lang w:val="en-US" w:eastAsia="zh-CN"/>
              </w:rPr>
              <w:t>浙江省立同德医院</w:t>
            </w:r>
            <w:r>
              <w:rPr>
                <w:rStyle w:val="964"/>
                <w:rFonts w:hint="eastAsia"/>
                <w:color w:val="auto"/>
                <w:sz w:val="21"/>
                <w:szCs w:val="21"/>
                <w:lang w:val="en-US" w:eastAsia="zh-CN"/>
              </w:rPr>
              <w:t>消化内镜维保</w:t>
            </w:r>
            <w:r>
              <w:rPr>
                <w:rStyle w:val="964"/>
                <w:rFonts w:hint="default"/>
                <w:color w:val="auto"/>
                <w:sz w:val="21"/>
                <w:szCs w:val="21"/>
                <w:lang w:val="en-US" w:eastAsia="zh-CN"/>
              </w:rPr>
              <w:t>采购项目</w:t>
            </w:r>
          </w:p>
        </w:tc>
        <w:tc>
          <w:tcPr>
            <w:tcW w:w="28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center"/>
              <w:rPr>
                <w:rStyle w:val="964"/>
                <w:rFonts w:hint="default"/>
                <w:color w:val="auto"/>
                <w:sz w:val="21"/>
                <w:szCs w:val="21"/>
              </w:rPr>
            </w:pPr>
            <w:r>
              <w:rPr>
                <w:rStyle w:val="964"/>
                <w:rFonts w:hint="eastAsia"/>
                <w:color w:val="auto"/>
                <w:sz w:val="21"/>
                <w:szCs w:val="21"/>
                <w:lang w:val="en-US" w:eastAsia="zh-CN"/>
              </w:rPr>
              <w:t>消化内镜维保</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jc w:val="left"/>
              <w:rPr>
                <w:rStyle w:val="964"/>
                <w:rFonts w:hint="eastAsia" w:eastAsia="宋体"/>
                <w:color w:val="auto"/>
                <w:sz w:val="21"/>
                <w:szCs w:val="21"/>
                <w:lang w:val="en-US" w:eastAsia="zh-CN"/>
              </w:rPr>
            </w:pPr>
            <w:r>
              <w:rPr>
                <w:rStyle w:val="964"/>
                <w:rFonts w:hint="eastAsia" w:eastAsia="宋体"/>
                <w:color w:val="auto"/>
                <w:sz w:val="21"/>
                <w:szCs w:val="21"/>
                <w:lang w:val="en-US" w:eastAsia="zh-CN"/>
              </w:rPr>
              <w:t>小写：</w:t>
            </w:r>
          </w:p>
          <w:p>
            <w:pPr>
              <w:adjustRightInd w:val="0"/>
              <w:snapToGrid w:val="0"/>
              <w:spacing w:line="360" w:lineRule="auto"/>
              <w:jc w:val="left"/>
              <w:rPr>
                <w:rStyle w:val="964"/>
                <w:rFonts w:hint="eastAsia" w:eastAsia="宋体"/>
                <w:color w:val="auto"/>
                <w:sz w:val="21"/>
                <w:szCs w:val="21"/>
                <w:lang w:val="en-US" w:eastAsia="zh-CN"/>
              </w:rPr>
            </w:pPr>
            <w:r>
              <w:rPr>
                <w:rStyle w:val="964"/>
                <w:rFonts w:hint="eastAsia" w:eastAsia="宋体"/>
                <w:color w:val="auto"/>
                <w:sz w:val="21"/>
                <w:szCs w:val="21"/>
                <w:lang w:val="en-US" w:eastAsia="zh-CN"/>
              </w:rPr>
              <w:t>大写：</w:t>
            </w:r>
          </w:p>
        </w:tc>
      </w:tr>
    </w:tbl>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二、服务期</w:t>
      </w:r>
    </w:p>
    <w:p>
      <w:pPr>
        <w:adjustRightInd w:val="0"/>
        <w:snapToGrid w:val="0"/>
        <w:spacing w:line="360" w:lineRule="auto"/>
        <w:ind w:firstLine="420" w:firstLineChars="200"/>
        <w:rPr>
          <w:rStyle w:val="964"/>
          <w:rFonts w:hint="default"/>
          <w:color w:val="auto"/>
          <w:sz w:val="21"/>
          <w:szCs w:val="21"/>
        </w:rPr>
      </w:pPr>
      <w:r>
        <w:rPr>
          <w:rStyle w:val="964"/>
          <w:rFonts w:hint="eastAsia" w:eastAsia="宋体"/>
          <w:color w:val="auto"/>
          <w:sz w:val="21"/>
          <w:szCs w:val="21"/>
          <w:lang w:val="en-US" w:eastAsia="zh-CN"/>
        </w:rPr>
        <w:t>维保</w:t>
      </w:r>
      <w:r>
        <w:rPr>
          <w:rStyle w:val="964"/>
          <w:rFonts w:hint="default"/>
          <w:color w:val="auto"/>
          <w:sz w:val="21"/>
          <w:szCs w:val="21"/>
        </w:rPr>
        <w:t>期</w:t>
      </w:r>
      <w:r>
        <w:rPr>
          <w:rStyle w:val="964"/>
          <w:rFonts w:hint="eastAsia" w:eastAsia="宋体"/>
          <w:color w:val="auto"/>
          <w:sz w:val="21"/>
          <w:szCs w:val="21"/>
          <w:lang w:val="en-US" w:eastAsia="zh-CN"/>
        </w:rPr>
        <w:t>限1</w:t>
      </w:r>
      <w:r>
        <w:rPr>
          <w:rStyle w:val="964"/>
          <w:rFonts w:hint="default"/>
          <w:color w:val="auto"/>
          <w:sz w:val="21"/>
          <w:szCs w:val="21"/>
        </w:rPr>
        <w:t>年。</w:t>
      </w:r>
    </w:p>
    <w:p>
      <w:pPr>
        <w:numPr>
          <w:ilvl w:val="0"/>
          <w:numId w:val="2"/>
        </w:num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付款方式</w:t>
      </w:r>
    </w:p>
    <w:p>
      <w:pPr>
        <w:adjustRightInd w:val="0"/>
        <w:snapToGrid w:val="0"/>
        <w:spacing w:line="360" w:lineRule="auto"/>
        <w:ind w:firstLine="420" w:firstLineChars="200"/>
        <w:rPr>
          <w:rStyle w:val="964"/>
          <w:rFonts w:hint="default" w:eastAsia="宋体"/>
          <w:b w:val="0"/>
          <w:bCs/>
          <w:color w:val="auto"/>
          <w:sz w:val="21"/>
          <w:szCs w:val="21"/>
          <w:lang w:val="en-US" w:eastAsia="zh-CN"/>
        </w:rPr>
      </w:pPr>
      <w:r>
        <w:rPr>
          <w:rStyle w:val="964"/>
          <w:rFonts w:hint="eastAsia"/>
          <w:b w:val="0"/>
          <w:bCs/>
          <w:color w:val="auto"/>
          <w:sz w:val="21"/>
          <w:szCs w:val="21"/>
          <w:lang w:val="en-US" w:eastAsia="zh-CN"/>
        </w:rPr>
        <w:t>根据投标响应情况签订合同时双方约定。</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四、合同履行时间、履行方式及履行地点</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1.履行时间:合同签订后即开始履行；</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2.履行方式:合同内承诺的服务事项,并达到甲方要求；</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 xml:space="preserve">3.履行地点: </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五、服务内容</w:t>
      </w:r>
    </w:p>
    <w:p>
      <w:pPr>
        <w:adjustRightInd w:val="0"/>
        <w:snapToGrid w:val="0"/>
        <w:spacing w:line="360" w:lineRule="auto"/>
        <w:ind w:firstLine="420" w:firstLineChars="200"/>
        <w:rPr>
          <w:rStyle w:val="964"/>
          <w:rFonts w:hint="default" w:eastAsia="宋体"/>
          <w:color w:val="auto"/>
          <w:sz w:val="21"/>
          <w:szCs w:val="21"/>
          <w:lang w:val="en-US" w:eastAsia="zh-CN"/>
        </w:rPr>
      </w:pPr>
      <w:r>
        <w:rPr>
          <w:rStyle w:val="964"/>
          <w:rFonts w:hint="eastAsia" w:eastAsia="宋体"/>
          <w:color w:val="auto"/>
          <w:sz w:val="21"/>
          <w:szCs w:val="21"/>
          <w:lang w:val="en-US" w:eastAsia="zh-CN"/>
        </w:rPr>
        <w:t>详见招标文件第三部分 采购需求。</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六、技术资料</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1.甲方应向乙方提供服务所需的有关软件的技术资料；</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没有甲方事先书面同意，乙方不得将由甲方提供的有关合同或任何合同条文、规格、计划、数据或资料提供给与履行本合同无关的任何其他人。即使向履行本合同有关的人员提供，也应注意保密并限于履行合同的必需范围；</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七、知识产权</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乙方应保证执行合同过程中不会侵犯任何第三方的知识产权。</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八、转包或分包</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1.本合同范围的服务，应由乙方直接提供，不得转让他人提供；</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2.除非得到甲方的书面同意，乙方不得将合同再分包给他人供应。甲方有绝对权力阻止分包；</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3.如有转让和未经甲方同意的分包行为，甲方有权给予终止合同。</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九、质量保证及售后服务</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1.乙方应按</w:t>
      </w:r>
      <w:r>
        <w:rPr>
          <w:rStyle w:val="964"/>
          <w:rFonts w:hint="eastAsia" w:eastAsia="宋体"/>
          <w:color w:val="auto"/>
          <w:sz w:val="21"/>
          <w:szCs w:val="21"/>
          <w:lang w:val="en-US" w:eastAsia="zh-CN"/>
        </w:rPr>
        <w:t>招标文件</w:t>
      </w:r>
      <w:r>
        <w:rPr>
          <w:rStyle w:val="964"/>
          <w:rFonts w:hint="default"/>
          <w:color w:val="auto"/>
          <w:sz w:val="21"/>
          <w:szCs w:val="21"/>
        </w:rPr>
        <w:t>规定向甲方提供服务；</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2.乙方提供的服务成果在服务质量保证期内发生故障,乙方应负责免费提供后续服务；</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 xml:space="preserve">3.如在使用过程中发生问题,乙方应随时响应。 </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十、调试和验收</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1.甲方对乙方提交的服务依据</w:t>
      </w:r>
      <w:r>
        <w:rPr>
          <w:rStyle w:val="964"/>
          <w:rFonts w:hint="eastAsia" w:eastAsia="宋体"/>
          <w:color w:val="auto"/>
          <w:sz w:val="21"/>
          <w:szCs w:val="21"/>
          <w:lang w:val="en-US" w:eastAsia="zh-CN"/>
        </w:rPr>
        <w:t>招标文件</w:t>
      </w:r>
      <w:r>
        <w:rPr>
          <w:rStyle w:val="964"/>
          <w:rFonts w:hint="default"/>
          <w:color w:val="auto"/>
          <w:sz w:val="21"/>
          <w:szCs w:val="21"/>
        </w:rPr>
        <w:t>上的要求和国家有关质量标准进行现场初步验收,符合</w:t>
      </w:r>
      <w:r>
        <w:rPr>
          <w:rStyle w:val="964"/>
          <w:rFonts w:hint="eastAsia" w:eastAsia="宋体"/>
          <w:color w:val="auto"/>
          <w:sz w:val="21"/>
          <w:szCs w:val="21"/>
          <w:lang w:val="en-US" w:eastAsia="zh-CN"/>
        </w:rPr>
        <w:t>招标文件</w:t>
      </w:r>
      <w:r>
        <w:rPr>
          <w:rStyle w:val="964"/>
          <w:rFonts w:hint="default"/>
          <w:color w:val="auto"/>
          <w:sz w:val="21"/>
          <w:szCs w:val="21"/>
        </w:rPr>
        <w:t>要求的,给予签收,初步验收不合格的不予签收；</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2.乙方在提交服务前应对产品作出全面检查和对验收文件进行整理,并列出清单,作为甲方验收和使用的技术条件依据,检验的结果应交甲方；</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3.验收时乙方必须在现场,验收完毕后作出验收结果报告</w:t>
      </w:r>
      <w:r>
        <w:rPr>
          <w:rStyle w:val="964"/>
          <w:rFonts w:hint="eastAsia" w:eastAsia="宋体"/>
          <w:color w:val="auto"/>
          <w:sz w:val="21"/>
          <w:szCs w:val="21"/>
          <w:lang w:eastAsia="zh-CN"/>
        </w:rPr>
        <w:t>，</w:t>
      </w:r>
      <w:r>
        <w:rPr>
          <w:rStyle w:val="964"/>
          <w:rFonts w:hint="default"/>
          <w:color w:val="auto"/>
          <w:sz w:val="21"/>
          <w:szCs w:val="21"/>
        </w:rPr>
        <w:t>验收费用由乙方负责。</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十一、违约责任</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1.甲方无正当理由拒收服务的,甲方向乙方偿付拒收</w:t>
      </w:r>
      <w:r>
        <w:rPr>
          <w:rStyle w:val="964"/>
          <w:rFonts w:hint="eastAsia" w:eastAsia="宋体"/>
          <w:color w:val="auto"/>
          <w:sz w:val="21"/>
          <w:szCs w:val="21"/>
          <w:lang w:val="en-US" w:eastAsia="zh-CN"/>
        </w:rPr>
        <w:t>服务款项</w:t>
      </w:r>
      <w:r>
        <w:rPr>
          <w:rStyle w:val="964"/>
          <w:rFonts w:hint="default"/>
          <w:color w:val="auto"/>
          <w:sz w:val="21"/>
          <w:szCs w:val="21"/>
        </w:rPr>
        <w:t>总值的百分之五违约金；</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2.甲方无故逾期验收和办理</w:t>
      </w:r>
      <w:r>
        <w:rPr>
          <w:rStyle w:val="964"/>
          <w:rFonts w:hint="eastAsia" w:eastAsia="宋体"/>
          <w:color w:val="auto"/>
          <w:sz w:val="21"/>
          <w:szCs w:val="21"/>
          <w:lang w:val="en-US" w:eastAsia="zh-CN"/>
        </w:rPr>
        <w:t>服务款</w:t>
      </w:r>
      <w:r>
        <w:rPr>
          <w:rStyle w:val="964"/>
          <w:rFonts w:hint="default"/>
          <w:color w:val="auto"/>
          <w:sz w:val="21"/>
          <w:szCs w:val="21"/>
        </w:rPr>
        <w:t>支付手续的,甲方应按逾期付款总额每日万分之五向乙方支付违约金；</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3.乙方逾期交付服务的,乙方应按逾期</w:t>
      </w:r>
      <w:r>
        <w:rPr>
          <w:rStyle w:val="964"/>
          <w:rFonts w:hint="eastAsia" w:eastAsia="宋体"/>
          <w:color w:val="auto"/>
          <w:sz w:val="21"/>
          <w:szCs w:val="21"/>
          <w:lang w:val="en-US" w:eastAsia="zh-CN"/>
        </w:rPr>
        <w:t>服务款</w:t>
      </w:r>
      <w:r>
        <w:rPr>
          <w:rStyle w:val="964"/>
          <w:rFonts w:hint="default"/>
          <w:color w:val="auto"/>
          <w:sz w:val="21"/>
          <w:szCs w:val="21"/>
        </w:rPr>
        <w:t>总额每日万分之五向甲方支付违约金,由甲方从待付</w:t>
      </w:r>
      <w:r>
        <w:rPr>
          <w:rStyle w:val="964"/>
          <w:rFonts w:hint="eastAsia" w:eastAsia="宋体"/>
          <w:color w:val="auto"/>
          <w:sz w:val="21"/>
          <w:szCs w:val="21"/>
          <w:lang w:val="en-US" w:eastAsia="zh-CN"/>
        </w:rPr>
        <w:t>服务款</w:t>
      </w:r>
      <w:r>
        <w:rPr>
          <w:rStyle w:val="964"/>
          <w:rFonts w:hint="default"/>
          <w:color w:val="auto"/>
          <w:sz w:val="21"/>
          <w:szCs w:val="21"/>
        </w:rPr>
        <w:t>中扣除。最高不超过合同总值5%的违约金。逾期超过约定日期10个工作日的,甲方可解除本合同。乙方因逾期或因其他违约行为导致甲方解除合同的,乙方应向甲方支付合同总值5%的违约金,如造成甲方损失超过违约金的,超出部分由乙方继续承担赔偿责任。</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十二、不可抗力事件处理</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2.不可抗力事件发生后(包括上级政策法规等),应立即通知对方,并寄送有关权威机构出具的证明；</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3.不可抗力事件延续120天以上,双方应通过友好协商,确定是否继续履行合同。</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十三、诉讼</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双方在执行合同中所发生的一切争议,应通过协商解决。如协商不成,可向合同签订地法院起诉。</w:t>
      </w:r>
    </w:p>
    <w:p>
      <w:pPr>
        <w:adjustRightInd w:val="0"/>
        <w:snapToGrid w:val="0"/>
        <w:spacing w:line="360" w:lineRule="auto"/>
        <w:ind w:firstLine="422" w:firstLineChars="200"/>
        <w:rPr>
          <w:rStyle w:val="964"/>
          <w:rFonts w:hint="default"/>
          <w:b/>
          <w:color w:val="auto"/>
          <w:sz w:val="21"/>
          <w:szCs w:val="21"/>
        </w:rPr>
      </w:pPr>
      <w:r>
        <w:rPr>
          <w:rStyle w:val="964"/>
          <w:rFonts w:hint="default"/>
          <w:b/>
          <w:color w:val="auto"/>
          <w:sz w:val="21"/>
          <w:szCs w:val="21"/>
        </w:rPr>
        <w:t>十四、合同生效及其它</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1.合同经双方法定代表人或授权委托代理人签字并加盖单位公章后生效；</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2.合同执行中涉及采购资金和采购内容修改或补充的,签书面补充协议,方可作为主合同不可分割的一部分；</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3.本合同未尽事宜,根据</w:t>
      </w:r>
      <w:r>
        <w:rPr>
          <w:rStyle w:val="964"/>
          <w:rFonts w:hint="eastAsia" w:eastAsia="宋体"/>
          <w:color w:val="auto"/>
          <w:sz w:val="21"/>
          <w:szCs w:val="21"/>
          <w:lang w:val="en-US" w:eastAsia="zh-CN"/>
        </w:rPr>
        <w:t>投标响应</w:t>
      </w:r>
      <w:r>
        <w:rPr>
          <w:rStyle w:val="964"/>
          <w:rFonts w:hint="eastAsia" w:eastAsia="宋体"/>
          <w:color w:val="auto"/>
          <w:sz w:val="21"/>
          <w:szCs w:val="21"/>
          <w:lang w:eastAsia="zh-CN"/>
        </w:rPr>
        <w:t>文件</w:t>
      </w:r>
      <w:r>
        <w:rPr>
          <w:rStyle w:val="964"/>
          <w:rFonts w:hint="default"/>
          <w:color w:val="auto"/>
          <w:sz w:val="21"/>
          <w:szCs w:val="21"/>
        </w:rPr>
        <w:t>、</w:t>
      </w:r>
      <w:r>
        <w:rPr>
          <w:rStyle w:val="964"/>
          <w:rFonts w:hint="eastAsia" w:eastAsia="宋体"/>
          <w:color w:val="auto"/>
          <w:sz w:val="21"/>
          <w:szCs w:val="21"/>
          <w:lang w:val="en-US" w:eastAsia="zh-CN"/>
        </w:rPr>
        <w:t>招标文件</w:t>
      </w:r>
      <w:r>
        <w:rPr>
          <w:rStyle w:val="964"/>
          <w:rFonts w:hint="default"/>
          <w:color w:val="auto"/>
          <w:sz w:val="21"/>
          <w:szCs w:val="21"/>
        </w:rPr>
        <w:t>执行；</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4.本合同正本一式肆份,具有同等法律效力,甲乙双方各执贰份。</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 xml:space="preserve">甲方:                                        乙方: </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 xml:space="preserve">地址:                                        地址: </w:t>
      </w:r>
    </w:p>
    <w:p>
      <w:pPr>
        <w:adjustRightInd w:val="0"/>
        <w:snapToGrid w:val="0"/>
        <w:spacing w:line="360" w:lineRule="auto"/>
        <w:ind w:firstLine="420" w:firstLineChars="200"/>
        <w:rPr>
          <w:rStyle w:val="964"/>
          <w:rFonts w:hint="default"/>
          <w:color w:val="auto"/>
          <w:sz w:val="21"/>
          <w:szCs w:val="21"/>
        </w:rPr>
      </w:pPr>
      <w:r>
        <w:rPr>
          <w:rStyle w:val="964"/>
          <w:rFonts w:hint="default"/>
          <w:color w:val="auto"/>
          <w:sz w:val="21"/>
          <w:szCs w:val="21"/>
        </w:rPr>
        <w:t>法定代表人:                                  法定代表人:</w:t>
      </w:r>
    </w:p>
    <w:p>
      <w:pPr>
        <w:ind w:firstLine="420" w:firstLineChars="200"/>
        <w:rPr>
          <w:rFonts w:hint="eastAsia" w:ascii="宋体" w:hAnsi="宋体" w:cs="华文中宋"/>
          <w:color w:val="auto"/>
          <w:spacing w:val="57"/>
          <w:sz w:val="36"/>
          <w:szCs w:val="36"/>
        </w:rPr>
      </w:pPr>
      <w:r>
        <w:rPr>
          <w:rStyle w:val="964"/>
          <w:rFonts w:hint="default"/>
          <w:color w:val="auto"/>
          <w:sz w:val="21"/>
          <w:szCs w:val="21"/>
        </w:rPr>
        <w:t xml:space="preserve">签订地点:      年  月  日                   </w:t>
      </w:r>
      <w:r>
        <w:rPr>
          <w:rStyle w:val="964"/>
          <w:rFonts w:hint="eastAsia" w:eastAsia="宋体"/>
          <w:color w:val="auto"/>
          <w:sz w:val="21"/>
          <w:szCs w:val="21"/>
          <w:lang w:val="en-US" w:eastAsia="zh-CN"/>
        </w:rPr>
        <w:t xml:space="preserve"> </w:t>
      </w:r>
      <w:r>
        <w:rPr>
          <w:rStyle w:val="964"/>
          <w:rFonts w:hint="default"/>
          <w:color w:val="auto"/>
          <w:sz w:val="21"/>
          <w:szCs w:val="21"/>
        </w:rPr>
        <w:t>签订日期:      年  月  日</w:t>
      </w:r>
      <w:r>
        <w:rPr>
          <w:rFonts w:hint="eastAsia" w:ascii="宋体" w:hAnsi="宋体" w:cs="华文中宋"/>
          <w:color w:val="auto"/>
          <w:spacing w:val="57"/>
          <w:sz w:val="36"/>
          <w:szCs w:val="36"/>
        </w:rPr>
        <w:br w:type="page"/>
      </w:r>
    </w:p>
    <w:p>
      <w:pPr>
        <w:adjustRightInd w:val="0"/>
        <w:snapToGrid w:val="0"/>
        <w:spacing w:line="360" w:lineRule="auto"/>
        <w:jc w:val="center"/>
        <w:rPr>
          <w:rFonts w:ascii="宋体" w:hAnsi="宋体" w:cs="华文中宋"/>
          <w:color w:val="auto"/>
          <w:spacing w:val="57"/>
          <w:sz w:val="36"/>
          <w:szCs w:val="36"/>
        </w:rPr>
      </w:pPr>
      <w:r>
        <w:rPr>
          <w:rFonts w:hint="eastAsia" w:ascii="宋体" w:hAnsi="宋体" w:cs="华文中宋"/>
          <w:color w:val="auto"/>
          <w:spacing w:val="57"/>
          <w:sz w:val="36"/>
          <w:szCs w:val="36"/>
        </w:rPr>
        <w:t>浙江省立同德医院</w:t>
      </w:r>
    </w:p>
    <w:p>
      <w:pPr>
        <w:jc w:val="center"/>
        <w:rPr>
          <w:rFonts w:ascii="宋体" w:hAnsi="宋体" w:cs="华文中宋"/>
          <w:color w:val="auto"/>
          <w:spacing w:val="28"/>
          <w:sz w:val="36"/>
          <w:szCs w:val="36"/>
        </w:rPr>
      </w:pPr>
      <w:r>
        <w:rPr>
          <w:rFonts w:hint="eastAsia" w:ascii="宋体" w:hAnsi="宋体" w:cs="华文中宋"/>
          <w:color w:val="auto"/>
          <w:spacing w:val="57"/>
          <w:sz w:val="36"/>
          <w:szCs w:val="36"/>
        </w:rPr>
        <w:t>清廉医院建设</w:t>
      </w:r>
    </w:p>
    <w:p>
      <w:pPr>
        <w:adjustRightInd w:val="0"/>
        <w:snapToGrid w:val="0"/>
        <w:jc w:val="center"/>
        <w:rPr>
          <w:rFonts w:ascii="宋体" w:hAnsi="宋体" w:cs="华文新魏"/>
          <w:color w:val="auto"/>
          <w:sz w:val="36"/>
          <w:szCs w:val="36"/>
        </w:rPr>
      </w:pPr>
    </w:p>
    <w:p>
      <w:pPr>
        <w:adjustRightInd w:val="0"/>
        <w:snapToGrid w:val="0"/>
        <w:jc w:val="center"/>
        <w:rPr>
          <w:rFonts w:ascii="宋体" w:hAnsi="宋体" w:cs="华文新魏"/>
          <w:color w:val="auto"/>
          <w:sz w:val="36"/>
          <w:szCs w:val="36"/>
        </w:rPr>
      </w:pPr>
    </w:p>
    <w:p>
      <w:pPr>
        <w:adjustRightInd w:val="0"/>
        <w:snapToGrid w:val="0"/>
        <w:spacing w:line="1300" w:lineRule="exact"/>
        <w:jc w:val="center"/>
        <w:rPr>
          <w:rFonts w:ascii="宋体" w:hAnsi="宋体" w:cs="华文新魏"/>
          <w:color w:val="auto"/>
          <w:sz w:val="36"/>
          <w:szCs w:val="36"/>
        </w:rPr>
      </w:pPr>
      <w:r>
        <w:rPr>
          <w:rFonts w:hint="eastAsia" w:ascii="宋体" w:hAnsi="宋体" w:cs="华文新魏"/>
          <w:color w:val="auto"/>
          <w:sz w:val="36"/>
          <w:szCs w:val="36"/>
        </w:rPr>
        <w:t>共</w:t>
      </w:r>
    </w:p>
    <w:p>
      <w:pPr>
        <w:adjustRightInd w:val="0"/>
        <w:snapToGrid w:val="0"/>
        <w:spacing w:line="1300" w:lineRule="exact"/>
        <w:jc w:val="center"/>
        <w:rPr>
          <w:rFonts w:ascii="宋体" w:hAnsi="宋体" w:cs="华文新魏"/>
          <w:color w:val="auto"/>
          <w:sz w:val="36"/>
          <w:szCs w:val="36"/>
        </w:rPr>
      </w:pPr>
      <w:r>
        <w:rPr>
          <w:rFonts w:hint="eastAsia" w:ascii="宋体" w:hAnsi="宋体" w:cs="华文新魏"/>
          <w:color w:val="auto"/>
          <w:sz w:val="36"/>
          <w:szCs w:val="36"/>
        </w:rPr>
        <w:t>建</w:t>
      </w:r>
    </w:p>
    <w:p>
      <w:pPr>
        <w:adjustRightInd w:val="0"/>
        <w:snapToGrid w:val="0"/>
        <w:spacing w:line="1300" w:lineRule="exact"/>
        <w:jc w:val="center"/>
        <w:rPr>
          <w:rFonts w:ascii="宋体" w:hAnsi="宋体" w:cs="华文新魏"/>
          <w:color w:val="auto"/>
          <w:sz w:val="36"/>
          <w:szCs w:val="36"/>
        </w:rPr>
      </w:pPr>
      <w:r>
        <w:rPr>
          <w:rFonts w:hint="eastAsia" w:ascii="宋体" w:hAnsi="宋体" w:cs="华文新魏"/>
          <w:color w:val="auto"/>
          <w:sz w:val="36"/>
          <w:szCs w:val="36"/>
        </w:rPr>
        <w:t>协</w:t>
      </w:r>
    </w:p>
    <w:p>
      <w:pPr>
        <w:adjustRightInd w:val="0"/>
        <w:snapToGrid w:val="0"/>
        <w:spacing w:line="1300" w:lineRule="exact"/>
        <w:jc w:val="center"/>
        <w:rPr>
          <w:rFonts w:ascii="宋体" w:hAnsi="宋体" w:cs="华文新魏"/>
          <w:color w:val="auto"/>
          <w:sz w:val="36"/>
          <w:szCs w:val="36"/>
        </w:rPr>
      </w:pPr>
      <w:r>
        <w:rPr>
          <w:rFonts w:hint="eastAsia" w:ascii="宋体" w:hAnsi="宋体" w:cs="华文新魏"/>
          <w:color w:val="auto"/>
          <w:sz w:val="36"/>
          <w:szCs w:val="36"/>
        </w:rPr>
        <w:t>议</w:t>
      </w:r>
    </w:p>
    <w:p>
      <w:pPr>
        <w:jc w:val="center"/>
        <w:rPr>
          <w:rFonts w:ascii="宋体" w:hAnsi="宋体" w:cs="楷体_GB2312"/>
          <w:b/>
          <w:bCs/>
          <w:color w:val="auto"/>
          <w:sz w:val="36"/>
          <w:szCs w:val="36"/>
        </w:rPr>
      </w:pPr>
    </w:p>
    <w:p>
      <w:pPr>
        <w:jc w:val="center"/>
        <w:rPr>
          <w:rFonts w:ascii="宋体" w:hAnsi="宋体" w:cs="楷体_GB2312"/>
          <w:b/>
          <w:bCs/>
          <w:color w:val="auto"/>
          <w:sz w:val="36"/>
          <w:szCs w:val="36"/>
        </w:rPr>
      </w:pPr>
    </w:p>
    <w:p>
      <w:pPr>
        <w:rPr>
          <w:rFonts w:ascii="宋体" w:hAnsi="宋体" w:cs="楷体_GB2312"/>
          <w:b/>
          <w:bCs/>
          <w:color w:val="auto"/>
          <w:sz w:val="36"/>
          <w:szCs w:val="36"/>
        </w:rPr>
      </w:pPr>
    </w:p>
    <w:p>
      <w:pPr>
        <w:jc w:val="center"/>
        <w:rPr>
          <w:rFonts w:ascii="宋体" w:hAnsi="宋体" w:cs="楷体_GB2312"/>
          <w:b/>
          <w:bCs/>
          <w:color w:val="auto"/>
          <w:sz w:val="36"/>
          <w:szCs w:val="36"/>
        </w:rPr>
      </w:pPr>
    </w:p>
    <w:p>
      <w:pPr>
        <w:jc w:val="center"/>
        <w:rPr>
          <w:rFonts w:ascii="宋体" w:hAnsi="宋体" w:cs="楷体_GB2312"/>
          <w:color w:val="auto"/>
          <w:sz w:val="36"/>
          <w:szCs w:val="36"/>
        </w:rPr>
      </w:pPr>
      <w:r>
        <w:rPr>
          <w:rFonts w:hint="eastAsia" w:ascii="宋体" w:hAnsi="宋体" w:cs="楷体_GB2312"/>
          <w:color w:val="auto"/>
          <w:sz w:val="36"/>
          <w:szCs w:val="36"/>
        </w:rPr>
        <w:t>二〇二四年  月</w:t>
      </w:r>
    </w:p>
    <w:p>
      <w:pPr>
        <w:jc w:val="center"/>
        <w:rPr>
          <w:rFonts w:ascii="宋体" w:hAnsi="宋体" w:cs="楷体_GB2312"/>
          <w:color w:val="auto"/>
          <w:sz w:val="44"/>
          <w:szCs w:val="44"/>
        </w:rPr>
      </w:pPr>
    </w:p>
    <w:p>
      <w:pPr>
        <w:spacing w:line="360" w:lineRule="auto"/>
        <w:jc w:val="center"/>
        <w:rPr>
          <w:rFonts w:ascii="宋体" w:hAnsi="宋体" w:cs="方正小标宋简体"/>
          <w:color w:val="auto"/>
          <w:sz w:val="44"/>
          <w:szCs w:val="44"/>
        </w:rPr>
      </w:pPr>
    </w:p>
    <w:p>
      <w:pPr>
        <w:spacing w:line="360" w:lineRule="auto"/>
        <w:jc w:val="center"/>
        <w:rPr>
          <w:rFonts w:ascii="宋体" w:hAnsi="宋体" w:cs="方正小标宋简体"/>
          <w:color w:val="auto"/>
          <w:sz w:val="44"/>
          <w:szCs w:val="44"/>
        </w:rPr>
      </w:pPr>
    </w:p>
    <w:p>
      <w:pPr>
        <w:spacing w:line="360" w:lineRule="auto"/>
        <w:jc w:val="center"/>
        <w:rPr>
          <w:rFonts w:ascii="宋体" w:hAnsi="宋体" w:cs="方正小标宋简体"/>
          <w:b/>
          <w:bCs/>
          <w:color w:val="auto"/>
          <w:sz w:val="15"/>
          <w:szCs w:val="15"/>
        </w:rPr>
      </w:pPr>
      <w:r>
        <w:rPr>
          <w:rFonts w:ascii="宋体" w:hAnsi="宋体" w:cs="方正小标宋简体"/>
          <w:b/>
          <w:bCs/>
          <w:color w:val="auto"/>
          <w:sz w:val="28"/>
          <w:szCs w:val="28"/>
        </w:rPr>
        <w:br w:type="page"/>
      </w:r>
      <w:r>
        <w:rPr>
          <w:rFonts w:hint="eastAsia" w:ascii="宋体" w:hAnsi="宋体" w:cs="方正小标宋简体"/>
          <w:b/>
          <w:bCs/>
          <w:color w:val="auto"/>
          <w:sz w:val="28"/>
          <w:szCs w:val="28"/>
        </w:rPr>
        <w:t>清廉医院建设共建协议</w:t>
      </w:r>
    </w:p>
    <w:p>
      <w:pPr>
        <w:spacing w:line="360" w:lineRule="auto"/>
        <w:rPr>
          <w:rFonts w:ascii="宋体" w:hAnsi="宋体" w:cs="仿宋"/>
          <w:color w:val="auto"/>
          <w:szCs w:val="21"/>
        </w:rPr>
      </w:pPr>
      <w:r>
        <w:rPr>
          <w:rFonts w:hint="eastAsia" w:ascii="宋体" w:hAnsi="宋体" w:cs="仿宋"/>
          <w:b/>
          <w:color w:val="auto"/>
          <w:szCs w:val="21"/>
        </w:rPr>
        <w:t>甲方</w:t>
      </w:r>
      <w:r>
        <w:rPr>
          <w:rFonts w:hint="eastAsia" w:ascii="宋体" w:hAnsi="宋体" w:cs="仿宋"/>
          <w:color w:val="auto"/>
          <w:szCs w:val="21"/>
        </w:rPr>
        <w:t>（医疗卫生机构）：浙江省立同德医院</w:t>
      </w:r>
    </w:p>
    <w:p>
      <w:pPr>
        <w:spacing w:line="360" w:lineRule="auto"/>
        <w:rPr>
          <w:rFonts w:ascii="宋体" w:hAnsi="宋体" w:cs="仿宋"/>
          <w:color w:val="auto"/>
          <w:szCs w:val="21"/>
        </w:rPr>
      </w:pPr>
      <w:r>
        <w:rPr>
          <w:rFonts w:hint="eastAsia" w:ascii="宋体" w:hAnsi="宋体" w:cs="仿宋"/>
          <w:b/>
          <w:color w:val="auto"/>
          <w:szCs w:val="21"/>
        </w:rPr>
        <w:t>乙方</w:t>
      </w:r>
      <w:r>
        <w:rPr>
          <w:rFonts w:hint="eastAsia" w:ascii="宋体" w:hAnsi="宋体" w:cs="仿宋"/>
          <w:color w:val="auto"/>
          <w:szCs w:val="21"/>
        </w:rPr>
        <w:t>（共建企业）：</w:t>
      </w:r>
    </w:p>
    <w:p>
      <w:pPr>
        <w:spacing w:line="360" w:lineRule="auto"/>
        <w:ind w:firstLine="420" w:firstLineChars="200"/>
        <w:rPr>
          <w:rFonts w:ascii="宋体" w:hAnsi="宋体" w:cs="仿宋"/>
          <w:color w:val="auto"/>
          <w:szCs w:val="21"/>
        </w:rPr>
      </w:pPr>
      <w:r>
        <w:rPr>
          <w:rFonts w:hint="eastAsia" w:ascii="宋体" w:hAnsi="宋体" w:cs="仿宋"/>
          <w:color w:val="auto"/>
          <w:szCs w:val="21"/>
        </w:rPr>
        <w:t>为全面加强公立医院党的建设，贯彻落实清廉浙江、清廉卫生建设有关要求，规范医院各领域的购销行为，防范商业贿赂的发生，共同推进清廉医院建设。经甲、乙双方协商，同意签订本协议，并严格遵守如下条款：</w:t>
      </w:r>
    </w:p>
    <w:p>
      <w:pPr>
        <w:spacing w:line="360" w:lineRule="auto"/>
        <w:ind w:firstLine="420" w:firstLineChars="200"/>
        <w:rPr>
          <w:rFonts w:ascii="宋体" w:hAnsi="宋体" w:cs="仿宋"/>
          <w:color w:val="auto"/>
          <w:szCs w:val="21"/>
        </w:rPr>
      </w:pPr>
      <w:r>
        <w:rPr>
          <w:rFonts w:hint="eastAsia" w:ascii="宋体" w:hAnsi="宋体" w:cs="仿宋"/>
          <w:color w:val="auto"/>
          <w:szCs w:val="21"/>
        </w:rPr>
        <w:t>一、甲乙双方贯彻执行中共浙江省委《关于推进清廉浙江建设的决定》和浙江省卫生健康委《关于推进清廉医院建设的实施意见》的各项政策要求，积极融入清廉医院共建工作，认真履行清廉浙江建设的企业责任。</w:t>
      </w:r>
    </w:p>
    <w:p>
      <w:pPr>
        <w:spacing w:line="360" w:lineRule="auto"/>
        <w:ind w:firstLine="420" w:firstLineChars="200"/>
        <w:rPr>
          <w:rFonts w:ascii="宋体" w:hAnsi="宋体" w:cs="仿宋"/>
          <w:color w:val="auto"/>
          <w:szCs w:val="21"/>
        </w:rPr>
      </w:pPr>
      <w:r>
        <w:rPr>
          <w:rFonts w:hint="eastAsia" w:ascii="宋体" w:hAnsi="宋体" w:cs="仿宋"/>
          <w:color w:val="auto"/>
          <w:szCs w:val="21"/>
        </w:rPr>
        <w:t>二、甲乙双方按照《民法典》等相关法律规范要求，认真履行购销合同及其附属条款，自觉遵守《医疗机构工作人员廉洁从业九项准则》等各项规定。</w:t>
      </w:r>
    </w:p>
    <w:p>
      <w:pPr>
        <w:spacing w:line="360" w:lineRule="auto"/>
        <w:ind w:firstLine="420" w:firstLineChars="200"/>
        <w:rPr>
          <w:rFonts w:ascii="宋体" w:hAnsi="宋体" w:cs="仿宋"/>
          <w:color w:val="auto"/>
          <w:szCs w:val="21"/>
        </w:rPr>
      </w:pPr>
      <w:r>
        <w:rPr>
          <w:rFonts w:hint="eastAsia" w:ascii="宋体" w:hAnsi="宋体" w:cs="仿宋"/>
          <w:color w:val="auto"/>
          <w:szCs w:val="21"/>
        </w:rPr>
        <w:t>三、甲方及其工作人员严禁接受乙方及其代理人以任何名义、形式给予的回扣或违规接受捐赠资助。甲方工作人员不得以任何形式向乙方索要现金、有价证券、支付凭证和贵重礼品以及任何有违清廉医院建设要求的其他有价物品或乙方安排并支付费用的营业性娱乐场所的娱乐活动等。被动接受乙方给予钱物的，应予主动退还；无法退还的，有责任向院纪检监察部门如实反映情况。</w:t>
      </w:r>
    </w:p>
    <w:p>
      <w:pPr>
        <w:spacing w:line="360" w:lineRule="auto"/>
        <w:ind w:firstLine="420" w:firstLineChars="200"/>
        <w:rPr>
          <w:rFonts w:ascii="宋体" w:hAnsi="宋体" w:cs="仿宋"/>
          <w:color w:val="auto"/>
          <w:szCs w:val="21"/>
        </w:rPr>
      </w:pPr>
      <w:r>
        <w:rPr>
          <w:rFonts w:hint="eastAsia" w:ascii="宋体" w:hAnsi="宋体" w:cs="仿宋"/>
          <w:color w:val="auto"/>
          <w:szCs w:val="21"/>
        </w:rPr>
        <w:t>四、严禁甲方工作人员利用任何途径和方式，向乙方透露统计医疗信息、医院招（投）标信息等，或为乙方提供便利。</w:t>
      </w:r>
    </w:p>
    <w:p>
      <w:pPr>
        <w:spacing w:line="360" w:lineRule="auto"/>
        <w:ind w:firstLine="420" w:firstLineChars="200"/>
        <w:rPr>
          <w:rFonts w:ascii="宋体" w:hAnsi="宋体" w:cs="仿宋"/>
          <w:color w:val="auto"/>
          <w:szCs w:val="21"/>
        </w:rPr>
      </w:pPr>
      <w:r>
        <w:rPr>
          <w:rFonts w:hint="eastAsia" w:ascii="宋体" w:hAnsi="宋体" w:cs="仿宋"/>
          <w:color w:val="auto"/>
          <w:szCs w:val="21"/>
        </w:rPr>
        <w:t>五、乙方不得以回扣、宴请、提供服务等方式影响甲方及其工作人员在招标、采购中的选择权，不得在学术活动中提供旅游、超标准支付食宿费用等。</w:t>
      </w:r>
    </w:p>
    <w:p>
      <w:pPr>
        <w:spacing w:line="360" w:lineRule="auto"/>
        <w:ind w:firstLine="420" w:firstLineChars="200"/>
        <w:rPr>
          <w:rFonts w:ascii="宋体" w:hAnsi="宋体" w:cs="仿宋"/>
          <w:color w:val="auto"/>
          <w:szCs w:val="21"/>
        </w:rPr>
      </w:pPr>
      <w:r>
        <w:rPr>
          <w:rFonts w:hint="eastAsia" w:ascii="宋体" w:hAnsi="宋体" w:cs="仿宋"/>
          <w:color w:val="auto"/>
          <w:szCs w:val="21"/>
        </w:rPr>
        <w:t>六、乙方工作人员来院洽谈业务工作须严格遵守上级部门及医院相关规章制度，严格执行医院《医药（械）代表登记备案和管理制度》，及时做好医药代表登记、报备和变更等。未按规定执行，一经查实，承担相应责任。</w:t>
      </w:r>
    </w:p>
    <w:p>
      <w:pPr>
        <w:spacing w:line="360" w:lineRule="auto"/>
        <w:ind w:firstLine="420" w:firstLineChars="200"/>
        <w:rPr>
          <w:rFonts w:ascii="宋体" w:hAnsi="宋体" w:cs="仿宋"/>
          <w:color w:val="auto"/>
          <w:szCs w:val="21"/>
        </w:rPr>
      </w:pPr>
      <w:r>
        <w:rPr>
          <w:rFonts w:hint="eastAsia" w:ascii="宋体" w:hAnsi="宋体" w:cs="仿宋"/>
          <w:color w:val="auto"/>
          <w:szCs w:val="21"/>
        </w:rPr>
        <w:t>七、甲乙双方任何一方违反本协议或触犯相关法律法规，一经发现，本协议自动终止，且保留向有关部门报告的权利。</w:t>
      </w:r>
    </w:p>
    <w:p>
      <w:pPr>
        <w:spacing w:line="360" w:lineRule="auto"/>
        <w:ind w:firstLine="420" w:firstLineChars="200"/>
        <w:rPr>
          <w:rFonts w:ascii="宋体" w:hAnsi="宋体" w:cs="仿宋"/>
          <w:color w:val="auto"/>
          <w:szCs w:val="21"/>
        </w:rPr>
      </w:pPr>
      <w:r>
        <w:rPr>
          <w:rFonts w:hint="eastAsia" w:ascii="宋体" w:hAnsi="宋体" w:cs="仿宋"/>
          <w:color w:val="auto"/>
          <w:szCs w:val="21"/>
        </w:rPr>
        <w:t>八、本协议一式二份，双方各执一份（甲方由院纪检监察室留存），自签字盖章之日起生效，有效期从</w:t>
      </w:r>
      <w:r>
        <w:rPr>
          <w:rFonts w:ascii="宋体" w:hAnsi="宋体" w:cs="仿宋"/>
          <w:color w:val="auto"/>
          <w:szCs w:val="21"/>
        </w:rPr>
        <w:t>2024</w:t>
      </w:r>
      <w:r>
        <w:rPr>
          <w:rFonts w:hint="eastAsia" w:ascii="宋体" w:hAnsi="宋体" w:cs="仿宋"/>
          <w:color w:val="auto"/>
          <w:szCs w:val="21"/>
        </w:rPr>
        <w:t>年01月01日起至下一轮重新签协议之日止。</w:t>
      </w:r>
    </w:p>
    <w:p>
      <w:pPr>
        <w:spacing w:line="360" w:lineRule="auto"/>
        <w:rPr>
          <w:rFonts w:ascii="宋体" w:hAnsi="宋体" w:cs="仿宋"/>
          <w:color w:val="auto"/>
          <w:szCs w:val="21"/>
        </w:rPr>
      </w:pPr>
    </w:p>
    <w:p>
      <w:pPr>
        <w:spacing w:line="360" w:lineRule="auto"/>
        <w:rPr>
          <w:rFonts w:ascii="宋体" w:hAnsi="宋体" w:cs="仿宋"/>
          <w:color w:val="auto"/>
          <w:szCs w:val="21"/>
        </w:rPr>
      </w:pPr>
      <w:r>
        <w:rPr>
          <w:rFonts w:hint="eastAsia" w:ascii="宋体" w:hAnsi="宋体" w:cs="仿宋"/>
          <w:b/>
          <w:bCs/>
          <w:color w:val="auto"/>
          <w:szCs w:val="21"/>
        </w:rPr>
        <w:t>甲方（盖章）：               乙方（盖章）：</w:t>
      </w:r>
    </w:p>
    <w:p>
      <w:pPr>
        <w:spacing w:line="360" w:lineRule="auto"/>
        <w:rPr>
          <w:rFonts w:ascii="宋体" w:hAnsi="宋体" w:cs="仿宋"/>
          <w:color w:val="auto"/>
          <w:szCs w:val="21"/>
        </w:rPr>
      </w:pPr>
      <w:r>
        <w:rPr>
          <w:rFonts w:hint="eastAsia" w:ascii="宋体" w:hAnsi="宋体" w:cs="仿宋"/>
          <w:color w:val="auto"/>
          <w:szCs w:val="21"/>
        </w:rPr>
        <w:t xml:space="preserve">法定代表人或委托代理人       法定代表人或委托代理人     </w:t>
      </w:r>
    </w:p>
    <w:p>
      <w:pPr>
        <w:spacing w:line="360" w:lineRule="auto"/>
        <w:ind w:firstLine="420" w:firstLineChars="200"/>
        <w:rPr>
          <w:rFonts w:ascii="宋体" w:hAnsi="宋体" w:cs="仿宋"/>
          <w:color w:val="auto"/>
          <w:szCs w:val="21"/>
        </w:rPr>
      </w:pPr>
    </w:p>
    <w:p>
      <w:pPr>
        <w:spacing w:line="360" w:lineRule="auto"/>
        <w:ind w:firstLine="420" w:firstLineChars="200"/>
        <w:rPr>
          <w:rFonts w:ascii="宋体" w:hAnsi="宋体" w:cs="仿宋"/>
          <w:color w:val="auto"/>
          <w:szCs w:val="21"/>
        </w:rPr>
      </w:pPr>
      <w:r>
        <w:rPr>
          <w:rFonts w:ascii="宋体" w:hAnsi="宋体" w:cs="仿宋"/>
          <w:color w:val="auto"/>
          <w:szCs w:val="21"/>
        </w:rPr>
        <w:t>2024</w:t>
      </w:r>
      <w:r>
        <w:rPr>
          <w:rFonts w:hint="eastAsia" w:ascii="宋体" w:hAnsi="宋体" w:cs="仿宋"/>
          <w:color w:val="auto"/>
          <w:szCs w:val="21"/>
        </w:rPr>
        <w:t xml:space="preserve">年  月  日              </w:t>
      </w:r>
      <w:r>
        <w:rPr>
          <w:rFonts w:ascii="宋体" w:hAnsi="宋体" w:cs="仿宋"/>
          <w:color w:val="auto"/>
          <w:szCs w:val="21"/>
        </w:rPr>
        <w:t>2024</w:t>
      </w:r>
      <w:r>
        <w:rPr>
          <w:rFonts w:hint="eastAsia" w:ascii="宋体" w:hAnsi="宋体" w:cs="仿宋"/>
          <w:color w:val="auto"/>
          <w:szCs w:val="21"/>
        </w:rPr>
        <w:t>年  月  日</w:t>
      </w:r>
    </w:p>
    <w:p>
      <w:pPr>
        <w:pStyle w:val="24"/>
        <w:spacing w:line="420" w:lineRule="exact"/>
        <w:ind w:left="840" w:hanging="420"/>
        <w:jc w:val="center"/>
        <w:rPr>
          <w:rFonts w:hint="eastAsia" w:hAnsi="宋体" w:cs="仿宋"/>
          <w:color w:val="auto"/>
        </w:rPr>
      </w:pPr>
      <w:r>
        <w:rPr>
          <w:rFonts w:hint="eastAsia" w:hAnsi="宋体" w:cs="仿宋"/>
          <w:color w:val="auto"/>
        </w:rPr>
        <w:t xml:space="preserve"> </w:t>
      </w:r>
    </w:p>
    <w:p>
      <w:pPr>
        <w:jc w:val="center"/>
        <w:rPr>
          <w:rFonts w:hint="eastAsia" w:ascii="宋体" w:hAnsi="宋体"/>
          <w:b/>
          <w:color w:val="auto"/>
          <w:sz w:val="36"/>
          <w:szCs w:val="36"/>
        </w:rPr>
      </w:pPr>
      <w:r>
        <w:rPr>
          <w:rFonts w:ascii="宋体" w:hAnsi="宋体" w:cs="宋体"/>
          <w:color w:val="auto"/>
        </w:rPr>
        <w:br w:type="page"/>
      </w:r>
      <w:r>
        <w:rPr>
          <w:rFonts w:hint="eastAsia" w:ascii="宋体" w:hAnsi="宋体"/>
          <w:b/>
          <w:color w:val="auto"/>
          <w:sz w:val="36"/>
          <w:szCs w:val="36"/>
        </w:rPr>
        <w:t>浙江省立同德医院医药产品廉洁购销合同</w:t>
      </w:r>
    </w:p>
    <w:p>
      <w:pPr>
        <w:spacing w:line="420" w:lineRule="exact"/>
        <w:jc w:val="center"/>
        <w:rPr>
          <w:rFonts w:ascii="宋体" w:hAnsi="宋体"/>
          <w:b/>
          <w:color w:val="auto"/>
          <w:sz w:val="36"/>
          <w:szCs w:val="36"/>
        </w:rPr>
      </w:pPr>
    </w:p>
    <w:p>
      <w:pPr>
        <w:spacing w:line="420" w:lineRule="exact"/>
        <w:rPr>
          <w:rFonts w:hint="eastAsia" w:ascii="宋体" w:hAnsi="宋体"/>
          <w:color w:val="auto"/>
          <w:szCs w:val="21"/>
        </w:rPr>
      </w:pPr>
      <w:r>
        <w:rPr>
          <w:rFonts w:hint="eastAsia" w:ascii="宋体" w:hAnsi="宋体"/>
          <w:b/>
          <w:color w:val="auto"/>
          <w:szCs w:val="21"/>
        </w:rPr>
        <w:t>甲方</w:t>
      </w:r>
      <w:r>
        <w:rPr>
          <w:rFonts w:hint="eastAsia" w:ascii="宋体" w:hAnsi="宋体"/>
          <w:color w:val="auto"/>
          <w:szCs w:val="21"/>
        </w:rPr>
        <w:t>（医疗卫生机构）：浙江省立同德医院</w:t>
      </w:r>
    </w:p>
    <w:p>
      <w:pPr>
        <w:spacing w:line="420" w:lineRule="exact"/>
        <w:rPr>
          <w:rFonts w:hint="eastAsia" w:ascii="宋体" w:hAnsi="宋体"/>
          <w:color w:val="auto"/>
          <w:szCs w:val="21"/>
        </w:rPr>
      </w:pPr>
      <w:r>
        <w:rPr>
          <w:rFonts w:hint="eastAsia" w:ascii="宋体" w:hAnsi="宋体"/>
          <w:b/>
          <w:color w:val="auto"/>
          <w:szCs w:val="21"/>
        </w:rPr>
        <w:t>乙方</w:t>
      </w:r>
      <w:r>
        <w:rPr>
          <w:rFonts w:hint="eastAsia" w:ascii="宋体" w:hAnsi="宋体"/>
          <w:color w:val="auto"/>
          <w:szCs w:val="21"/>
        </w:rPr>
        <w:t>（医药生产经营企业及其代理人）：</w:t>
      </w:r>
    </w:p>
    <w:p>
      <w:pPr>
        <w:spacing w:line="420" w:lineRule="exact"/>
        <w:ind w:firstLine="420" w:firstLineChars="200"/>
        <w:rPr>
          <w:rFonts w:hint="eastAsia" w:ascii="宋体" w:hAnsi="宋体"/>
          <w:color w:val="auto"/>
          <w:szCs w:val="21"/>
        </w:rPr>
      </w:pPr>
      <w:r>
        <w:rPr>
          <w:rFonts w:hint="eastAsia" w:ascii="宋体" w:hAnsi="宋体"/>
          <w:color w:val="auto"/>
          <w:szCs w:val="21"/>
        </w:rPr>
        <w:t>为进一步加强医疗卫生行风建设，规范医疗卫生机构医药购销行为，有效防范商业贿赂行为，营造公平交易、诚实守信的购销环境，经甲、乙双方协商，同意签订本合同，并共同遵守：</w:t>
      </w:r>
    </w:p>
    <w:p>
      <w:pPr>
        <w:spacing w:line="420" w:lineRule="exact"/>
        <w:ind w:firstLine="420" w:firstLineChars="200"/>
        <w:rPr>
          <w:rFonts w:hint="eastAsia" w:ascii="宋体" w:hAnsi="宋体"/>
          <w:color w:val="auto"/>
          <w:szCs w:val="21"/>
        </w:rPr>
      </w:pPr>
      <w:r>
        <w:rPr>
          <w:rFonts w:hint="eastAsia" w:ascii="宋体" w:hAnsi="宋体"/>
          <w:color w:val="auto"/>
          <w:szCs w:val="21"/>
        </w:rPr>
        <w:t>一、甲乙双方按照《民法典》及医药产品购销合同约定购销药品、医用设备、医用耗材等医药产品。</w:t>
      </w:r>
    </w:p>
    <w:p>
      <w:pPr>
        <w:spacing w:line="420" w:lineRule="exact"/>
        <w:ind w:firstLine="420" w:firstLineChars="200"/>
        <w:rPr>
          <w:rFonts w:hint="eastAsia" w:ascii="宋体" w:hAnsi="宋体"/>
          <w:color w:val="auto"/>
          <w:szCs w:val="21"/>
        </w:rPr>
      </w:pPr>
      <w:r>
        <w:rPr>
          <w:rFonts w:hint="eastAsia" w:ascii="宋体" w:hAnsi="宋体"/>
          <w:color w:val="auto"/>
          <w:szCs w:val="21"/>
        </w:rPr>
        <w:t>二、甲方应当严格执行医药产品购销合同验收、入库制度，对采购医药产品及发票进行查验，不得违反有关规定合同外采购、违价采购或从非规定渠道采购。</w:t>
      </w:r>
    </w:p>
    <w:p>
      <w:pPr>
        <w:spacing w:line="420" w:lineRule="exact"/>
        <w:ind w:firstLine="420" w:firstLineChars="200"/>
        <w:rPr>
          <w:rFonts w:hint="eastAsia" w:ascii="宋体" w:hAnsi="宋体"/>
          <w:color w:val="auto"/>
          <w:szCs w:val="21"/>
        </w:rPr>
      </w:pPr>
      <w:r>
        <w:rPr>
          <w:rFonts w:hint="eastAsia" w:ascii="宋体" w:hAnsi="宋体"/>
          <w:color w:val="auto"/>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420" w:lineRule="exact"/>
        <w:ind w:firstLine="420" w:firstLineChars="200"/>
        <w:rPr>
          <w:rFonts w:hint="eastAsia" w:ascii="宋体" w:hAnsi="宋体"/>
          <w:color w:val="auto"/>
          <w:szCs w:val="21"/>
        </w:rPr>
      </w:pPr>
      <w:r>
        <w:rPr>
          <w:rFonts w:hint="eastAsia" w:ascii="宋体" w:hAnsi="宋体"/>
          <w:color w:val="auto"/>
          <w:szCs w:val="21"/>
        </w:rPr>
        <w:t>四、严禁甲方工作人员利用任何途径和方式，为乙方统计医师个人及临床科室有关医药产品用量信息，或为乙方统计提供便利。</w:t>
      </w:r>
    </w:p>
    <w:p>
      <w:pPr>
        <w:spacing w:line="420" w:lineRule="exact"/>
        <w:ind w:firstLine="420" w:firstLineChars="200"/>
        <w:rPr>
          <w:rFonts w:hint="eastAsia" w:ascii="宋体" w:hAnsi="宋体"/>
          <w:color w:val="auto"/>
          <w:szCs w:val="21"/>
        </w:rPr>
      </w:pPr>
      <w:r>
        <w:rPr>
          <w:rFonts w:hint="eastAsia" w:ascii="宋体" w:hAnsi="宋体"/>
          <w:color w:val="auto"/>
          <w:szCs w:val="21"/>
        </w:rPr>
        <w:t>五、乙方不得以回扣、宴请等方式影响甲方工作人员采购或使用医药产品的选择权，不得在学术活动中提供旅游、超标准支付食宿费用。</w:t>
      </w:r>
    </w:p>
    <w:p>
      <w:pPr>
        <w:spacing w:line="420" w:lineRule="exact"/>
        <w:ind w:firstLine="420" w:firstLineChars="200"/>
        <w:rPr>
          <w:rFonts w:hint="eastAsia" w:ascii="宋体" w:hAnsi="宋体"/>
          <w:color w:val="auto"/>
          <w:szCs w:val="21"/>
        </w:rPr>
      </w:pPr>
      <w:r>
        <w:rPr>
          <w:rFonts w:hint="eastAsia" w:ascii="宋体" w:hAnsi="宋体"/>
          <w:color w:val="auto"/>
          <w:szCs w:val="21"/>
        </w:rPr>
        <w:t>六、乙方指定</w:t>
      </w:r>
      <w:r>
        <w:rPr>
          <w:rFonts w:hint="eastAsia" w:ascii="宋体" w:hAnsi="宋体"/>
          <w:color w:val="auto"/>
          <w:szCs w:val="21"/>
          <w:u w:val="single"/>
        </w:rPr>
        <w:t xml:space="preserve">                        </w:t>
      </w:r>
      <w:r>
        <w:rPr>
          <w:rFonts w:hint="eastAsia" w:ascii="宋体" w:hAnsi="宋体"/>
          <w:color w:val="auto"/>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420" w:lineRule="exact"/>
        <w:ind w:firstLine="420" w:firstLineChars="200"/>
        <w:rPr>
          <w:rFonts w:hint="eastAsia" w:ascii="宋体" w:hAnsi="宋体"/>
          <w:color w:val="auto"/>
          <w:szCs w:val="21"/>
        </w:rPr>
      </w:pPr>
      <w:r>
        <w:rPr>
          <w:rFonts w:hint="eastAsia" w:ascii="宋体" w:hAnsi="宋体"/>
          <w:color w:val="auto"/>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color w:val="auto"/>
          <w:szCs w:val="21"/>
          <w:shd w:val="clear" w:color="auto" w:fill="FFFFFF"/>
        </w:rPr>
        <w:t>（国卫法制发〔</w:t>
      </w:r>
      <w:r>
        <w:rPr>
          <w:rFonts w:ascii="宋体" w:hAnsi="宋体"/>
          <w:color w:val="auto"/>
          <w:szCs w:val="21"/>
          <w:shd w:val="clear" w:color="auto" w:fill="FFFFFF"/>
        </w:rPr>
        <w:t>2013</w:t>
      </w:r>
      <w:r>
        <w:rPr>
          <w:rFonts w:hint="eastAsia" w:ascii="宋体" w:hAnsi="宋体"/>
          <w:color w:val="auto"/>
          <w:szCs w:val="21"/>
          <w:shd w:val="clear" w:color="auto" w:fill="FFFFFF"/>
        </w:rPr>
        <w:t>〕</w:t>
      </w:r>
      <w:r>
        <w:rPr>
          <w:rFonts w:ascii="宋体" w:hAnsi="宋体"/>
          <w:color w:val="auto"/>
          <w:szCs w:val="21"/>
          <w:shd w:val="clear" w:color="auto" w:fill="FFFFFF"/>
        </w:rPr>
        <w:t>50</w:t>
      </w:r>
      <w:r>
        <w:rPr>
          <w:rFonts w:hint="eastAsia" w:ascii="宋体" w:hAnsi="宋体"/>
          <w:color w:val="auto"/>
          <w:szCs w:val="21"/>
          <w:shd w:val="clear" w:color="auto" w:fill="FFFFFF"/>
        </w:rPr>
        <w:t>号）</w:t>
      </w:r>
      <w:r>
        <w:rPr>
          <w:rFonts w:hint="eastAsia" w:ascii="宋体" w:hAnsi="宋体"/>
          <w:color w:val="auto"/>
          <w:szCs w:val="21"/>
        </w:rPr>
        <w:t>相关规定处理。</w:t>
      </w:r>
    </w:p>
    <w:p>
      <w:pPr>
        <w:spacing w:line="420" w:lineRule="exact"/>
        <w:ind w:firstLine="420" w:firstLineChars="200"/>
        <w:rPr>
          <w:rFonts w:hint="eastAsia" w:ascii="宋体" w:hAnsi="宋体"/>
          <w:color w:val="auto"/>
          <w:szCs w:val="21"/>
        </w:rPr>
      </w:pPr>
      <w:r>
        <w:rPr>
          <w:rFonts w:hint="eastAsia" w:ascii="宋体" w:hAnsi="宋体"/>
          <w:color w:val="auto"/>
          <w:szCs w:val="21"/>
        </w:rPr>
        <w:t>八、本合同作为医药产品购销合同的重要组成部分，与购销合同一并执行，具有同等的法律效力。</w:t>
      </w:r>
    </w:p>
    <w:p>
      <w:pPr>
        <w:spacing w:line="420" w:lineRule="exact"/>
        <w:ind w:firstLine="420" w:firstLineChars="200"/>
        <w:rPr>
          <w:rFonts w:hint="eastAsia" w:ascii="宋体" w:hAnsi="宋体"/>
          <w:color w:val="auto"/>
          <w:szCs w:val="21"/>
        </w:rPr>
      </w:pPr>
      <w:r>
        <w:rPr>
          <w:rFonts w:hint="eastAsia" w:ascii="宋体" w:hAnsi="宋体"/>
          <w:color w:val="auto"/>
          <w:szCs w:val="21"/>
        </w:rPr>
        <w:t>九、本合同一式三份，甲、乙双方各执一份，甲方纪检监察部门执一份，并从签订之日起生效。</w:t>
      </w:r>
    </w:p>
    <w:p>
      <w:pPr>
        <w:spacing w:line="420" w:lineRule="exact"/>
        <w:rPr>
          <w:rFonts w:hint="eastAsia" w:ascii="宋体" w:hAnsi="宋体"/>
          <w:color w:val="auto"/>
          <w:szCs w:val="21"/>
        </w:rPr>
      </w:pPr>
    </w:p>
    <w:p>
      <w:pPr>
        <w:spacing w:line="420" w:lineRule="exact"/>
        <w:rPr>
          <w:rFonts w:hint="eastAsia" w:ascii="宋体" w:hAnsi="宋体"/>
          <w:color w:val="auto"/>
          <w:szCs w:val="21"/>
        </w:rPr>
      </w:pPr>
      <w:r>
        <w:rPr>
          <w:rFonts w:hint="eastAsia" w:ascii="宋体" w:hAnsi="宋体"/>
          <w:color w:val="auto"/>
          <w:szCs w:val="21"/>
        </w:rPr>
        <w:t>甲方（盖章）： 浙江省立同德医院             乙方（盖章）：</w:t>
      </w:r>
    </w:p>
    <w:p>
      <w:pPr>
        <w:spacing w:line="420" w:lineRule="exact"/>
        <w:rPr>
          <w:rFonts w:hint="eastAsia" w:ascii="宋体" w:hAnsi="宋体"/>
          <w:color w:val="auto"/>
          <w:szCs w:val="21"/>
        </w:rPr>
      </w:pPr>
      <w:r>
        <w:rPr>
          <w:rFonts w:hint="eastAsia" w:ascii="宋体" w:hAnsi="宋体"/>
          <w:color w:val="auto"/>
          <w:szCs w:val="21"/>
        </w:rPr>
        <w:t>法定代表人（负责人）：                      法定代表人（负责人）：</w:t>
      </w:r>
    </w:p>
    <w:p>
      <w:pPr>
        <w:spacing w:line="420" w:lineRule="exact"/>
        <w:rPr>
          <w:rFonts w:hint="eastAsia" w:ascii="宋体" w:hAnsi="宋体"/>
          <w:color w:val="auto"/>
          <w:szCs w:val="21"/>
        </w:rPr>
      </w:pPr>
      <w:r>
        <w:rPr>
          <w:rFonts w:hint="eastAsia" w:ascii="宋体" w:hAnsi="宋体"/>
          <w:color w:val="auto"/>
          <w:szCs w:val="21"/>
        </w:rPr>
        <w:t>经办人签名：                               经办人签名：</w:t>
      </w:r>
    </w:p>
    <w:p>
      <w:pPr>
        <w:pStyle w:val="32"/>
        <w:rPr>
          <w:rFonts w:hint="eastAsia" w:ascii="宋体" w:hAnsi="宋体" w:cs="宋体"/>
          <w:b/>
          <w:color w:val="auto"/>
          <w:sz w:val="36"/>
          <w:szCs w:val="20"/>
        </w:rPr>
      </w:pPr>
      <w:r>
        <w:rPr>
          <w:rFonts w:hint="eastAsia" w:hAnsi="宋体"/>
          <w:color w:val="auto"/>
          <w:szCs w:val="21"/>
        </w:rPr>
        <w:t xml:space="preserve">    年  月  日                                 年   月  日</w:t>
      </w:r>
      <w:r>
        <w:rPr>
          <w:rFonts w:hint="eastAsia" w:ascii="宋体" w:hAnsi="宋体" w:cs="宋体"/>
          <w:b/>
          <w:color w:val="auto"/>
          <w:sz w:val="36"/>
          <w:szCs w:val="20"/>
        </w:rPr>
        <w:br w:type="page"/>
      </w:r>
    </w:p>
    <w:p>
      <w:pPr>
        <w:pStyle w:val="3"/>
        <w:bidi w:val="0"/>
        <w:spacing w:line="360" w:lineRule="auto"/>
        <w:jc w:val="center"/>
        <w:rPr>
          <w:rFonts w:hint="eastAsia" w:ascii="Times New Roman" w:hAnsi="Times New Roman" w:eastAsia="宋体" w:cs="Times New Roman"/>
          <w:color w:val="auto"/>
          <w:sz w:val="30"/>
          <w:szCs w:val="30"/>
        </w:rPr>
      </w:pPr>
      <w:bookmarkStart w:id="412" w:name="_Toc10249"/>
      <w:r>
        <w:rPr>
          <w:rFonts w:hint="eastAsia" w:ascii="Times New Roman" w:hAnsi="Times New Roman" w:eastAsia="宋体" w:cs="Times New Roman"/>
          <w:color w:val="auto"/>
          <w:sz w:val="30"/>
          <w:szCs w:val="30"/>
        </w:rPr>
        <w:t>第六部分</w:t>
      </w:r>
      <w:bookmarkEnd w:id="409"/>
      <w:r>
        <w:rPr>
          <w:rFonts w:hint="eastAsia" w:ascii="Times New Roman" w:hAnsi="Times New Roman" w:eastAsia="宋体" w:cs="Times New Roman"/>
          <w:color w:val="auto"/>
          <w:sz w:val="30"/>
          <w:szCs w:val="30"/>
        </w:rPr>
        <w:t xml:space="preserve"> </w:t>
      </w:r>
      <w:bookmarkEnd w:id="410"/>
      <w:r>
        <w:rPr>
          <w:rFonts w:hint="eastAsia" w:ascii="Times New Roman" w:hAnsi="Times New Roman" w:eastAsia="宋体" w:cs="Times New Roman"/>
          <w:color w:val="auto"/>
          <w:sz w:val="30"/>
          <w:szCs w:val="30"/>
        </w:rPr>
        <w:t>应提交的有关格式范例</w:t>
      </w:r>
      <w:bookmarkEnd w:id="412"/>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bookmarkStart w:id="413" w:name="_Toc14141"/>
      <w:r>
        <w:rPr>
          <w:rFonts w:hint="eastAsia" w:ascii="宋体" w:hAnsi="宋体" w:cs="宋体"/>
          <w:b/>
          <w:color w:val="auto"/>
          <w:kern w:val="0"/>
          <w:sz w:val="36"/>
          <w:szCs w:val="36"/>
        </w:rPr>
        <w:t>资格文件部分</w:t>
      </w:r>
      <w:bookmarkEnd w:id="413"/>
    </w:p>
    <w:p>
      <w:pPr>
        <w:spacing w:line="360" w:lineRule="auto"/>
        <w:jc w:val="center"/>
        <w:outlineLvl w:val="0"/>
        <w:rPr>
          <w:rFonts w:ascii="宋体" w:hAnsi="宋体" w:cs="宋体"/>
          <w:b/>
          <w:color w:val="auto"/>
          <w:kern w:val="0"/>
          <w:sz w:val="36"/>
          <w:szCs w:val="36"/>
        </w:rPr>
      </w:pPr>
      <w:bookmarkStart w:id="414" w:name="_Toc8485"/>
      <w:r>
        <w:rPr>
          <w:rFonts w:hint="eastAsia" w:ascii="宋体" w:hAnsi="宋体" w:cs="宋体"/>
          <w:b/>
          <w:color w:val="auto"/>
          <w:kern w:val="0"/>
          <w:sz w:val="36"/>
          <w:szCs w:val="36"/>
        </w:rPr>
        <w:t>目录</w:t>
      </w:r>
      <w:bookmarkEnd w:id="414"/>
    </w:p>
    <w:p>
      <w:pPr>
        <w:spacing w:line="360" w:lineRule="auto"/>
        <w:jc w:val="center"/>
        <w:outlineLvl w:val="0"/>
        <w:rPr>
          <w:rFonts w:ascii="宋体" w:hAnsi="宋体" w:cs="宋体"/>
          <w:b/>
          <w:color w:val="auto"/>
          <w:kern w:val="0"/>
          <w:sz w:val="36"/>
          <w:szCs w:val="36"/>
        </w:rPr>
      </w:pPr>
    </w:p>
    <w:p>
      <w:pPr>
        <w:snapToGrid w:val="0"/>
        <w:spacing w:line="360" w:lineRule="auto"/>
        <w:rPr>
          <w:rFonts w:hint="default" w:ascii="宋体" w:hAnsi="宋体" w:eastAsia="宋体" w:cs="宋体"/>
          <w:color w:val="auto"/>
          <w:sz w:val="24"/>
          <w:lang w:val="en-US" w:eastAsia="zh-CN"/>
        </w:rPr>
      </w:pPr>
      <w:r>
        <w:rPr>
          <w:rFonts w:hint="eastAsia" w:ascii="宋体" w:hAnsi="宋体" w:cs="宋体"/>
          <w:color w:val="auto"/>
          <w:sz w:val="24"/>
        </w:rPr>
        <w:t>（1）营业执照(或事业法人登记证或其他工商等登记证明材料)复印件（供应商为自然人的，须提供自然人的身份证明）…………………………………………（页码）</w:t>
      </w:r>
    </w:p>
    <w:p>
      <w:pPr>
        <w:snapToGrid w:val="0"/>
        <w:spacing w:line="360" w:lineRule="auto"/>
        <w:rPr>
          <w:rFonts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w:t>
      </w:r>
      <w:r>
        <w:rPr>
          <w:rFonts w:hint="eastAsia" w:ascii="宋体" w:hAnsi="宋体" w:cs="宋体"/>
          <w:color w:val="auto"/>
          <w:sz w:val="24"/>
        </w:rPr>
        <w:t>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w:t>
      </w:r>
      <w:r>
        <w:rPr>
          <w:rFonts w:hint="eastAsia" w:ascii="宋体" w:hAnsi="宋体" w:cs="宋体"/>
          <w:snapToGrid w:val="0"/>
          <w:color w:val="auto"/>
          <w:kern w:val="28"/>
          <w:sz w:val="24"/>
          <w:szCs w:val="20"/>
          <w:lang w:val="en-US" w:eastAsia="zh-CN"/>
        </w:rPr>
        <w:t>3</w:t>
      </w:r>
      <w:r>
        <w:rPr>
          <w:rFonts w:hint="eastAsia" w:ascii="宋体" w:hAnsi="宋体" w:cs="宋体"/>
          <w:snapToGrid w:val="0"/>
          <w:color w:val="auto"/>
          <w:kern w:val="28"/>
          <w:sz w:val="24"/>
          <w:szCs w:val="20"/>
        </w:rPr>
        <w:t>）联合协议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hint="eastAsia"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eastAsia="宋体" w:cs="宋体"/>
          <w:b/>
          <w:color w:val="auto"/>
          <w:kern w:val="0"/>
          <w:sz w:val="32"/>
          <w:szCs w:val="32"/>
          <w:lang w:val="en-US" w:eastAsia="zh-CN"/>
        </w:rPr>
        <w:t>一、</w:t>
      </w:r>
      <w:r>
        <w:rPr>
          <w:rFonts w:hint="eastAsia" w:ascii="宋体" w:hAnsi="宋体" w:eastAsia="宋体" w:cs="宋体"/>
          <w:b/>
          <w:color w:val="auto"/>
          <w:kern w:val="0"/>
          <w:sz w:val="32"/>
          <w:szCs w:val="32"/>
        </w:rPr>
        <w:t xml:space="preserve"> 营业执照(或事业法人登记证或其他工商等登记证明材料)复印件（供应商为自然人的，须提供自然人的身份证明）</w:t>
      </w:r>
    </w:p>
    <w:p>
      <w:pPr>
        <w:rPr>
          <w:rFonts w:hint="eastAsia" w:ascii="宋体" w:hAnsi="宋体" w:cs="宋体"/>
          <w:b/>
          <w:color w:val="auto"/>
          <w:kern w:val="0"/>
          <w:sz w:val="32"/>
          <w:szCs w:val="32"/>
        </w:rPr>
      </w:pPr>
      <w:r>
        <w:rPr>
          <w:rFonts w:hint="eastAsia" w:ascii="宋体" w:hAnsi="宋体" w:cs="宋体"/>
          <w:b/>
          <w:color w:val="auto"/>
          <w:kern w:val="0"/>
          <w:sz w:val="32"/>
          <w:szCs w:val="32"/>
        </w:rPr>
        <w:br w:type="page"/>
      </w: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en-US" w:eastAsia="zh-CN"/>
        </w:rPr>
        <w:t>二</w:t>
      </w:r>
      <w:r>
        <w:rPr>
          <w:rFonts w:hint="eastAsia" w:ascii="宋体" w:hAnsi="宋体" w:cs="宋体"/>
          <w:b/>
          <w:color w:val="auto"/>
          <w:kern w:val="0"/>
          <w:sz w:val="32"/>
          <w:szCs w:val="32"/>
        </w:rPr>
        <w:t>、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pPr>
      <w:r>
        <w:rPr>
          <w:rFonts w:hint="eastAsia" w:ascii="宋体" w:hAnsi="宋体" w:cs="宋体"/>
          <w:color w:val="auto"/>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宋体"/>
          <w:b/>
          <w:color w:val="auto"/>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lang w:val="en-US" w:eastAsia="zh-CN"/>
        </w:rPr>
        <w:t>三</w:t>
      </w:r>
      <w:r>
        <w:rPr>
          <w:rFonts w:hint="eastAsia" w:ascii="宋体" w:hAnsi="宋体" w:cs="宋体"/>
          <w:b/>
          <w:color w:val="auto"/>
          <w:kern w:val="0"/>
          <w:sz w:val="32"/>
          <w:szCs w:val="32"/>
        </w:rPr>
        <w:t>、联合协</w:t>
      </w:r>
      <w:r>
        <w:rPr>
          <w:rFonts w:hint="eastAsia" w:ascii="宋体" w:hAnsi="宋体" w:cs="宋体"/>
          <w:b/>
          <w:color w:val="auto"/>
          <w:kern w:val="0"/>
          <w:sz w:val="32"/>
          <w:szCs w:val="32"/>
        </w:rPr>
        <w:t>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lang w:val="en-US" w:eastAsia="zh-CN"/>
        </w:rPr>
        <w:t>四</w:t>
      </w:r>
      <w:r>
        <w:rPr>
          <w:rFonts w:hint="eastAsia" w:ascii="宋体" w:hAnsi="宋体" w:cs="宋体"/>
          <w:b/>
          <w:color w:val="auto"/>
          <w:kern w:val="0"/>
          <w:sz w:val="32"/>
          <w:szCs w:val="32"/>
        </w:rPr>
        <w:t>、落实政府采购政策需满足的资格要求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w:t>
      </w:r>
      <w:r>
        <w:rPr>
          <w:rFonts w:hint="eastAsia" w:ascii="宋体" w:hAnsi="宋体" w:cs="宋体"/>
          <w:color w:val="auto"/>
          <w:sz w:val="24"/>
        </w:rPr>
        <w:t>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w:t>
      </w:r>
      <w:r>
        <w:rPr>
          <w:rFonts w:hint="eastAsia" w:ascii="宋体" w:hAnsi="宋体" w:cs="宋体"/>
          <w:color w:val="auto"/>
          <w:sz w:val="24"/>
        </w:rPr>
        <w:t>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lang w:val="en-US" w:eastAsia="zh-CN"/>
        </w:rPr>
        <w:t>五</w:t>
      </w:r>
      <w:r>
        <w:rPr>
          <w:rFonts w:hint="eastAsia" w:ascii="宋体" w:hAnsi="宋体" w:cs="宋体"/>
          <w:b/>
          <w:color w:val="auto"/>
          <w:kern w:val="0"/>
          <w:sz w:val="32"/>
          <w:szCs w:val="32"/>
        </w:rPr>
        <w:t>、本项目的特定资格要求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left="0" w:leftChars="0" w:right="420" w:firstLine="0" w:firstLineChars="0"/>
        <w:jc w:val="center"/>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bookmarkStart w:id="415" w:name="_Toc12175"/>
      <w:r>
        <w:rPr>
          <w:rFonts w:hint="eastAsia" w:ascii="宋体" w:hAnsi="宋体" w:cs="宋体"/>
          <w:b/>
          <w:color w:val="auto"/>
          <w:kern w:val="0"/>
          <w:sz w:val="28"/>
          <w:szCs w:val="28"/>
        </w:rPr>
        <w:t>目录</w:t>
      </w:r>
      <w:bookmarkEnd w:id="415"/>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bookmarkStart w:id="416" w:name="_Toc10205"/>
      <w:r>
        <w:rPr>
          <w:rFonts w:hint="eastAsia" w:ascii="宋体" w:hAnsi="宋体" w:cs="宋体"/>
          <w:b/>
          <w:color w:val="auto"/>
          <w:kern w:val="0"/>
          <w:sz w:val="32"/>
          <w:szCs w:val="32"/>
        </w:rPr>
        <w:t>一、投标</w:t>
      </w:r>
      <w:r>
        <w:rPr>
          <w:rFonts w:hint="eastAsia" w:ascii="宋体" w:hAnsi="宋体" w:cs="宋体"/>
          <w:b/>
          <w:color w:val="auto"/>
          <w:sz w:val="32"/>
          <w:szCs w:val="32"/>
        </w:rPr>
        <w:t>函</w:t>
      </w:r>
      <w:bookmarkEnd w:id="416"/>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hint="default" w:ascii="宋体" w:hAnsi="宋体" w:eastAsia="宋体" w:cs="宋体"/>
          <w:color w:val="auto"/>
          <w:sz w:val="24"/>
          <w:lang w:val="en-US" w:eastAsia="zh-CN"/>
        </w:rPr>
      </w:pPr>
      <w:r>
        <w:rPr>
          <w:rFonts w:hint="eastAsia" w:ascii="宋体" w:hAnsi="宋体" w:cs="宋体"/>
          <w:color w:val="auto"/>
          <w:sz w:val="24"/>
        </w:rPr>
        <w:t>2.1.1营业执照(或事业法人登记证或其他工商等登记证明材料)复印件（供应商为自然人的，须提供自然人的身份证明）</w:t>
      </w:r>
      <w:r>
        <w:rPr>
          <w:rFonts w:hint="eastAsia" w:ascii="宋体" w:hAnsi="宋体" w:cs="宋体"/>
          <w:color w:val="auto"/>
          <w:sz w:val="24"/>
          <w:lang w:val="en-US" w:eastAsia="zh-CN"/>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lang w:val="en-US" w:eastAsia="zh-CN"/>
        </w:rPr>
        <w:t>2.1.2</w:t>
      </w:r>
      <w:r>
        <w:rPr>
          <w:rFonts w:hint="eastAsia" w:ascii="宋体" w:hAnsi="宋体" w:cs="宋体"/>
          <w:color w:val="auto"/>
          <w:sz w:val="24"/>
        </w:rPr>
        <w:t>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hint="eastAsia" w:ascii="宋体" w:hAnsi="宋体" w:cs="宋体"/>
          <w:color w:val="auto"/>
          <w:sz w:val="24"/>
          <w:lang w:val="en-US" w:eastAsia="zh-CN"/>
        </w:rPr>
        <w:t>3</w:t>
      </w:r>
      <w:r>
        <w:rPr>
          <w:rFonts w:hint="eastAsia" w:ascii="宋体" w:hAnsi="宋体" w:cs="宋体"/>
          <w:snapToGrid w:val="0"/>
          <w:color w:val="auto"/>
          <w:kern w:val="28"/>
          <w:sz w:val="24"/>
          <w:szCs w:val="20"/>
        </w:rPr>
        <w:t>联合协议</w:t>
      </w:r>
      <w:bookmarkStart w:id="417" w:name="_Hlk101257010"/>
      <w:r>
        <w:rPr>
          <w:rFonts w:hint="eastAsia" w:ascii="宋体" w:hAnsi="宋体" w:cs="宋体"/>
          <w:color w:val="auto"/>
          <w:sz w:val="24"/>
        </w:rPr>
        <w:t>（如果有)</w:t>
      </w:r>
      <w:bookmarkEnd w:id="417"/>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w:t>
      </w:r>
      <w:r>
        <w:rPr>
          <w:rFonts w:hint="eastAsia" w:ascii="宋体" w:hAnsi="宋体" w:cs="宋体"/>
          <w:color w:val="auto"/>
          <w:sz w:val="24"/>
          <w:lang w:val="en-US" w:eastAsia="zh-CN"/>
        </w:rPr>
        <w:t>4</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hint="eastAsia" w:ascii="宋体" w:hAnsi="宋体" w:cs="宋体"/>
          <w:color w:val="auto"/>
          <w:sz w:val="24"/>
          <w:lang w:val="en-US" w:eastAsia="zh-CN"/>
        </w:rPr>
        <w:t>5</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pacing w:line="360" w:lineRule="auto"/>
        <w:ind w:left="420" w:leftChars="200" w:firstLine="480" w:firstLineChars="200"/>
        <w:rPr>
          <w:rFonts w:hint="default" w:eastAsia="仿宋_GB2312"/>
          <w:color w:val="auto"/>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w:t>
      </w:r>
      <w:r>
        <w:rPr>
          <w:rFonts w:hint="eastAsia" w:ascii="宋体" w:hAnsi="宋体" w:cs="宋体"/>
          <w:color w:val="auto"/>
          <w:sz w:val="24"/>
          <w:lang w:val="en-US" w:eastAsia="zh-CN"/>
        </w:rPr>
        <w:t>3</w:t>
      </w:r>
      <w:r>
        <w:rPr>
          <w:rFonts w:hint="eastAsia" w:ascii="宋体" w:hAnsi="宋体" w:cs="宋体"/>
          <w:color w:val="auto"/>
          <w:sz w:val="24"/>
        </w:rPr>
        <w:t>中小企业声明函（如果有）。</w:t>
      </w:r>
    </w:p>
    <w:p>
      <w:pPr>
        <w:pStyle w:val="79"/>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8"/>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rPr>
            </w:pPr>
            <w:r>
              <w:rPr>
                <w:rFonts w:hint="eastAsia" w:hAnsi="宋体" w:cs="宋体"/>
                <w:bCs/>
                <w:color w:val="auto"/>
                <w:sz w:val="24"/>
              </w:rPr>
              <w:t>正面：                                 反面：</w:t>
            </w:r>
          </w:p>
          <w:p>
            <w:pPr>
              <w:pStyle w:val="148"/>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w:t>
      </w:r>
      <w:r>
        <w:rPr>
          <w:rFonts w:hint="eastAsia" w:ascii="宋体" w:hAnsi="宋体" w:cs="宋体"/>
          <w:b/>
          <w:color w:val="auto"/>
          <w:kern w:val="0"/>
          <w:sz w:val="32"/>
          <w:szCs w:val="32"/>
        </w:rPr>
        <w:t>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pPr>
    </w:p>
    <w:p>
      <w:pPr>
        <w:rPr>
          <w:color w:val="auto"/>
        </w:rPr>
      </w:pPr>
      <w:r>
        <w:rPr>
          <w:color w:val="auto"/>
        </w:rPr>
        <w:br w:type="page"/>
      </w:r>
    </w:p>
    <w:p>
      <w:pPr>
        <w:jc w:val="center"/>
        <w:rPr>
          <w:rFonts w:ascii="Arial" w:hAnsi="Arial" w:cs="Arial"/>
          <w:b/>
          <w:bCs/>
          <w:color w:val="auto"/>
          <w:sz w:val="32"/>
        </w:rPr>
      </w:pPr>
      <w:r>
        <w:rPr>
          <w:rFonts w:ascii="Arial" w:hAnsi="Arial" w:cs="Arial"/>
          <w:b/>
          <w:bCs/>
          <w:color w:val="auto"/>
          <w:sz w:val="32"/>
        </w:rPr>
        <w:t>缴纳</w:t>
      </w:r>
      <w:r>
        <w:rPr>
          <w:rFonts w:hint="eastAsia" w:ascii="Arial" w:hAnsi="Arial" w:cs="Arial"/>
          <w:b/>
          <w:bCs/>
          <w:color w:val="auto"/>
          <w:sz w:val="32"/>
          <w:lang w:val="en-US" w:eastAsia="zh-CN"/>
        </w:rPr>
        <w:t>招标</w:t>
      </w:r>
      <w:r>
        <w:rPr>
          <w:rFonts w:ascii="Arial" w:hAnsi="Arial" w:cs="Arial"/>
          <w:b/>
          <w:bCs/>
          <w:color w:val="auto"/>
          <w:sz w:val="32"/>
        </w:rPr>
        <w:t>代理服务费承诺书</w:t>
      </w:r>
    </w:p>
    <w:p>
      <w:pPr>
        <w:adjustRightInd w:val="0"/>
        <w:snapToGrid w:val="0"/>
        <w:spacing w:line="360" w:lineRule="auto"/>
        <w:rPr>
          <w:rFonts w:hint="eastAsia" w:ascii="宋体" w:hAnsi="宋体" w:eastAsia="宋体" w:cs="宋体"/>
          <w:color w:val="auto"/>
          <w:sz w:val="24"/>
          <w:szCs w:val="24"/>
        </w:rPr>
      </w:pP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华诚工程咨询集团有限公司：</w:t>
      </w:r>
    </w:p>
    <w:p>
      <w:pPr>
        <w:pStyle w:val="4"/>
        <w:spacing w:line="360" w:lineRule="auto"/>
        <w:ind w:firstLine="420"/>
        <w:rPr>
          <w:rFonts w:hint="eastAsia" w:ascii="宋体" w:hAnsi="宋体" w:eastAsia="宋体" w:cs="宋体"/>
          <w:b w:val="0"/>
          <w:color w:val="auto"/>
          <w:sz w:val="24"/>
          <w:szCs w:val="24"/>
        </w:rPr>
      </w:pPr>
      <w:r>
        <w:rPr>
          <w:rFonts w:hint="eastAsia" w:ascii="宋体" w:hAnsi="宋体" w:eastAsia="宋体" w:cs="宋体"/>
          <w:b w:val="0"/>
          <w:color w:val="auto"/>
          <w:sz w:val="24"/>
          <w:szCs w:val="24"/>
        </w:rPr>
        <w:t>本单位在此承诺：如在本项目中标，中标之日起5个工作日之内，向贵公司按</w:t>
      </w:r>
      <w:r>
        <w:rPr>
          <w:rFonts w:hint="eastAsia" w:ascii="宋体" w:hAnsi="宋体" w:eastAsia="宋体" w:cs="宋体"/>
          <w:b w:val="0"/>
          <w:color w:val="auto"/>
          <w:sz w:val="24"/>
          <w:szCs w:val="24"/>
          <w:lang w:eastAsia="zh-CN"/>
        </w:rPr>
        <w:t>招标文件</w:t>
      </w:r>
      <w:r>
        <w:rPr>
          <w:rFonts w:hint="eastAsia" w:ascii="宋体" w:hAnsi="宋体" w:eastAsia="宋体" w:cs="宋体"/>
          <w:b w:val="0"/>
          <w:color w:val="auto"/>
          <w:sz w:val="24"/>
          <w:szCs w:val="24"/>
        </w:rPr>
        <w:t>约定支付</w:t>
      </w:r>
      <w:r>
        <w:rPr>
          <w:rFonts w:hint="eastAsia" w:ascii="宋体" w:hAnsi="宋体" w:eastAsia="宋体" w:cs="宋体"/>
          <w:b w:val="0"/>
          <w:color w:val="auto"/>
          <w:sz w:val="24"/>
          <w:szCs w:val="24"/>
          <w:lang w:val="en-US" w:eastAsia="zh-CN"/>
        </w:rPr>
        <w:t>招标</w:t>
      </w:r>
      <w:r>
        <w:rPr>
          <w:rFonts w:hint="eastAsia" w:ascii="宋体" w:hAnsi="宋体" w:eastAsia="宋体" w:cs="宋体"/>
          <w:b w:val="0"/>
          <w:color w:val="auto"/>
          <w:sz w:val="24"/>
          <w:szCs w:val="24"/>
        </w:rPr>
        <w:t>代理服务费。</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napToGrid w:val="0"/>
        <w:spacing w:line="360" w:lineRule="auto"/>
        <w:jc w:val="right"/>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供应商全称（盖单位公章或电子签章）：</w:t>
      </w:r>
    </w:p>
    <w:p>
      <w:pPr>
        <w:spacing w:line="360" w:lineRule="auto"/>
        <w:ind w:right="375"/>
        <w:jc w:val="right"/>
        <w:rPr>
          <w:rFonts w:hint="eastAsia" w:ascii="宋体" w:hAnsi="宋体" w:eastAsia="宋体" w:cs="宋体"/>
          <w:color w:val="auto"/>
          <w:spacing w:val="20"/>
          <w:sz w:val="24"/>
          <w:szCs w:val="24"/>
        </w:rPr>
      </w:pPr>
    </w:p>
    <w:p>
      <w:pPr>
        <w:spacing w:line="360" w:lineRule="auto"/>
        <w:ind w:right="375"/>
        <w:jc w:val="right"/>
        <w:rPr>
          <w:rFonts w:hint="eastAsia" w:ascii="宋体" w:hAnsi="宋体" w:eastAsia="宋体" w:cs="宋体"/>
          <w:color w:val="auto"/>
          <w:sz w:val="24"/>
          <w:szCs w:val="24"/>
        </w:rPr>
      </w:pPr>
      <w:r>
        <w:rPr>
          <w:rFonts w:hint="eastAsia" w:ascii="宋体" w:hAnsi="宋体" w:eastAsia="宋体" w:cs="宋体"/>
          <w:color w:val="auto"/>
          <w:spacing w:val="20"/>
          <w:sz w:val="24"/>
          <w:szCs w:val="24"/>
        </w:rPr>
        <w:t xml:space="preserve">日期：  </w:t>
      </w:r>
      <w:r>
        <w:rPr>
          <w:rFonts w:hint="eastAsia" w:ascii="宋体" w:hAnsi="宋体" w:eastAsia="宋体" w:cs="宋体"/>
          <w:color w:val="auto"/>
          <w:sz w:val="24"/>
          <w:szCs w:val="24"/>
        </w:rPr>
        <w:t>年  月  日</w:t>
      </w:r>
    </w:p>
    <w:p>
      <w:pPr>
        <w:spacing w:line="360" w:lineRule="auto"/>
        <w:ind w:right="480"/>
        <w:rPr>
          <w:rFonts w:hint="eastAsia" w:ascii="宋体" w:hAnsi="宋体" w:eastAsia="宋体" w:cs="宋体"/>
          <w:color w:val="auto"/>
          <w:sz w:val="24"/>
          <w:szCs w:val="24"/>
        </w:rPr>
      </w:pPr>
    </w:p>
    <w:p>
      <w:pPr>
        <w:ind w:right="480"/>
        <w:rPr>
          <w:rFonts w:hint="eastAsia" w:ascii="宋体" w:hAnsi="宋体" w:eastAsia="宋体" w:cs="宋体"/>
          <w:color w:val="auto"/>
          <w:sz w:val="24"/>
          <w:szCs w:val="24"/>
        </w:rPr>
      </w:pPr>
    </w:p>
    <w:p>
      <w:pPr>
        <w:ind w:right="480"/>
        <w:rPr>
          <w:rFonts w:hint="eastAsia" w:ascii="宋体" w:hAnsi="宋体" w:eastAsia="宋体" w:cs="宋体"/>
          <w:color w:val="auto"/>
          <w:sz w:val="24"/>
          <w:szCs w:val="24"/>
        </w:rPr>
      </w:pPr>
    </w:p>
    <w:p>
      <w:pPr>
        <w:ind w:right="480"/>
        <w:rPr>
          <w:rFonts w:hint="eastAsia" w:ascii="宋体" w:hAnsi="宋体" w:eastAsia="宋体" w:cs="宋体"/>
          <w:color w:val="auto"/>
          <w:sz w:val="24"/>
          <w:szCs w:val="24"/>
        </w:rPr>
      </w:pPr>
    </w:p>
    <w:p>
      <w:pPr>
        <w:ind w:right="480"/>
        <w:rPr>
          <w:rFonts w:hint="eastAsia" w:ascii="宋体" w:hAnsi="宋体" w:eastAsia="宋体" w:cs="宋体"/>
          <w:color w:val="auto"/>
          <w:sz w:val="24"/>
          <w:szCs w:val="24"/>
        </w:rPr>
      </w:pPr>
    </w:p>
    <w:p>
      <w:pPr>
        <w:ind w:right="480"/>
        <w:rPr>
          <w:rFonts w:hint="eastAsia" w:ascii="宋体" w:hAnsi="宋体" w:eastAsia="宋体" w:cs="宋体"/>
          <w:color w:val="auto"/>
          <w:sz w:val="24"/>
          <w:szCs w:val="24"/>
        </w:rPr>
      </w:pPr>
    </w:p>
    <w:p>
      <w:pPr>
        <w:widowControl/>
        <w:snapToGrid w:val="0"/>
        <w:spacing w:line="360" w:lineRule="auto"/>
        <w:ind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华诚工程咨询集团有限公司招标代理服务费</w:t>
      </w:r>
      <w:r>
        <w:rPr>
          <w:rFonts w:hint="eastAsia" w:ascii="宋体" w:hAnsi="宋体" w:eastAsia="宋体" w:cs="宋体"/>
          <w:color w:val="auto"/>
          <w:sz w:val="24"/>
          <w:szCs w:val="24"/>
        </w:rPr>
        <w:t>收取账号</w:t>
      </w:r>
      <w:r>
        <w:rPr>
          <w:rFonts w:hint="eastAsia" w:ascii="宋体" w:hAnsi="宋体" w:eastAsia="宋体" w:cs="宋体"/>
          <w:color w:val="auto"/>
          <w:sz w:val="24"/>
          <w:szCs w:val="24"/>
          <w:lang w:val="en-US" w:eastAsia="zh-CN"/>
        </w:rPr>
        <w:t>信息如下：</w:t>
      </w:r>
    </w:p>
    <w:p>
      <w:pPr>
        <w:widowControl/>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开户名称：华诚工程咨询集团有限公司</w:t>
      </w:r>
    </w:p>
    <w:p>
      <w:pPr>
        <w:widowControl/>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开户银行：上海浦东发展银行股份有限公司杭州和睦支行</w:t>
      </w:r>
    </w:p>
    <w:p>
      <w:pPr>
        <w:widowControl/>
        <w:adjustRightInd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账    号：95220078801100000315 </w:t>
      </w:r>
    </w:p>
    <w:p>
      <w:pPr>
        <w:pStyle w:val="2"/>
        <w:rPr>
          <w:color w:val="auto"/>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bookmarkStart w:id="418" w:name="_Toc31870"/>
      <w:r>
        <w:rPr>
          <w:rFonts w:hint="eastAsia" w:ascii="宋体" w:hAnsi="宋体" w:cs="宋体"/>
          <w:b/>
          <w:color w:val="auto"/>
          <w:kern w:val="0"/>
          <w:sz w:val="36"/>
          <w:szCs w:val="36"/>
        </w:rPr>
        <w:t>报价文件部分</w:t>
      </w:r>
      <w:bookmarkEnd w:id="418"/>
    </w:p>
    <w:p>
      <w:pPr>
        <w:spacing w:line="360" w:lineRule="auto"/>
        <w:jc w:val="center"/>
        <w:outlineLvl w:val="0"/>
        <w:rPr>
          <w:rFonts w:ascii="宋体" w:hAnsi="宋体" w:cs="宋体"/>
          <w:b/>
          <w:color w:val="auto"/>
          <w:kern w:val="0"/>
          <w:sz w:val="36"/>
          <w:szCs w:val="36"/>
        </w:rPr>
      </w:pPr>
      <w:bookmarkStart w:id="419" w:name="_Toc3436"/>
      <w:r>
        <w:rPr>
          <w:rFonts w:hint="eastAsia" w:ascii="宋体" w:hAnsi="宋体" w:cs="宋体"/>
          <w:b/>
          <w:color w:val="auto"/>
          <w:kern w:val="0"/>
          <w:sz w:val="36"/>
          <w:szCs w:val="36"/>
        </w:rPr>
        <w:t>目录</w:t>
      </w:r>
      <w:bookmarkEnd w:id="419"/>
    </w:p>
    <w:p>
      <w:pPr>
        <w:spacing w:line="360" w:lineRule="auto"/>
        <w:jc w:val="center"/>
        <w:outlineLvl w:val="0"/>
        <w:rPr>
          <w:rFonts w:ascii="宋体" w:hAnsi="宋体" w:cs="宋体"/>
          <w:b/>
          <w:color w:val="auto"/>
          <w:kern w:val="0"/>
          <w:sz w:val="36"/>
          <w:szCs w:val="36"/>
        </w:rPr>
      </w:pPr>
    </w:p>
    <w:p>
      <w:pPr>
        <w:numPr>
          <w:ilvl w:val="0"/>
          <w:numId w:val="0"/>
        </w:numPr>
        <w:snapToGrid w:val="0"/>
        <w:spacing w:line="360" w:lineRule="auto"/>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cs="宋体"/>
          <w:color w:val="auto"/>
          <w:sz w:val="24"/>
        </w:rPr>
        <w:t>开标一览表（报价表）………………………………………………………（页码）</w:t>
      </w:r>
    </w:p>
    <w:p>
      <w:pPr>
        <w:spacing w:line="360" w:lineRule="auto"/>
        <w:rPr>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）中小企业声明函………………………………………………………………（页码）</w:t>
      </w:r>
    </w:p>
    <w:p>
      <w:pPr>
        <w:pStyle w:val="79"/>
        <w:rPr>
          <w:rFonts w:hint="eastAsia"/>
          <w:color w:val="auto"/>
        </w:rPr>
      </w:pPr>
    </w:p>
    <w:p>
      <w:pPr>
        <w:pStyle w:val="79"/>
        <w:rPr>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bookmarkStart w:id="420" w:name="_Toc6117"/>
      <w:r>
        <w:rPr>
          <w:rFonts w:hint="eastAsia" w:ascii="宋体" w:hAnsi="宋体" w:eastAsia="宋体" w:cs="宋体"/>
          <w:color w:val="auto"/>
          <w:kern w:val="2"/>
          <w:sz w:val="32"/>
          <w:szCs w:val="32"/>
        </w:rPr>
        <w:t>一、开标一览表（报价表）</w:t>
      </w:r>
      <w:bookmarkEnd w:id="420"/>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w:t>
      </w:r>
      <w:r>
        <w:rPr>
          <w:rFonts w:hint="eastAsia" w:ascii="宋体" w:hAnsi="宋体" w:cs="宋体"/>
          <w:color w:val="auto"/>
          <w:kern w:val="0"/>
          <w:sz w:val="24"/>
          <w:lang w:val="en-US" w:eastAsia="zh-CN"/>
        </w:rPr>
        <w:t>项目</w:t>
      </w:r>
      <w:r>
        <w:rPr>
          <w:rFonts w:hint="eastAsia" w:ascii="宋体" w:hAnsi="宋体" w:cs="宋体"/>
          <w:color w:val="auto"/>
          <w:kern w:val="0"/>
          <w:sz w:val="24"/>
          <w:lang w:val="zh-CN"/>
        </w:rPr>
        <w:t>编号：</w:t>
      </w:r>
      <w:r>
        <w:rPr>
          <w:rFonts w:hint="eastAsia" w:ascii="宋体" w:hAnsi="宋体" w:cs="宋体"/>
          <w:color w:val="auto"/>
          <w:sz w:val="24"/>
          <w:lang w:val="en-US" w:eastAsia="zh-CN"/>
        </w:rPr>
        <w:t xml:space="preserve">         </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numPr>
          <w:ilvl w:val="0"/>
          <w:numId w:val="3"/>
        </w:numPr>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bookmarkStart w:id="421" w:name="_Toc17309"/>
      <w:r>
        <w:rPr>
          <w:rFonts w:hint="eastAsia" w:ascii="宋体" w:hAnsi="宋体" w:eastAsia="宋体" w:cs="宋体"/>
          <w:color w:val="auto"/>
          <w:kern w:val="2"/>
          <w:sz w:val="32"/>
          <w:szCs w:val="32"/>
          <w:lang w:val="en-US" w:eastAsia="zh-CN"/>
        </w:rPr>
        <w:t>报价情况说明（如果有）</w:t>
      </w:r>
      <w:bookmarkEnd w:id="421"/>
    </w:p>
    <w:p>
      <w:pPr>
        <w:pStyle w:val="4"/>
        <w:keepNext w:val="0"/>
        <w:pageBreakBefore w:val="0"/>
        <w:numPr>
          <w:ilvl w:val="-1"/>
          <w:numId w:val="0"/>
        </w:numPr>
        <w:snapToGrid w:val="0"/>
        <w:spacing w:before="120" w:after="120"/>
        <w:ind w:firstLine="0"/>
        <w:outlineLvl w:val="9"/>
        <w:rPr>
          <w:rFonts w:hint="default" w:ascii="宋体" w:hAnsi="宋体" w:eastAsia="宋体" w:cs="宋体"/>
          <w:color w:val="auto"/>
          <w:kern w:val="2"/>
          <w:sz w:val="32"/>
          <w:szCs w:val="32"/>
          <w:lang w:val="en-US" w:eastAsia="zh-CN"/>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w:t>
      </w: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lang w:val="en-US" w:eastAsia="zh-CN"/>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rPr>
      </w:pPr>
      <w:bookmarkStart w:id="422" w:name="_Toc5690"/>
      <w:r>
        <w:rPr>
          <w:rFonts w:hint="eastAsia" w:ascii="宋体" w:hAnsi="宋体" w:eastAsia="宋体" w:cs="宋体"/>
          <w:color w:val="auto"/>
          <w:kern w:val="2"/>
          <w:sz w:val="32"/>
          <w:szCs w:val="32"/>
          <w:lang w:val="en-US" w:eastAsia="zh-CN"/>
        </w:rPr>
        <w:t>三</w:t>
      </w:r>
      <w:r>
        <w:rPr>
          <w:rFonts w:hint="eastAsia" w:ascii="宋体" w:hAnsi="宋体" w:eastAsia="宋体" w:cs="宋体"/>
          <w:color w:val="auto"/>
          <w:kern w:val="2"/>
          <w:sz w:val="32"/>
          <w:szCs w:val="32"/>
        </w:rPr>
        <w:t>、</w:t>
      </w:r>
      <w:r>
        <w:rPr>
          <w:rFonts w:hint="eastAsia" w:ascii="宋体" w:hAnsi="宋体" w:eastAsia="宋体" w:cs="宋体"/>
          <w:color w:val="auto"/>
          <w:sz w:val="32"/>
          <w:szCs w:val="32"/>
        </w:rPr>
        <w:t>中小企业声明函（如果有）</w:t>
      </w:r>
      <w:bookmarkEnd w:id="422"/>
    </w:p>
    <w:p>
      <w:pPr>
        <w:widowControl/>
        <w:spacing w:line="360" w:lineRule="auto"/>
        <w:ind w:firstLine="120" w:firstLineChars="50"/>
        <w:jc w:val="left"/>
        <w:rPr>
          <w:rFonts w:hint="eastAsia"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79"/>
        <w:rPr>
          <w:rFonts w:hint="eastAsia" w:ascii="宋体" w:hAnsi="宋体" w:cs="宋体"/>
          <w:b/>
          <w:color w:val="auto"/>
          <w:sz w:val="24"/>
        </w:rPr>
      </w:pPr>
    </w:p>
    <w:p>
      <w:pPr>
        <w:pStyle w:val="79"/>
        <w:rPr>
          <w:rFonts w:hint="eastAsia" w:ascii="宋体" w:hAnsi="宋体" w:cs="宋体"/>
          <w:b/>
          <w:color w:val="auto"/>
          <w:sz w:val="24"/>
        </w:rPr>
      </w:pPr>
    </w:p>
    <w:p>
      <w:pPr>
        <w:pStyle w:val="693"/>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bookmarkStart w:id="423" w:name="_Toc14215"/>
      <w:r>
        <w:rPr>
          <w:rFonts w:hint="eastAsia" w:ascii="宋体" w:hAnsi="宋体" w:cs="宋体"/>
          <w:color w:val="auto"/>
        </w:rPr>
        <w:t>附件</w:t>
      </w:r>
      <w:bookmarkEnd w:id="423"/>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24" w:name="OLE_LINK14"/>
      <w:bookmarkStart w:id="425" w:name="OLE_LINK13"/>
      <w:r>
        <w:rPr>
          <w:rFonts w:hint="eastAsia" w:ascii="宋体" w:hAnsi="宋体" w:cs="宋体"/>
          <w:b/>
          <w:color w:val="auto"/>
          <w:spacing w:val="6"/>
          <w:sz w:val="32"/>
          <w:szCs w:val="32"/>
        </w:rPr>
        <w:t>残疾人福利性单位声明函</w:t>
      </w:r>
    </w:p>
    <w:bookmarkEnd w:id="424"/>
    <w:bookmarkEnd w:id="425"/>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w:t>
      </w:r>
      <w:r>
        <w:rPr>
          <w:rFonts w:hint="eastAsia" w:ascii="宋体" w:hAnsi="宋体" w:cs="宋体"/>
          <w:color w:val="auto"/>
          <w:sz w:val="24"/>
        </w:rPr>
        <w:t>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w:t>
      </w:r>
      <w:r>
        <w:rPr>
          <w:rFonts w:hint="eastAsia" w:ascii="宋体" w:hAnsi="宋体" w:cs="宋体"/>
          <w:color w:val="auto"/>
          <w:sz w:val="24"/>
        </w:rPr>
        <w:t>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426"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426"/>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427"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427"/>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28"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428"/>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w:t>
      </w:r>
      <w:r>
        <w:rPr>
          <w:rFonts w:hint="eastAsia" w:ascii="宋体" w:hAnsi="宋体" w:cs="宋体"/>
          <w:b/>
          <w:color w:val="auto"/>
          <w:sz w:val="24"/>
        </w:rPr>
        <w:t>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w:t>
      </w:r>
      <w:r>
        <w:rPr>
          <w:rFonts w:hint="eastAsia" w:ascii="宋体" w:hAnsi="宋体" w:cs="宋体"/>
          <w:color w:val="auto"/>
          <w:sz w:val="24"/>
          <w:lang w:val="en-US"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w:t>
      </w:r>
      <w:r>
        <w:rPr>
          <w:rFonts w:hint="eastAsia" w:ascii="宋体" w:hAnsi="宋体" w:cs="宋体"/>
          <w:color w:val="auto"/>
          <w:kern w:val="0"/>
          <w:sz w:val="24"/>
          <w:u w:val="single"/>
        </w:rPr>
        <w:t>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4"/>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rPr>
          <w:rFonts w:hint="eastAsia" w:ascii="宋体" w:hAnsi="宋体" w:cs="宋体"/>
          <w:b/>
          <w:color w:val="auto"/>
          <w:sz w:val="36"/>
          <w:szCs w:val="20"/>
        </w:rPr>
      </w:pPr>
      <w:r>
        <w:rPr>
          <w:rFonts w:hint="eastAsia" w:ascii="宋体" w:hAnsi="宋体" w:cs="宋体"/>
          <w:b/>
          <w:color w:val="auto"/>
          <w:sz w:val="36"/>
          <w:szCs w:val="20"/>
        </w:rPr>
        <w:br w:type="page"/>
      </w:r>
    </w:p>
    <w:p>
      <w:pPr>
        <w:spacing w:line="360" w:lineRule="auto"/>
        <w:jc w:val="left"/>
        <w:outlineLvl w:val="0"/>
        <w:rPr>
          <w:rFonts w:ascii="宋体" w:hAnsi="宋体" w:cs="宋体"/>
          <w:b/>
          <w:color w:val="auto"/>
          <w:sz w:val="36"/>
          <w:szCs w:val="20"/>
        </w:rPr>
      </w:pPr>
      <w:bookmarkStart w:id="429" w:name="_Toc30948"/>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bookmarkEnd w:id="429"/>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招标文件</w:t>
      </w:r>
      <w:r>
        <w:rPr>
          <w:rFonts w:hint="eastAsia" w:ascii="宋体" w:hAnsi="宋体" w:cs="宋体"/>
          <w:color w:val="auto"/>
          <w:sz w:val="24"/>
          <w:u w:val="single"/>
        </w:rPr>
        <w:t>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w:t>
      </w:r>
      <w:r>
        <w:rPr>
          <w:rFonts w:hint="eastAsia" w:ascii="宋体" w:hAnsi="宋体" w:cs="宋体"/>
          <w:color w:val="auto"/>
          <w:sz w:val="24"/>
          <w:lang w:eastAsia="zh-CN"/>
        </w:rPr>
        <w:t>招标文件</w:t>
      </w:r>
      <w:r>
        <w:rPr>
          <w:rFonts w:hint="eastAsia" w:ascii="宋体" w:hAnsi="宋体" w:cs="宋体"/>
          <w:color w:val="auto"/>
          <w:sz w:val="24"/>
        </w:rPr>
        <w:t>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color w:val="auto"/>
          <w:lang w:val="en-US"/>
        </w:rPr>
      </w:pPr>
    </w:p>
    <w:p>
      <w:pPr>
        <w:spacing w:line="360" w:lineRule="auto"/>
        <w:ind w:right="420"/>
        <w:rPr>
          <w:rFonts w:ascii="宋体" w:hAnsi="宋体" w:cs="宋体"/>
          <w:color w:val="auto"/>
        </w:rPr>
      </w:pPr>
    </w:p>
    <w:p>
      <w:pPr>
        <w:rPr>
          <w:rFonts w:ascii="宋体" w:hAnsi="宋体" w:cs="宋体"/>
          <w:bCs/>
          <w:color w:val="auto"/>
          <w:sz w:val="24"/>
        </w:rPr>
      </w:pPr>
      <w:r>
        <w:rPr>
          <w:rFonts w:ascii="宋体" w:hAnsi="宋体" w:cs="宋体"/>
          <w:bCs/>
          <w:color w:val="auto"/>
          <w:sz w:val="24"/>
        </w:rPr>
        <w:br w:type="page"/>
      </w:r>
      <w:r>
        <w:rPr>
          <w:rFonts w:hint="eastAsia"/>
          <w:color w:val="auto"/>
        </w:rPr>
        <w:drawing>
          <wp:inline distT="0" distB="0" distL="114300" distR="114300">
            <wp:extent cx="5826125" cy="3538855"/>
            <wp:effectExtent l="0" t="0" r="10795" b="12065"/>
            <wp:docPr id="2"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1"/>
                    <pic:cNvPicPr>
                      <a:picLocks noChangeAspect="1"/>
                    </pic:cNvPicPr>
                  </pic:nvPicPr>
                  <pic:blipFill>
                    <a:blip r:embed="rId26"/>
                    <a:stretch>
                      <a:fillRect/>
                    </a:stretch>
                  </pic:blipFill>
                  <pic:spPr>
                    <a:xfrm>
                      <a:off x="0" y="0"/>
                      <a:ext cx="5826125" cy="3538855"/>
                    </a:xfrm>
                    <a:prstGeom prst="rect">
                      <a:avLst/>
                    </a:prstGeom>
                    <a:noFill/>
                    <a:ln>
                      <a:noFill/>
                    </a:ln>
                  </pic:spPr>
                </pic:pic>
              </a:graphicData>
            </a:graphic>
          </wp:inline>
        </w:drawing>
      </w:r>
    </w:p>
    <w:p>
      <w:pPr>
        <w:rPr>
          <w:rFonts w:ascii="方正小标宋简体" w:hAnsi="方正小标宋简体" w:eastAsia="方正小标宋简体" w:cs="方正小标宋简体"/>
          <w:color w:val="auto"/>
          <w:sz w:val="36"/>
          <w:szCs w:val="36"/>
        </w:rPr>
      </w:pPr>
      <w:r>
        <w:rPr>
          <w:rFonts w:ascii="方正小标宋简体" w:hAnsi="方正小标宋简体" w:eastAsia="方正小标宋简体" w:cs="方正小标宋简体"/>
          <w:color w:val="auto"/>
          <w:sz w:val="36"/>
          <w:szCs w:val="36"/>
        </w:rPr>
        <w:br w:type="page"/>
      </w:r>
    </w:p>
    <w:p>
      <w:pPr>
        <w:pStyle w:val="319"/>
        <w:widowControl w:val="0"/>
        <w:snapToGrid w:val="0"/>
        <w:spacing w:line="500" w:lineRule="exact"/>
        <w:jc w:val="center"/>
        <w:rPr>
          <w:rFonts w:ascii="方正小标宋简体" w:hAnsi="方正小标宋简体" w:eastAsia="方正小标宋简体" w:cs="方正小标宋简体"/>
          <w:color w:val="auto"/>
          <w:sz w:val="36"/>
          <w:szCs w:val="36"/>
        </w:rPr>
      </w:pPr>
      <w:r>
        <w:rPr>
          <w:rFonts w:ascii="方正小标宋简体" w:hAnsi="方正小标宋简体" w:eastAsia="方正小标宋简体" w:cs="方正小标宋简体"/>
          <w:color w:val="auto"/>
          <w:sz w:val="36"/>
          <w:szCs w:val="36"/>
        </w:rPr>
        <w:t>政府采购活动现场确认声明书</w:t>
      </w:r>
    </w:p>
    <w:p>
      <w:pPr>
        <w:pStyle w:val="319"/>
        <w:widowControl w:val="0"/>
        <w:snapToGrid w:val="0"/>
        <w:spacing w:line="5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（此表</w:t>
      </w: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文件中无需提供，待</w:t>
      </w:r>
      <w:r>
        <w:rPr>
          <w:rFonts w:hint="eastAsia" w:ascii="宋体" w:hAnsi="宋体" w:eastAsia="宋体" w:cs="宋体"/>
          <w:color w:val="auto"/>
          <w:kern w:val="0"/>
          <w:sz w:val="24"/>
          <w:szCs w:val="24"/>
          <w:lang w:val="en-US" w:eastAsia="zh-CN"/>
        </w:rPr>
        <w:t>投标</w:t>
      </w:r>
      <w:r>
        <w:rPr>
          <w:rFonts w:hint="eastAsia" w:ascii="宋体" w:hAnsi="宋体" w:eastAsia="宋体" w:cs="宋体"/>
          <w:color w:val="auto"/>
          <w:kern w:val="0"/>
          <w:sz w:val="24"/>
          <w:szCs w:val="24"/>
        </w:rPr>
        <w:t>文件解密结束，填写此表，并将此表的扫描件或（图片）</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"mailto:发至采购代理机构经办人邮箱hczbdl@126.com" </w:instrText>
      </w:r>
      <w:r>
        <w:rPr>
          <w:rFonts w:hint="eastAsia" w:ascii="宋体" w:hAnsi="宋体" w:eastAsia="宋体" w:cs="宋体"/>
          <w:color w:val="auto"/>
          <w:kern w:val="0"/>
          <w:sz w:val="24"/>
          <w:szCs w:val="24"/>
        </w:rPr>
        <w:fldChar w:fldCharType="separate"/>
      </w:r>
      <w:r>
        <w:rPr>
          <w:rStyle w:val="76"/>
          <w:rFonts w:hint="eastAsia" w:ascii="宋体" w:hAnsi="宋体" w:eastAsia="宋体" w:cs="宋体"/>
          <w:color w:val="auto"/>
          <w:kern w:val="0"/>
          <w:sz w:val="24"/>
          <w:szCs w:val="24"/>
        </w:rPr>
        <w:t>发至采购代理机构经办人邮箱</w:t>
      </w:r>
      <w:r>
        <w:rPr>
          <w:rStyle w:val="76"/>
          <w:rFonts w:hint="eastAsia" w:ascii="宋体" w:hAnsi="宋体" w:eastAsia="宋体" w:cs="宋体"/>
          <w:color w:val="auto"/>
          <w:kern w:val="0"/>
          <w:sz w:val="24"/>
          <w:szCs w:val="24"/>
          <w:lang w:val="en-US" w:eastAsia="zh-CN"/>
        </w:rPr>
        <w:t>HCZBDL@</w:t>
      </w:r>
      <w:r>
        <w:rPr>
          <w:rStyle w:val="76"/>
          <w:rFonts w:hint="eastAsia" w:ascii="宋体" w:hAnsi="宋体" w:eastAsia="宋体" w:cs="宋体"/>
          <w:color w:val="auto"/>
          <w:kern w:val="0"/>
          <w:sz w:val="24"/>
          <w:szCs w:val="24"/>
        </w:rPr>
        <w:t>126.com</w:t>
      </w:r>
      <w:r>
        <w:rPr>
          <w:rFonts w:hint="eastAsia" w:ascii="宋体" w:hAnsi="宋体" w:eastAsia="宋体" w:cs="宋体"/>
          <w:color w:val="auto"/>
          <w:kern w:val="0"/>
          <w:sz w:val="24"/>
          <w:szCs w:val="24"/>
        </w:rPr>
        <w:fldChar w:fldCharType="end"/>
      </w:r>
      <w:r>
        <w:rPr>
          <w:rFonts w:hint="eastAsia" w:ascii="宋体" w:hAnsi="宋体" w:eastAsia="宋体" w:cs="宋体"/>
          <w:color w:val="auto"/>
          <w:kern w:val="0"/>
          <w:sz w:val="24"/>
          <w:szCs w:val="24"/>
        </w:rPr>
        <w:t xml:space="preserve"> 或政采云平台）</w:t>
      </w:r>
    </w:p>
    <w:p>
      <w:pPr>
        <w:pStyle w:val="319"/>
        <w:widowControl w:val="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pStyle w:val="319"/>
        <w:widowControl w:val="0"/>
        <w:snapToGrid w:val="0"/>
        <w:spacing w:line="400" w:lineRule="exact"/>
        <w:rPr>
          <w:rFonts w:hint="eastAsia" w:ascii="宋体" w:hAnsi="宋体" w:eastAsia="宋体" w:cs="宋体"/>
          <w:color w:val="auto"/>
          <w:kern w:val="0"/>
          <w:sz w:val="24"/>
          <w:szCs w:val="24"/>
        </w:rPr>
      </w:pPr>
    </w:p>
    <w:p>
      <w:pPr>
        <w:pStyle w:val="319"/>
        <w:widowControl w:val="0"/>
        <w:snapToGrid w:val="0"/>
        <w:spacing w:line="400" w:lineRule="exact"/>
        <w:rPr>
          <w:rFonts w:hint="eastAsia" w:ascii="宋体" w:hAnsi="宋体" w:eastAsia="宋体" w:cs="宋体"/>
          <w:b/>
          <w:color w:val="auto"/>
          <w:sz w:val="24"/>
          <w:szCs w:val="24"/>
        </w:rPr>
      </w:pPr>
      <w:r>
        <w:rPr>
          <w:rFonts w:hint="eastAsia" w:ascii="宋体" w:hAnsi="宋体" w:eastAsia="宋体" w:cs="宋体"/>
          <w:color w:val="auto"/>
          <w:kern w:val="0"/>
          <w:sz w:val="24"/>
          <w:szCs w:val="24"/>
          <w:u w:val="single"/>
        </w:rPr>
        <w:t xml:space="preserve">华诚工程咨询集团有限公司 </w:t>
      </w:r>
      <w:r>
        <w:rPr>
          <w:rFonts w:hint="eastAsia" w:ascii="宋体" w:hAnsi="宋体" w:eastAsia="宋体" w:cs="宋体"/>
          <w:color w:val="auto"/>
          <w:kern w:val="0"/>
          <w:sz w:val="24"/>
          <w:szCs w:val="24"/>
        </w:rPr>
        <w:t>：</w:t>
      </w:r>
    </w:p>
    <w:p>
      <w:pPr>
        <w:pStyle w:val="319"/>
        <w:widowControl w:val="0"/>
        <w:snapToGrid w:val="0"/>
        <w:spacing w:line="400" w:lineRule="exact"/>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本人经由</w:t>
      </w:r>
      <w:r>
        <w:rPr>
          <w:rFonts w:hint="eastAsia" w:ascii="宋体" w:hAnsi="宋体" w:eastAsia="宋体" w:cs="宋体"/>
          <w:color w:val="auto"/>
          <w:spacing w:val="6"/>
          <w:sz w:val="24"/>
          <w:szCs w:val="24"/>
          <w:u w:val="single"/>
        </w:rPr>
        <w:t xml:space="preserve">               （单位）</w:t>
      </w:r>
      <w:r>
        <w:rPr>
          <w:rFonts w:hint="eastAsia" w:ascii="宋体" w:hAnsi="宋体" w:eastAsia="宋体" w:cs="宋体"/>
          <w:color w:val="auto"/>
          <w:spacing w:val="6"/>
          <w:sz w:val="24"/>
          <w:szCs w:val="24"/>
        </w:rPr>
        <w:t>法人代表（负责人）</w:t>
      </w:r>
      <w:r>
        <w:rPr>
          <w:rFonts w:hint="eastAsia" w:ascii="宋体" w:hAnsi="宋体" w:eastAsia="宋体" w:cs="宋体"/>
          <w:color w:val="auto"/>
          <w:spacing w:val="6"/>
          <w:sz w:val="24"/>
          <w:szCs w:val="24"/>
          <w:u w:val="single"/>
        </w:rPr>
        <w:t xml:space="preserve">        （姓名）</w:t>
      </w:r>
      <w:r>
        <w:rPr>
          <w:rFonts w:hint="eastAsia" w:ascii="宋体" w:hAnsi="宋体" w:eastAsia="宋体" w:cs="宋体"/>
          <w:color w:val="auto"/>
          <w:spacing w:val="6"/>
          <w:sz w:val="24"/>
          <w:szCs w:val="24"/>
        </w:rPr>
        <w:t>合法授权参加</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项目（</w:t>
      </w:r>
      <w:r>
        <w:rPr>
          <w:rFonts w:hint="eastAsia" w:ascii="宋体" w:hAnsi="宋体" w:eastAsia="宋体" w:cs="宋体"/>
          <w:color w:val="auto"/>
          <w:spacing w:val="6"/>
          <w:sz w:val="24"/>
          <w:szCs w:val="24"/>
          <w:lang w:val="en-US" w:eastAsia="zh-CN"/>
        </w:rPr>
        <w:t>项目</w:t>
      </w:r>
      <w:r>
        <w:rPr>
          <w:rFonts w:hint="eastAsia" w:ascii="宋体" w:hAnsi="宋体" w:eastAsia="宋体" w:cs="宋体"/>
          <w:color w:val="auto"/>
          <w:spacing w:val="6"/>
          <w:sz w:val="24"/>
          <w:szCs w:val="24"/>
        </w:rPr>
        <w:t>编号：</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 xml:space="preserve">）政府采购活动，经与本单位法人代表（负责人）联系确认，现就有关公平竞争事项郑重声明如下： </w:t>
      </w:r>
    </w:p>
    <w:p>
      <w:pPr>
        <w:pStyle w:val="320"/>
        <w:numPr>
          <w:ilvl w:val="0"/>
          <w:numId w:val="4"/>
        </w:numPr>
        <w:snapToGrid w:val="0"/>
        <w:spacing w:line="400" w:lineRule="exact"/>
        <w:ind w:firstLine="453" w:firstLineChars="18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本单位与采购人之间 □不存在利害关系 □存在下列利害关系</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w:t>
      </w:r>
    </w:p>
    <w:p>
      <w:pPr>
        <w:pStyle w:val="32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A.投资关系    B.行政隶属关系    C.业务指导关系</w:t>
      </w:r>
    </w:p>
    <w:p>
      <w:pPr>
        <w:pStyle w:val="32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D.其他可能</w:t>
      </w:r>
      <w:r>
        <w:rPr>
          <w:rFonts w:hint="eastAsia" w:ascii="宋体" w:hAnsi="宋体" w:eastAsia="宋体" w:cs="宋体"/>
          <w:color w:val="auto"/>
          <w:sz w:val="24"/>
          <w:szCs w:val="24"/>
        </w:rPr>
        <w:t>影响采购公正的</w:t>
      </w:r>
      <w:r>
        <w:rPr>
          <w:rFonts w:hint="eastAsia" w:ascii="宋体" w:hAnsi="宋体" w:eastAsia="宋体" w:cs="宋体"/>
          <w:color w:val="auto"/>
          <w:kern w:val="0"/>
          <w:sz w:val="24"/>
          <w:szCs w:val="24"/>
        </w:rPr>
        <w:t>利害关系</w:t>
      </w:r>
      <w:r>
        <w:rPr>
          <w:rFonts w:hint="eastAsia" w:ascii="宋体" w:hAnsi="宋体" w:eastAsia="宋体" w:cs="宋体"/>
          <w:color w:val="auto"/>
          <w:kern w:val="0"/>
          <w:sz w:val="24"/>
          <w:szCs w:val="24"/>
          <w:u w:val="single"/>
        </w:rPr>
        <w:t xml:space="preserve">（如有，请如实说明）                 </w:t>
      </w:r>
      <w:r>
        <w:rPr>
          <w:rFonts w:hint="eastAsia" w:ascii="宋体" w:hAnsi="宋体" w:eastAsia="宋体" w:cs="宋体"/>
          <w:color w:val="auto"/>
          <w:kern w:val="0"/>
          <w:sz w:val="24"/>
          <w:szCs w:val="24"/>
        </w:rPr>
        <w:t>。</w:t>
      </w:r>
    </w:p>
    <w:p>
      <w:pPr>
        <w:pStyle w:val="32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spacing w:val="6"/>
          <w:sz w:val="24"/>
          <w:szCs w:val="24"/>
        </w:rPr>
        <w:t xml:space="preserve">  二、</w:t>
      </w:r>
      <w:r>
        <w:rPr>
          <w:rFonts w:hint="eastAsia" w:ascii="宋体" w:hAnsi="宋体" w:eastAsia="宋体" w:cs="宋体"/>
          <w:color w:val="auto"/>
          <w:kern w:val="0"/>
          <w:sz w:val="24"/>
          <w:szCs w:val="24"/>
        </w:rPr>
        <w:t>现已清楚知道参加本项目采购活动的其他所有供应商名称，本单位 □与其他所有供应商之间均不存在利害关系 □与</w:t>
      </w:r>
      <w:r>
        <w:rPr>
          <w:rFonts w:hint="eastAsia" w:ascii="宋体" w:hAnsi="宋体" w:eastAsia="宋体" w:cs="宋体"/>
          <w:color w:val="auto"/>
          <w:kern w:val="0"/>
          <w:sz w:val="24"/>
          <w:szCs w:val="24"/>
          <w:u w:val="single"/>
        </w:rPr>
        <w:t xml:space="preserve">           （供应商名称）</w:t>
      </w:r>
      <w:r>
        <w:rPr>
          <w:rFonts w:hint="eastAsia" w:ascii="宋体" w:hAnsi="宋体" w:eastAsia="宋体" w:cs="宋体"/>
          <w:color w:val="auto"/>
          <w:kern w:val="0"/>
          <w:sz w:val="24"/>
          <w:szCs w:val="24"/>
        </w:rPr>
        <w:t>之间存在下列利害关系</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w:t>
      </w:r>
    </w:p>
    <w:p>
      <w:pPr>
        <w:pStyle w:val="319"/>
        <w:widowControl w:val="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A.法定代表人或负责人或实际控制人是同一人；</w:t>
      </w:r>
    </w:p>
    <w:p>
      <w:pPr>
        <w:pStyle w:val="319"/>
        <w:widowControl w:val="0"/>
        <w:snapToGrid w:val="0"/>
        <w:spacing w:line="400" w:lineRule="exact"/>
        <w:rPr>
          <w:rFonts w:hint="eastAsia" w:ascii="宋体" w:hAnsi="宋体" w:eastAsia="宋体" w:cs="宋体"/>
          <w:color w:val="auto"/>
          <w:spacing w:val="6"/>
          <w:sz w:val="24"/>
          <w:szCs w:val="24"/>
        </w:rPr>
      </w:pPr>
      <w:r>
        <w:rPr>
          <w:rFonts w:hint="eastAsia" w:ascii="宋体" w:hAnsi="宋体" w:eastAsia="宋体" w:cs="宋体"/>
          <w:color w:val="auto"/>
          <w:kern w:val="0"/>
          <w:sz w:val="24"/>
          <w:szCs w:val="24"/>
        </w:rPr>
        <w:t xml:space="preserve">  B.法定代表人或负责人或实际控制人是夫妻关系；</w:t>
      </w:r>
    </w:p>
    <w:p>
      <w:pPr>
        <w:pStyle w:val="319"/>
        <w:widowControl w:val="0"/>
        <w:snapToGrid w:val="0"/>
        <w:spacing w:line="400" w:lineRule="exact"/>
        <w:rPr>
          <w:rFonts w:hint="eastAsia" w:ascii="宋体" w:hAnsi="宋体" w:eastAsia="宋体" w:cs="宋体"/>
          <w:color w:val="auto"/>
          <w:spacing w:val="6"/>
          <w:sz w:val="24"/>
          <w:szCs w:val="24"/>
        </w:rPr>
      </w:pPr>
      <w:r>
        <w:rPr>
          <w:rFonts w:hint="eastAsia" w:ascii="宋体" w:hAnsi="宋体" w:eastAsia="宋体" w:cs="宋体"/>
          <w:color w:val="auto"/>
          <w:kern w:val="0"/>
          <w:sz w:val="24"/>
          <w:szCs w:val="24"/>
        </w:rPr>
        <w:t xml:space="preserve">  C.法定代表人或负责人或实际控制人是直系血亲关系；</w:t>
      </w:r>
    </w:p>
    <w:p>
      <w:pPr>
        <w:pStyle w:val="319"/>
        <w:widowControl w:val="0"/>
        <w:snapToGrid w:val="0"/>
        <w:spacing w:line="400" w:lineRule="exact"/>
        <w:rPr>
          <w:rFonts w:hint="eastAsia" w:ascii="宋体" w:hAnsi="宋体" w:eastAsia="宋体" w:cs="宋体"/>
          <w:color w:val="auto"/>
          <w:spacing w:val="6"/>
          <w:sz w:val="24"/>
          <w:szCs w:val="24"/>
        </w:rPr>
      </w:pPr>
      <w:r>
        <w:rPr>
          <w:rFonts w:hint="eastAsia" w:ascii="宋体" w:hAnsi="宋体" w:eastAsia="宋体" w:cs="宋体"/>
          <w:color w:val="auto"/>
          <w:kern w:val="0"/>
          <w:sz w:val="24"/>
          <w:szCs w:val="24"/>
        </w:rPr>
        <w:t xml:space="preserve">  D.法定代表人或负责人或实际控制人存在三代以内旁系血亲关系；</w:t>
      </w:r>
    </w:p>
    <w:p>
      <w:pPr>
        <w:pStyle w:val="319"/>
        <w:widowControl w:val="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E.法定代表人或负责人或实际控制人存在近姻亲关系；</w:t>
      </w:r>
    </w:p>
    <w:p>
      <w:pPr>
        <w:pStyle w:val="319"/>
        <w:widowControl w:val="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F.法定代表人或负责人或实际控制人存在股份控制或实际控制关系；</w:t>
      </w:r>
    </w:p>
    <w:p>
      <w:pPr>
        <w:pStyle w:val="319"/>
        <w:widowControl w:val="0"/>
        <w:snapToGrid w:val="0"/>
        <w:spacing w:line="4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G.存在共同直接或间接投资设立子公司、联营企业和合营企业情况；</w:t>
      </w:r>
    </w:p>
    <w:p>
      <w:pPr>
        <w:pStyle w:val="319"/>
        <w:widowControl w:val="0"/>
        <w:snapToGrid w:val="0"/>
        <w:spacing w:line="400" w:lineRule="exact"/>
        <w:rPr>
          <w:rFonts w:hint="eastAsia" w:ascii="宋体" w:hAnsi="宋体" w:eastAsia="宋体" w:cs="宋体"/>
          <w:color w:val="auto"/>
          <w:sz w:val="24"/>
          <w:szCs w:val="24"/>
        </w:rPr>
      </w:pPr>
      <w:r>
        <w:rPr>
          <w:rFonts w:hint="eastAsia" w:ascii="宋体" w:hAnsi="宋体" w:eastAsia="宋体" w:cs="宋体"/>
          <w:color w:val="auto"/>
          <w:kern w:val="0"/>
          <w:sz w:val="24"/>
          <w:szCs w:val="24"/>
        </w:rPr>
        <w:t xml:space="preserve">  H.存在分级代理或代销关系、同一生产制造商关系、</w:t>
      </w:r>
      <w:r>
        <w:rPr>
          <w:rFonts w:hint="eastAsia" w:ascii="宋体" w:hAnsi="宋体" w:eastAsia="宋体" w:cs="宋体"/>
          <w:color w:val="auto"/>
          <w:sz w:val="24"/>
          <w:szCs w:val="24"/>
        </w:rPr>
        <w:t>管理关系、重要业务（占主营业务收入50%以上）或重要财务往来关系（如融资）等其他实质性控制关系；</w:t>
      </w:r>
    </w:p>
    <w:p>
      <w:pPr>
        <w:pStyle w:val="319"/>
        <w:widowControl w:val="0"/>
        <w:snapToGrid w:val="0"/>
        <w:spacing w:line="400" w:lineRule="exact"/>
        <w:rPr>
          <w:rFonts w:hint="eastAsia" w:ascii="宋体" w:hAnsi="宋体" w:eastAsia="宋体" w:cs="宋体"/>
          <w:color w:val="auto"/>
          <w:spacing w:val="6"/>
          <w:sz w:val="24"/>
          <w:szCs w:val="24"/>
        </w:rPr>
      </w:pPr>
      <w:r>
        <w:rPr>
          <w:rFonts w:hint="eastAsia" w:ascii="宋体" w:hAnsi="宋体" w:eastAsia="宋体" w:cs="宋体"/>
          <w:color w:val="auto"/>
          <w:sz w:val="24"/>
          <w:szCs w:val="24"/>
        </w:rPr>
        <w:t xml:space="preserve">  I</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其他利害关系情况</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w:t>
      </w:r>
    </w:p>
    <w:p>
      <w:pPr>
        <w:pStyle w:val="320"/>
        <w:numPr>
          <w:ilvl w:val="0"/>
          <w:numId w:val="5"/>
        </w:numPr>
        <w:snapToGrid w:val="0"/>
        <w:spacing w:line="400" w:lineRule="exact"/>
        <w:ind w:firstLine="453" w:firstLineChars="189"/>
        <w:rPr>
          <w:rFonts w:hint="eastAsia" w:ascii="宋体" w:hAnsi="宋体" w:eastAsia="宋体" w:cs="宋体"/>
          <w:color w:val="auto"/>
          <w:kern w:val="0"/>
          <w:sz w:val="24"/>
          <w:szCs w:val="24"/>
        </w:rPr>
      </w:pPr>
      <w:r>
        <w:rPr>
          <w:rFonts w:hint="eastAsia" w:ascii="宋体" w:hAnsi="宋体" w:eastAsia="宋体" w:cs="宋体"/>
          <w:color w:val="auto"/>
          <w:sz w:val="24"/>
          <w:szCs w:val="24"/>
        </w:rPr>
        <w:t>现已清楚知道并</w:t>
      </w:r>
      <w:r>
        <w:rPr>
          <w:rFonts w:hint="eastAsia" w:ascii="宋体" w:hAnsi="宋体" w:eastAsia="宋体" w:cs="宋体"/>
          <w:color w:val="auto"/>
          <w:kern w:val="0"/>
          <w:sz w:val="24"/>
          <w:szCs w:val="24"/>
        </w:rPr>
        <w:t>严格遵守政府采购法律法规和现场纪律。</w:t>
      </w:r>
    </w:p>
    <w:p>
      <w:pPr>
        <w:pStyle w:val="320"/>
        <w:numPr>
          <w:ilvl w:val="0"/>
          <w:numId w:val="5"/>
        </w:numPr>
        <w:snapToGrid w:val="0"/>
        <w:spacing w:line="400" w:lineRule="exact"/>
        <w:ind w:firstLine="453" w:firstLineChars="18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我发现</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供应商之间存在或可能存在上述第二条第</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项利害关系。</w:t>
      </w:r>
    </w:p>
    <w:p>
      <w:pPr>
        <w:pStyle w:val="319"/>
        <w:widowControl w:val="0"/>
        <w:snapToGrid w:val="0"/>
        <w:ind w:firstLine="480" w:firstLineChars="200"/>
        <w:rPr>
          <w:rFonts w:hint="eastAsia" w:ascii="宋体" w:hAnsi="宋体" w:eastAsia="宋体" w:cs="宋体"/>
          <w:color w:val="auto"/>
          <w:sz w:val="24"/>
          <w:szCs w:val="24"/>
        </w:rPr>
      </w:pPr>
    </w:p>
    <w:p>
      <w:pPr>
        <w:pStyle w:val="319"/>
        <w:widowControl w:val="0"/>
        <w:snapToGrid w:val="0"/>
        <w:rPr>
          <w:rFonts w:hint="eastAsia" w:ascii="宋体" w:hAnsi="宋体" w:eastAsia="宋体" w:cs="宋体"/>
          <w:color w:val="auto"/>
          <w:sz w:val="24"/>
          <w:szCs w:val="24"/>
        </w:rPr>
      </w:pPr>
    </w:p>
    <w:p>
      <w:pPr>
        <w:pStyle w:val="319"/>
        <w:widowControl w:val="0"/>
        <w:snapToGrid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（供应商代表签名）：</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2"/>
        <w:jc w:val="center"/>
        <w:rPr>
          <w:rFonts w:hint="eastAsia" w:ascii="宋体" w:hAnsi="宋体" w:eastAsia="宋体" w:cs="宋体"/>
          <w:b/>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  月   日</w:t>
      </w:r>
    </w:p>
    <w:p>
      <w:pPr>
        <w:pStyle w:val="2"/>
        <w:rPr>
          <w:color w:val="auto"/>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panose1 w:val="02020609040205080304"/>
    <w:charset w:val="80"/>
    <w:family w:val="roman"/>
    <w:pitch w:val="default"/>
    <w:sig w:usb0="A00002BF" w:usb1="68C7FCFB" w:usb2="00000010" w:usb3="00000000" w:csb0="4002009F" w:csb1="DFD70000"/>
  </w:font>
  <w:font w:name="华文新魏">
    <w:panose1 w:val="02010800040101010101"/>
    <w:charset w:val="86"/>
    <w:family w:val="auto"/>
    <w:pitch w:val="default"/>
    <w:sig w:usb0="00000001" w:usb1="080F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30" w:name="_Toc36110187"/>
    <w:bookmarkStart w:id="431" w:name="_Toc131845147"/>
    <w:bookmarkStart w:id="432" w:name="_Toc164085800"/>
    <w:bookmarkStart w:id="433" w:name="_Toc91899912"/>
    <w:r>
      <w:rPr>
        <w:rFonts w:hint="eastAsia" w:ascii="仿宋_GB2312" w:eastAsia="仿宋_GB2312"/>
        <w:kern w:val="0"/>
        <w:szCs w:val="21"/>
      </w:rPr>
      <w:t xml:space="preserve"> 页</w:t>
    </w:r>
    <w:bookmarkEnd w:id="430"/>
    <w:bookmarkEnd w:id="431"/>
    <w:bookmarkEnd w:id="432"/>
    <w:bookmarkEnd w:id="43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hint="eastAsia" w:eastAsia="宋体"/>
        <w:lang w:eastAsia="zh-CN"/>
      </w:rPr>
    </w:pPr>
    <w:r>
      <w:t></w:t>
    </w:r>
    <w:r>
      <w:rPr>
        <w:rFonts w:hint="eastAsia"/>
      </w:rPr>
      <w:t xml:space="preserve">    </w:t>
    </w:r>
    <w:r>
      <w:rPr>
        <w:rFonts w:hint="eastAsia"/>
        <w:lang w:eastAsia="zh-CN"/>
      </w:rP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rPr>
        <w:rFonts w:hint="eastAsia"/>
        <w:lang w:eastAsia="zh-CN"/>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t xml:space="preserve">             </w:t>
    </w:r>
    <w:r>
      <w:rPr>
        <w:rFonts w:hint="eastAsia"/>
        <w:lang w:eastAsia="zh-CN"/>
      </w:rP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rPr>
        <w:rFonts w:hint="eastAsia" w:eastAsia="宋体"/>
        <w:lang w:eastAsia="zh-CN"/>
      </w:rPr>
    </w:pPr>
    <w:r>
      <w:rPr>
        <w:rFonts w:hint="eastAsia"/>
      </w:rPr>
      <w:t xml:space="preserve">                                                                  </w:t>
    </w:r>
    <w:r>
      <w:rPr>
        <w:rFonts w:hint="eastAsia"/>
        <w:lang w:eastAsia="zh-CN"/>
      </w:rP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rPr>
        <w:rFonts w:hint="eastAsia"/>
        <w:lang w:eastAsia="zh-CN"/>
      </w:rP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t></w:t>
    </w:r>
    <w:r>
      <w:rPr>
        <w:rFonts w:hint="eastAsia"/>
      </w:rPr>
      <w:t xml:space="preserve">                 </w:t>
    </w:r>
    <w:r>
      <w:t xml:space="preserve">                                </w:t>
    </w:r>
    <w:r>
      <w:rPr>
        <w:rFonts w:hint="eastAsia"/>
      </w:rPr>
      <w:t xml:space="preserve">         </w:t>
    </w:r>
    <w:r>
      <w:rPr>
        <w:rFonts w:hint="eastAsia"/>
        <w:lang w:eastAsia="zh-CN"/>
      </w:rP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rPr>
        <w:rFonts w:hint="eastAsia"/>
        <w:lang w:eastAsia="zh-CN"/>
      </w:rP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rPr>
        <w:rFonts w:hint="eastAsia"/>
      </w:rPr>
      <w:t xml:space="preserve">                                                                                                        </w:t>
    </w:r>
    <w:r>
      <w:rPr>
        <w:rFonts w:hint="eastAsia"/>
        <w:lang w:eastAsia="zh-CN"/>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w:t>
    </w:r>
    <w:r>
      <w:rPr>
        <w:rFonts w:hint="eastAsia"/>
        <w:lang w:eastAsia="zh-CN"/>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71722"/>
    <w:multiLevelType w:val="singleLevel"/>
    <w:tmpl w:val="35D71722"/>
    <w:lvl w:ilvl="0" w:tentative="0">
      <w:start w:val="2"/>
      <w:numFmt w:val="chineseCounting"/>
      <w:suff w:val="nothing"/>
      <w:lvlText w:val="%1、"/>
      <w:lvlJc w:val="left"/>
      <w:rPr>
        <w:rFonts w:hint="eastAsia"/>
      </w:rPr>
    </w:lvl>
  </w:abstractNum>
  <w:abstractNum w:abstractNumId="1">
    <w:nsid w:val="3EC12E67"/>
    <w:multiLevelType w:val="singleLevel"/>
    <w:tmpl w:val="3EC12E67"/>
    <w:lvl w:ilvl="0" w:tentative="0">
      <w:start w:val="1"/>
      <w:numFmt w:val="decimal"/>
      <w:lvlText w:val="%1."/>
      <w:lvlJc w:val="left"/>
      <w:pPr>
        <w:ind w:left="425" w:hanging="425"/>
      </w:pPr>
      <w:rPr>
        <w:rFonts w:hint="default"/>
      </w:r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abstractNum w:abstractNumId="4">
    <w:nsid w:val="5DCBE958"/>
    <w:multiLevelType w:val="singleLevel"/>
    <w:tmpl w:val="5DCBE958"/>
    <w:lvl w:ilvl="0" w:tentative="0">
      <w:start w:val="3"/>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ODQ0NTc4ODFmNGYzMzIyMTAwYTI4NDE2NjhmMz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2F7"/>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3DA7"/>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E78"/>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764"/>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13882"/>
    <w:rsid w:val="01236AFB"/>
    <w:rsid w:val="019F7441"/>
    <w:rsid w:val="01B12E58"/>
    <w:rsid w:val="01B37585"/>
    <w:rsid w:val="01D55165"/>
    <w:rsid w:val="01DF6BF8"/>
    <w:rsid w:val="01EC2C57"/>
    <w:rsid w:val="02184C85"/>
    <w:rsid w:val="0234721D"/>
    <w:rsid w:val="02455299"/>
    <w:rsid w:val="025F0711"/>
    <w:rsid w:val="026A404F"/>
    <w:rsid w:val="026B2E25"/>
    <w:rsid w:val="0273602B"/>
    <w:rsid w:val="02824D4D"/>
    <w:rsid w:val="02DC4B10"/>
    <w:rsid w:val="02DD76CE"/>
    <w:rsid w:val="02F36323"/>
    <w:rsid w:val="02F5619C"/>
    <w:rsid w:val="0326446A"/>
    <w:rsid w:val="032D5555"/>
    <w:rsid w:val="033C49A3"/>
    <w:rsid w:val="03435D32"/>
    <w:rsid w:val="036634D2"/>
    <w:rsid w:val="03DD35E4"/>
    <w:rsid w:val="04076900"/>
    <w:rsid w:val="041A5A3B"/>
    <w:rsid w:val="042311BA"/>
    <w:rsid w:val="042B157A"/>
    <w:rsid w:val="04463AC6"/>
    <w:rsid w:val="044C3DBA"/>
    <w:rsid w:val="046A6AF2"/>
    <w:rsid w:val="048F763B"/>
    <w:rsid w:val="049F330E"/>
    <w:rsid w:val="04A7090C"/>
    <w:rsid w:val="04AA775C"/>
    <w:rsid w:val="04AF1889"/>
    <w:rsid w:val="04E6529A"/>
    <w:rsid w:val="04F66F48"/>
    <w:rsid w:val="05212DAC"/>
    <w:rsid w:val="05251E14"/>
    <w:rsid w:val="05694D0B"/>
    <w:rsid w:val="05A16594"/>
    <w:rsid w:val="05A7762D"/>
    <w:rsid w:val="05AF3BC6"/>
    <w:rsid w:val="05DB085A"/>
    <w:rsid w:val="05FA265C"/>
    <w:rsid w:val="060E5941"/>
    <w:rsid w:val="06110FAF"/>
    <w:rsid w:val="06231967"/>
    <w:rsid w:val="06304C93"/>
    <w:rsid w:val="06493CA7"/>
    <w:rsid w:val="065A6178"/>
    <w:rsid w:val="066F1CF3"/>
    <w:rsid w:val="068B03EE"/>
    <w:rsid w:val="06930BB8"/>
    <w:rsid w:val="06EC741D"/>
    <w:rsid w:val="06F95227"/>
    <w:rsid w:val="07245D42"/>
    <w:rsid w:val="07264C62"/>
    <w:rsid w:val="0779354C"/>
    <w:rsid w:val="07B976D3"/>
    <w:rsid w:val="07D5339B"/>
    <w:rsid w:val="07E63AAE"/>
    <w:rsid w:val="07FE6F77"/>
    <w:rsid w:val="08061376"/>
    <w:rsid w:val="08273E74"/>
    <w:rsid w:val="08285FB7"/>
    <w:rsid w:val="08452D77"/>
    <w:rsid w:val="0858402D"/>
    <w:rsid w:val="086401F8"/>
    <w:rsid w:val="08751CAA"/>
    <w:rsid w:val="087E4C40"/>
    <w:rsid w:val="08A871D0"/>
    <w:rsid w:val="08C92AE3"/>
    <w:rsid w:val="08D226FF"/>
    <w:rsid w:val="08D66AD6"/>
    <w:rsid w:val="08DA33A3"/>
    <w:rsid w:val="08E80F13"/>
    <w:rsid w:val="09100980"/>
    <w:rsid w:val="091913E5"/>
    <w:rsid w:val="09264BC9"/>
    <w:rsid w:val="09335624"/>
    <w:rsid w:val="09376339"/>
    <w:rsid w:val="0944690F"/>
    <w:rsid w:val="09535675"/>
    <w:rsid w:val="095A3DD5"/>
    <w:rsid w:val="095F057D"/>
    <w:rsid w:val="09642282"/>
    <w:rsid w:val="09733572"/>
    <w:rsid w:val="09772C16"/>
    <w:rsid w:val="098353B5"/>
    <w:rsid w:val="099A379A"/>
    <w:rsid w:val="09A92330"/>
    <w:rsid w:val="09B06B87"/>
    <w:rsid w:val="09C120A6"/>
    <w:rsid w:val="09C13146"/>
    <w:rsid w:val="09E04166"/>
    <w:rsid w:val="09FF2F79"/>
    <w:rsid w:val="0A075F99"/>
    <w:rsid w:val="0A1C0718"/>
    <w:rsid w:val="0A3E7710"/>
    <w:rsid w:val="0A4E70E3"/>
    <w:rsid w:val="0A5B7E63"/>
    <w:rsid w:val="0A911263"/>
    <w:rsid w:val="0AA374A5"/>
    <w:rsid w:val="0AAB7649"/>
    <w:rsid w:val="0ABC5606"/>
    <w:rsid w:val="0B30404E"/>
    <w:rsid w:val="0B4C6C14"/>
    <w:rsid w:val="0B547599"/>
    <w:rsid w:val="0B5A2AB0"/>
    <w:rsid w:val="0B631A88"/>
    <w:rsid w:val="0B683D45"/>
    <w:rsid w:val="0B705B32"/>
    <w:rsid w:val="0B7F3F11"/>
    <w:rsid w:val="0B7F3FC7"/>
    <w:rsid w:val="0B84338B"/>
    <w:rsid w:val="0B884417"/>
    <w:rsid w:val="0BA63302"/>
    <w:rsid w:val="0BAD2117"/>
    <w:rsid w:val="0BF6188C"/>
    <w:rsid w:val="0BF73C91"/>
    <w:rsid w:val="0C170175"/>
    <w:rsid w:val="0C1F0797"/>
    <w:rsid w:val="0C201306"/>
    <w:rsid w:val="0C411215"/>
    <w:rsid w:val="0C571A41"/>
    <w:rsid w:val="0C5C1171"/>
    <w:rsid w:val="0C5E1CBC"/>
    <w:rsid w:val="0C615B50"/>
    <w:rsid w:val="0C671127"/>
    <w:rsid w:val="0C7A2D89"/>
    <w:rsid w:val="0C7D5BCC"/>
    <w:rsid w:val="0C8445DA"/>
    <w:rsid w:val="0C87121B"/>
    <w:rsid w:val="0CC007F7"/>
    <w:rsid w:val="0CC617AC"/>
    <w:rsid w:val="0CE618DF"/>
    <w:rsid w:val="0CFE707A"/>
    <w:rsid w:val="0D063BDA"/>
    <w:rsid w:val="0D08375F"/>
    <w:rsid w:val="0D184CFB"/>
    <w:rsid w:val="0D3458B2"/>
    <w:rsid w:val="0D4A7419"/>
    <w:rsid w:val="0D4E59D9"/>
    <w:rsid w:val="0D6121DC"/>
    <w:rsid w:val="0D827401"/>
    <w:rsid w:val="0D84094E"/>
    <w:rsid w:val="0D8A00E9"/>
    <w:rsid w:val="0D8D589E"/>
    <w:rsid w:val="0DA01C73"/>
    <w:rsid w:val="0DBC0BBA"/>
    <w:rsid w:val="0DD01F33"/>
    <w:rsid w:val="0DD63300"/>
    <w:rsid w:val="0DF50604"/>
    <w:rsid w:val="0DF702FE"/>
    <w:rsid w:val="0E060E51"/>
    <w:rsid w:val="0E0F1185"/>
    <w:rsid w:val="0E1F1149"/>
    <w:rsid w:val="0E5604B2"/>
    <w:rsid w:val="0E680D42"/>
    <w:rsid w:val="0E6D5D79"/>
    <w:rsid w:val="0E9D0089"/>
    <w:rsid w:val="0EB803EE"/>
    <w:rsid w:val="0EF94D4B"/>
    <w:rsid w:val="0F4958DC"/>
    <w:rsid w:val="0F515DF7"/>
    <w:rsid w:val="0F596BA8"/>
    <w:rsid w:val="0F5D63CD"/>
    <w:rsid w:val="0F6248D2"/>
    <w:rsid w:val="0F692FC4"/>
    <w:rsid w:val="0F693536"/>
    <w:rsid w:val="0F6B2442"/>
    <w:rsid w:val="0F7B0511"/>
    <w:rsid w:val="0F7B76D9"/>
    <w:rsid w:val="0F816ACD"/>
    <w:rsid w:val="0F9832DB"/>
    <w:rsid w:val="0FBF3FD2"/>
    <w:rsid w:val="0FBF7FF3"/>
    <w:rsid w:val="0FCD175A"/>
    <w:rsid w:val="100C7BBE"/>
    <w:rsid w:val="10126A5B"/>
    <w:rsid w:val="10392996"/>
    <w:rsid w:val="10646583"/>
    <w:rsid w:val="107D4B15"/>
    <w:rsid w:val="108A3C80"/>
    <w:rsid w:val="108D4A90"/>
    <w:rsid w:val="10A97994"/>
    <w:rsid w:val="10AE33D3"/>
    <w:rsid w:val="10C26171"/>
    <w:rsid w:val="10CD4496"/>
    <w:rsid w:val="10F33360"/>
    <w:rsid w:val="10FC16EA"/>
    <w:rsid w:val="110B65AB"/>
    <w:rsid w:val="110F1D40"/>
    <w:rsid w:val="11266F33"/>
    <w:rsid w:val="118963A1"/>
    <w:rsid w:val="118C2F9A"/>
    <w:rsid w:val="11C6522A"/>
    <w:rsid w:val="11E104CC"/>
    <w:rsid w:val="11E20309"/>
    <w:rsid w:val="120053C3"/>
    <w:rsid w:val="12116348"/>
    <w:rsid w:val="12156934"/>
    <w:rsid w:val="12255233"/>
    <w:rsid w:val="1239591E"/>
    <w:rsid w:val="12530213"/>
    <w:rsid w:val="127723A9"/>
    <w:rsid w:val="127F0325"/>
    <w:rsid w:val="12862074"/>
    <w:rsid w:val="12883966"/>
    <w:rsid w:val="129E45B4"/>
    <w:rsid w:val="12B0533B"/>
    <w:rsid w:val="12D81596"/>
    <w:rsid w:val="12EF558E"/>
    <w:rsid w:val="13072A44"/>
    <w:rsid w:val="135F4BE2"/>
    <w:rsid w:val="1380268A"/>
    <w:rsid w:val="138E7B47"/>
    <w:rsid w:val="139B1A0A"/>
    <w:rsid w:val="139D25C7"/>
    <w:rsid w:val="13A04ADA"/>
    <w:rsid w:val="13BF3CE4"/>
    <w:rsid w:val="141008D8"/>
    <w:rsid w:val="14125FE6"/>
    <w:rsid w:val="14151024"/>
    <w:rsid w:val="14506500"/>
    <w:rsid w:val="146D271E"/>
    <w:rsid w:val="14982588"/>
    <w:rsid w:val="149A5AD9"/>
    <w:rsid w:val="14A7619D"/>
    <w:rsid w:val="14E553DC"/>
    <w:rsid w:val="150536C3"/>
    <w:rsid w:val="150C1963"/>
    <w:rsid w:val="151447A0"/>
    <w:rsid w:val="15370588"/>
    <w:rsid w:val="154A6454"/>
    <w:rsid w:val="154D7011"/>
    <w:rsid w:val="15762120"/>
    <w:rsid w:val="158F4E06"/>
    <w:rsid w:val="15E30A08"/>
    <w:rsid w:val="1600479C"/>
    <w:rsid w:val="16555D8E"/>
    <w:rsid w:val="16562FBE"/>
    <w:rsid w:val="16A8729C"/>
    <w:rsid w:val="16AE4B64"/>
    <w:rsid w:val="16B33777"/>
    <w:rsid w:val="16BC70A7"/>
    <w:rsid w:val="16C6339E"/>
    <w:rsid w:val="16FA41E7"/>
    <w:rsid w:val="17072BD0"/>
    <w:rsid w:val="171750B3"/>
    <w:rsid w:val="172F2D79"/>
    <w:rsid w:val="17457378"/>
    <w:rsid w:val="17557BEF"/>
    <w:rsid w:val="17D349C1"/>
    <w:rsid w:val="18041ADC"/>
    <w:rsid w:val="1830729E"/>
    <w:rsid w:val="18463EA2"/>
    <w:rsid w:val="18562F63"/>
    <w:rsid w:val="1870062C"/>
    <w:rsid w:val="18730A0F"/>
    <w:rsid w:val="18817102"/>
    <w:rsid w:val="18830A15"/>
    <w:rsid w:val="18852B28"/>
    <w:rsid w:val="188B5321"/>
    <w:rsid w:val="18B65BCE"/>
    <w:rsid w:val="192817FA"/>
    <w:rsid w:val="19572765"/>
    <w:rsid w:val="19932372"/>
    <w:rsid w:val="199B1FCC"/>
    <w:rsid w:val="19A20DD5"/>
    <w:rsid w:val="19AE03F1"/>
    <w:rsid w:val="1A071A03"/>
    <w:rsid w:val="1A0F1779"/>
    <w:rsid w:val="1A1F16AE"/>
    <w:rsid w:val="1A2F34D8"/>
    <w:rsid w:val="1A3B5C77"/>
    <w:rsid w:val="1A3D12D5"/>
    <w:rsid w:val="1A895970"/>
    <w:rsid w:val="1A984BAD"/>
    <w:rsid w:val="1AA07B47"/>
    <w:rsid w:val="1AB8220E"/>
    <w:rsid w:val="1AE4166C"/>
    <w:rsid w:val="1AF06CFB"/>
    <w:rsid w:val="1AF11B8D"/>
    <w:rsid w:val="1B11359C"/>
    <w:rsid w:val="1B2A271F"/>
    <w:rsid w:val="1B2B55D1"/>
    <w:rsid w:val="1B3B291C"/>
    <w:rsid w:val="1B43339D"/>
    <w:rsid w:val="1B530544"/>
    <w:rsid w:val="1B713184"/>
    <w:rsid w:val="1BA209CF"/>
    <w:rsid w:val="1BA33DC5"/>
    <w:rsid w:val="1BB4777D"/>
    <w:rsid w:val="1BD75AB8"/>
    <w:rsid w:val="1C0459C2"/>
    <w:rsid w:val="1C1B3B4A"/>
    <w:rsid w:val="1C737230"/>
    <w:rsid w:val="1C88086E"/>
    <w:rsid w:val="1CC618DF"/>
    <w:rsid w:val="1CD6297F"/>
    <w:rsid w:val="1CF06E1F"/>
    <w:rsid w:val="1D210A3A"/>
    <w:rsid w:val="1D266CE1"/>
    <w:rsid w:val="1D3963AF"/>
    <w:rsid w:val="1D5A219E"/>
    <w:rsid w:val="1D6A673C"/>
    <w:rsid w:val="1D9247AE"/>
    <w:rsid w:val="1DB567EC"/>
    <w:rsid w:val="1DF51A98"/>
    <w:rsid w:val="1E3D060F"/>
    <w:rsid w:val="1E3F7D2E"/>
    <w:rsid w:val="1E4134E4"/>
    <w:rsid w:val="1E450758"/>
    <w:rsid w:val="1E5062B3"/>
    <w:rsid w:val="1E523514"/>
    <w:rsid w:val="1E714A66"/>
    <w:rsid w:val="1E802593"/>
    <w:rsid w:val="1E8B6156"/>
    <w:rsid w:val="1EA22097"/>
    <w:rsid w:val="1EA703CC"/>
    <w:rsid w:val="1EAB4D6B"/>
    <w:rsid w:val="1EB7330C"/>
    <w:rsid w:val="1EF9468F"/>
    <w:rsid w:val="1F0A0FF3"/>
    <w:rsid w:val="1F191147"/>
    <w:rsid w:val="1F5771FF"/>
    <w:rsid w:val="1F6812CD"/>
    <w:rsid w:val="1FBC2869"/>
    <w:rsid w:val="1FD52DD5"/>
    <w:rsid w:val="1FE868A9"/>
    <w:rsid w:val="1FF05635"/>
    <w:rsid w:val="20034907"/>
    <w:rsid w:val="20173E4B"/>
    <w:rsid w:val="203E27C9"/>
    <w:rsid w:val="204E48BC"/>
    <w:rsid w:val="208921B3"/>
    <w:rsid w:val="20973DEB"/>
    <w:rsid w:val="20B26522"/>
    <w:rsid w:val="20B44310"/>
    <w:rsid w:val="20C0056A"/>
    <w:rsid w:val="211116EB"/>
    <w:rsid w:val="212E79D0"/>
    <w:rsid w:val="214C004F"/>
    <w:rsid w:val="215238B8"/>
    <w:rsid w:val="216133FC"/>
    <w:rsid w:val="21C623BF"/>
    <w:rsid w:val="21D56769"/>
    <w:rsid w:val="21E52EF3"/>
    <w:rsid w:val="21FB5D7B"/>
    <w:rsid w:val="22015E94"/>
    <w:rsid w:val="220A23CA"/>
    <w:rsid w:val="220B1C3D"/>
    <w:rsid w:val="221D1D20"/>
    <w:rsid w:val="22334A87"/>
    <w:rsid w:val="226D06CE"/>
    <w:rsid w:val="22BE6801"/>
    <w:rsid w:val="23122CD3"/>
    <w:rsid w:val="233500BF"/>
    <w:rsid w:val="23377FF7"/>
    <w:rsid w:val="235D28FA"/>
    <w:rsid w:val="236B425F"/>
    <w:rsid w:val="2378337E"/>
    <w:rsid w:val="23836192"/>
    <w:rsid w:val="23901F29"/>
    <w:rsid w:val="239634D6"/>
    <w:rsid w:val="239C0061"/>
    <w:rsid w:val="23B908A4"/>
    <w:rsid w:val="23B91C98"/>
    <w:rsid w:val="23CE79B2"/>
    <w:rsid w:val="23E95BEF"/>
    <w:rsid w:val="23F959F3"/>
    <w:rsid w:val="23FD0064"/>
    <w:rsid w:val="2409047A"/>
    <w:rsid w:val="24523BCF"/>
    <w:rsid w:val="245375B0"/>
    <w:rsid w:val="24642C0A"/>
    <w:rsid w:val="247052C5"/>
    <w:rsid w:val="24B22173"/>
    <w:rsid w:val="24B95AD9"/>
    <w:rsid w:val="24BE24DA"/>
    <w:rsid w:val="24CB7B69"/>
    <w:rsid w:val="24CF5825"/>
    <w:rsid w:val="24D663E6"/>
    <w:rsid w:val="24D77F2B"/>
    <w:rsid w:val="258B00E2"/>
    <w:rsid w:val="25A917A6"/>
    <w:rsid w:val="25B0335B"/>
    <w:rsid w:val="25BE27CC"/>
    <w:rsid w:val="25C60ECD"/>
    <w:rsid w:val="25EB7399"/>
    <w:rsid w:val="25F74A5C"/>
    <w:rsid w:val="26176E7E"/>
    <w:rsid w:val="2628662C"/>
    <w:rsid w:val="262D45DE"/>
    <w:rsid w:val="26582074"/>
    <w:rsid w:val="26734E8D"/>
    <w:rsid w:val="26871DC8"/>
    <w:rsid w:val="26A53EF9"/>
    <w:rsid w:val="26A94201"/>
    <w:rsid w:val="26AC274F"/>
    <w:rsid w:val="26C046E2"/>
    <w:rsid w:val="26E869A5"/>
    <w:rsid w:val="26F82D4E"/>
    <w:rsid w:val="27044A29"/>
    <w:rsid w:val="271D34C8"/>
    <w:rsid w:val="272C03B2"/>
    <w:rsid w:val="27561622"/>
    <w:rsid w:val="276142BF"/>
    <w:rsid w:val="27783712"/>
    <w:rsid w:val="278510AA"/>
    <w:rsid w:val="27907362"/>
    <w:rsid w:val="280528C1"/>
    <w:rsid w:val="28200643"/>
    <w:rsid w:val="28333E1D"/>
    <w:rsid w:val="2837678F"/>
    <w:rsid w:val="28454BD6"/>
    <w:rsid w:val="28455253"/>
    <w:rsid w:val="28551971"/>
    <w:rsid w:val="285B1C53"/>
    <w:rsid w:val="289F7086"/>
    <w:rsid w:val="28C32028"/>
    <w:rsid w:val="28CC490F"/>
    <w:rsid w:val="28DE40AA"/>
    <w:rsid w:val="290B020C"/>
    <w:rsid w:val="291E6775"/>
    <w:rsid w:val="29345E77"/>
    <w:rsid w:val="29452D47"/>
    <w:rsid w:val="294C65AD"/>
    <w:rsid w:val="29724526"/>
    <w:rsid w:val="29806583"/>
    <w:rsid w:val="298A5BB9"/>
    <w:rsid w:val="298B3C4C"/>
    <w:rsid w:val="29CA075D"/>
    <w:rsid w:val="29F26D24"/>
    <w:rsid w:val="2A15033F"/>
    <w:rsid w:val="2A1662C1"/>
    <w:rsid w:val="2A1C7367"/>
    <w:rsid w:val="2A2815FA"/>
    <w:rsid w:val="2A6D6092"/>
    <w:rsid w:val="2A7D76B4"/>
    <w:rsid w:val="2B230073"/>
    <w:rsid w:val="2B2E3D90"/>
    <w:rsid w:val="2B437463"/>
    <w:rsid w:val="2B7807EE"/>
    <w:rsid w:val="2B797C93"/>
    <w:rsid w:val="2BA03472"/>
    <w:rsid w:val="2BA50BF7"/>
    <w:rsid w:val="2BBF00EC"/>
    <w:rsid w:val="2BC37CFD"/>
    <w:rsid w:val="2BD5237F"/>
    <w:rsid w:val="2BE536CE"/>
    <w:rsid w:val="2BE758D9"/>
    <w:rsid w:val="2C09049E"/>
    <w:rsid w:val="2C097269"/>
    <w:rsid w:val="2C0A653C"/>
    <w:rsid w:val="2C113444"/>
    <w:rsid w:val="2C191F85"/>
    <w:rsid w:val="2C424529"/>
    <w:rsid w:val="2C7D1A05"/>
    <w:rsid w:val="2CB06F6C"/>
    <w:rsid w:val="2CE82D6F"/>
    <w:rsid w:val="2D343236"/>
    <w:rsid w:val="2D43514D"/>
    <w:rsid w:val="2DB609AD"/>
    <w:rsid w:val="2DD15014"/>
    <w:rsid w:val="2DDD6BFF"/>
    <w:rsid w:val="2DE25FC3"/>
    <w:rsid w:val="2DF72DE4"/>
    <w:rsid w:val="2DFE0923"/>
    <w:rsid w:val="2E0220AF"/>
    <w:rsid w:val="2E4B082A"/>
    <w:rsid w:val="2E530C6F"/>
    <w:rsid w:val="2E5D4E86"/>
    <w:rsid w:val="2E5D790B"/>
    <w:rsid w:val="2E9A3C18"/>
    <w:rsid w:val="2EBB0FEE"/>
    <w:rsid w:val="2EC63002"/>
    <w:rsid w:val="2ED268FC"/>
    <w:rsid w:val="2F0A6B38"/>
    <w:rsid w:val="2F0F1C76"/>
    <w:rsid w:val="2F946CCB"/>
    <w:rsid w:val="2FD25781"/>
    <w:rsid w:val="2FDC745C"/>
    <w:rsid w:val="2FFD7934"/>
    <w:rsid w:val="301D7787"/>
    <w:rsid w:val="303E0AB7"/>
    <w:rsid w:val="30733ACD"/>
    <w:rsid w:val="308C3862"/>
    <w:rsid w:val="309379D8"/>
    <w:rsid w:val="30A270F7"/>
    <w:rsid w:val="30C10490"/>
    <w:rsid w:val="30DF1478"/>
    <w:rsid w:val="30EC586F"/>
    <w:rsid w:val="310402C4"/>
    <w:rsid w:val="31047F8A"/>
    <w:rsid w:val="314550B7"/>
    <w:rsid w:val="31457719"/>
    <w:rsid w:val="31721C5E"/>
    <w:rsid w:val="318B52D0"/>
    <w:rsid w:val="318D6246"/>
    <w:rsid w:val="319C6071"/>
    <w:rsid w:val="31AC537E"/>
    <w:rsid w:val="31E3679B"/>
    <w:rsid w:val="31E732FD"/>
    <w:rsid w:val="31ED2BE1"/>
    <w:rsid w:val="321712FD"/>
    <w:rsid w:val="323836A0"/>
    <w:rsid w:val="32517576"/>
    <w:rsid w:val="32607DFF"/>
    <w:rsid w:val="327318E0"/>
    <w:rsid w:val="32BE2C1C"/>
    <w:rsid w:val="32BE5C2C"/>
    <w:rsid w:val="32FB6478"/>
    <w:rsid w:val="330F025E"/>
    <w:rsid w:val="33263B3F"/>
    <w:rsid w:val="335404BD"/>
    <w:rsid w:val="335E6B36"/>
    <w:rsid w:val="336963EB"/>
    <w:rsid w:val="33816EEB"/>
    <w:rsid w:val="33EB55CD"/>
    <w:rsid w:val="33EC4C02"/>
    <w:rsid w:val="340D2360"/>
    <w:rsid w:val="3410665D"/>
    <w:rsid w:val="34211214"/>
    <w:rsid w:val="342E63AB"/>
    <w:rsid w:val="344678F3"/>
    <w:rsid w:val="34950E68"/>
    <w:rsid w:val="34957D98"/>
    <w:rsid w:val="34986E94"/>
    <w:rsid w:val="34A73974"/>
    <w:rsid w:val="34AF62C9"/>
    <w:rsid w:val="34CB4388"/>
    <w:rsid w:val="34FA6E12"/>
    <w:rsid w:val="35294893"/>
    <w:rsid w:val="354D7158"/>
    <w:rsid w:val="355836CF"/>
    <w:rsid w:val="3566572C"/>
    <w:rsid w:val="358D5588"/>
    <w:rsid w:val="35B515CB"/>
    <w:rsid w:val="35C23876"/>
    <w:rsid w:val="35C514B6"/>
    <w:rsid w:val="35D22D98"/>
    <w:rsid w:val="35D41FC0"/>
    <w:rsid w:val="36032F7B"/>
    <w:rsid w:val="36176A26"/>
    <w:rsid w:val="363A3B40"/>
    <w:rsid w:val="365302AE"/>
    <w:rsid w:val="36607A0A"/>
    <w:rsid w:val="366C1CEE"/>
    <w:rsid w:val="366E227C"/>
    <w:rsid w:val="366F2E0D"/>
    <w:rsid w:val="367B6A5C"/>
    <w:rsid w:val="36A74ADA"/>
    <w:rsid w:val="36AD60D5"/>
    <w:rsid w:val="36B224F9"/>
    <w:rsid w:val="36EC0CC9"/>
    <w:rsid w:val="37066EFF"/>
    <w:rsid w:val="373F410B"/>
    <w:rsid w:val="375B715A"/>
    <w:rsid w:val="37B26A07"/>
    <w:rsid w:val="37EE7094"/>
    <w:rsid w:val="37FA5E67"/>
    <w:rsid w:val="37FB0D0F"/>
    <w:rsid w:val="38290C60"/>
    <w:rsid w:val="38296C89"/>
    <w:rsid w:val="383002EB"/>
    <w:rsid w:val="38332D04"/>
    <w:rsid w:val="38586797"/>
    <w:rsid w:val="38BC0149"/>
    <w:rsid w:val="38D87D1C"/>
    <w:rsid w:val="38EA6674"/>
    <w:rsid w:val="39565AB7"/>
    <w:rsid w:val="39636459"/>
    <w:rsid w:val="396B7F6C"/>
    <w:rsid w:val="39896104"/>
    <w:rsid w:val="39B417A9"/>
    <w:rsid w:val="39E465D7"/>
    <w:rsid w:val="39FC5695"/>
    <w:rsid w:val="3A006D8E"/>
    <w:rsid w:val="3A3651E5"/>
    <w:rsid w:val="3A4E1641"/>
    <w:rsid w:val="3A5E7E93"/>
    <w:rsid w:val="3A744481"/>
    <w:rsid w:val="3A8C7BEF"/>
    <w:rsid w:val="3A906246"/>
    <w:rsid w:val="3AB018E2"/>
    <w:rsid w:val="3AB02557"/>
    <w:rsid w:val="3AB363C3"/>
    <w:rsid w:val="3ABB02C8"/>
    <w:rsid w:val="3B2349B7"/>
    <w:rsid w:val="3B616CFF"/>
    <w:rsid w:val="3B6259F6"/>
    <w:rsid w:val="3B976654"/>
    <w:rsid w:val="3BBD1E1E"/>
    <w:rsid w:val="3BC01EFC"/>
    <w:rsid w:val="3BCA786A"/>
    <w:rsid w:val="3BD31E2F"/>
    <w:rsid w:val="3BF15831"/>
    <w:rsid w:val="3BF50990"/>
    <w:rsid w:val="3C105946"/>
    <w:rsid w:val="3C471448"/>
    <w:rsid w:val="3C504A40"/>
    <w:rsid w:val="3C5F759A"/>
    <w:rsid w:val="3C6C525A"/>
    <w:rsid w:val="3C791B79"/>
    <w:rsid w:val="3C7B3A5E"/>
    <w:rsid w:val="3CCE23CB"/>
    <w:rsid w:val="3CD17D17"/>
    <w:rsid w:val="3D3C7F39"/>
    <w:rsid w:val="3D440F09"/>
    <w:rsid w:val="3D4504A0"/>
    <w:rsid w:val="3D8734BB"/>
    <w:rsid w:val="3D9A11D4"/>
    <w:rsid w:val="3DA16D89"/>
    <w:rsid w:val="3DA364BE"/>
    <w:rsid w:val="3DE041CB"/>
    <w:rsid w:val="3DFC4E7F"/>
    <w:rsid w:val="3E0D48F6"/>
    <w:rsid w:val="3E1868B4"/>
    <w:rsid w:val="3E320F55"/>
    <w:rsid w:val="3E377251"/>
    <w:rsid w:val="3E42664B"/>
    <w:rsid w:val="3E5339E3"/>
    <w:rsid w:val="3E5A7334"/>
    <w:rsid w:val="3E7933CB"/>
    <w:rsid w:val="3E7B5D6B"/>
    <w:rsid w:val="3E843E66"/>
    <w:rsid w:val="3E8F51FE"/>
    <w:rsid w:val="3E926F87"/>
    <w:rsid w:val="3E9A59DE"/>
    <w:rsid w:val="3EAF4836"/>
    <w:rsid w:val="3EC33DFA"/>
    <w:rsid w:val="3ED675AA"/>
    <w:rsid w:val="3F060E16"/>
    <w:rsid w:val="3F19380F"/>
    <w:rsid w:val="3F1D1096"/>
    <w:rsid w:val="3F2F0234"/>
    <w:rsid w:val="3F577E93"/>
    <w:rsid w:val="3F6363FE"/>
    <w:rsid w:val="3F756B8F"/>
    <w:rsid w:val="3F95482B"/>
    <w:rsid w:val="4019356B"/>
    <w:rsid w:val="402F32A6"/>
    <w:rsid w:val="40491ED2"/>
    <w:rsid w:val="40592157"/>
    <w:rsid w:val="406E1CAE"/>
    <w:rsid w:val="40955117"/>
    <w:rsid w:val="40A0133A"/>
    <w:rsid w:val="40C31A53"/>
    <w:rsid w:val="40E57676"/>
    <w:rsid w:val="40E90FBF"/>
    <w:rsid w:val="40FF545D"/>
    <w:rsid w:val="410067C8"/>
    <w:rsid w:val="418F0D2A"/>
    <w:rsid w:val="41D01505"/>
    <w:rsid w:val="42374319"/>
    <w:rsid w:val="423B3A9C"/>
    <w:rsid w:val="42474939"/>
    <w:rsid w:val="424C3C57"/>
    <w:rsid w:val="42613FF3"/>
    <w:rsid w:val="42660D96"/>
    <w:rsid w:val="428667D2"/>
    <w:rsid w:val="429250AF"/>
    <w:rsid w:val="42CD1CE0"/>
    <w:rsid w:val="42E1381E"/>
    <w:rsid w:val="42ED6459"/>
    <w:rsid w:val="42FE58DD"/>
    <w:rsid w:val="43174B3D"/>
    <w:rsid w:val="434B790E"/>
    <w:rsid w:val="4360274F"/>
    <w:rsid w:val="43771ECC"/>
    <w:rsid w:val="43977AB6"/>
    <w:rsid w:val="439859C8"/>
    <w:rsid w:val="43A3342B"/>
    <w:rsid w:val="43C77C27"/>
    <w:rsid w:val="43DE09EE"/>
    <w:rsid w:val="44002FAD"/>
    <w:rsid w:val="445467E8"/>
    <w:rsid w:val="446B6A74"/>
    <w:rsid w:val="449101DD"/>
    <w:rsid w:val="44DE1391"/>
    <w:rsid w:val="450E5498"/>
    <w:rsid w:val="45166AFC"/>
    <w:rsid w:val="451B225C"/>
    <w:rsid w:val="452410C9"/>
    <w:rsid w:val="45317DFB"/>
    <w:rsid w:val="456D3CE4"/>
    <w:rsid w:val="4579042C"/>
    <w:rsid w:val="457F0571"/>
    <w:rsid w:val="45851176"/>
    <w:rsid w:val="45BF3E73"/>
    <w:rsid w:val="45C63B94"/>
    <w:rsid w:val="45D82FE8"/>
    <w:rsid w:val="460E7DA5"/>
    <w:rsid w:val="461C7E44"/>
    <w:rsid w:val="46422483"/>
    <w:rsid w:val="464D5659"/>
    <w:rsid w:val="4659254A"/>
    <w:rsid w:val="465B0637"/>
    <w:rsid w:val="465E3F0D"/>
    <w:rsid w:val="466A16E6"/>
    <w:rsid w:val="467B3E5B"/>
    <w:rsid w:val="46893F2B"/>
    <w:rsid w:val="46C4686E"/>
    <w:rsid w:val="47385407"/>
    <w:rsid w:val="47523D62"/>
    <w:rsid w:val="477B778F"/>
    <w:rsid w:val="478203EC"/>
    <w:rsid w:val="478C4E3C"/>
    <w:rsid w:val="47B025FA"/>
    <w:rsid w:val="47C02A7A"/>
    <w:rsid w:val="4809698F"/>
    <w:rsid w:val="4811697D"/>
    <w:rsid w:val="483B2A48"/>
    <w:rsid w:val="483E60F6"/>
    <w:rsid w:val="487A3E25"/>
    <w:rsid w:val="48855951"/>
    <w:rsid w:val="488B5503"/>
    <w:rsid w:val="48937E21"/>
    <w:rsid w:val="48984CB4"/>
    <w:rsid w:val="489A0361"/>
    <w:rsid w:val="48B94FF3"/>
    <w:rsid w:val="48D029AC"/>
    <w:rsid w:val="48E37AAB"/>
    <w:rsid w:val="48E83837"/>
    <w:rsid w:val="48FD4B4C"/>
    <w:rsid w:val="49033566"/>
    <w:rsid w:val="490A68E0"/>
    <w:rsid w:val="491055FE"/>
    <w:rsid w:val="494935AA"/>
    <w:rsid w:val="495F5B3E"/>
    <w:rsid w:val="496F77D7"/>
    <w:rsid w:val="497654FD"/>
    <w:rsid w:val="49B64211"/>
    <w:rsid w:val="49E56AF9"/>
    <w:rsid w:val="49F6167F"/>
    <w:rsid w:val="4A064FA0"/>
    <w:rsid w:val="4A16615C"/>
    <w:rsid w:val="4A390992"/>
    <w:rsid w:val="4A4424D7"/>
    <w:rsid w:val="4AAC3789"/>
    <w:rsid w:val="4AB82D0F"/>
    <w:rsid w:val="4AC00684"/>
    <w:rsid w:val="4AE870BC"/>
    <w:rsid w:val="4AEB7664"/>
    <w:rsid w:val="4AFD7C19"/>
    <w:rsid w:val="4B0567D1"/>
    <w:rsid w:val="4B236AAE"/>
    <w:rsid w:val="4B3D2633"/>
    <w:rsid w:val="4B65492A"/>
    <w:rsid w:val="4B707271"/>
    <w:rsid w:val="4B9147D5"/>
    <w:rsid w:val="4B9739F7"/>
    <w:rsid w:val="4B9E244C"/>
    <w:rsid w:val="4BB723E6"/>
    <w:rsid w:val="4BC34216"/>
    <w:rsid w:val="4BEE2503"/>
    <w:rsid w:val="4C070814"/>
    <w:rsid w:val="4C0C0983"/>
    <w:rsid w:val="4C245A30"/>
    <w:rsid w:val="4C4C5224"/>
    <w:rsid w:val="4C6C3961"/>
    <w:rsid w:val="4C6C3A3E"/>
    <w:rsid w:val="4CB6685F"/>
    <w:rsid w:val="4CC367FE"/>
    <w:rsid w:val="4CF65190"/>
    <w:rsid w:val="4D077F3C"/>
    <w:rsid w:val="4D123355"/>
    <w:rsid w:val="4D2A3B31"/>
    <w:rsid w:val="4D2B308B"/>
    <w:rsid w:val="4D312C52"/>
    <w:rsid w:val="4D471A63"/>
    <w:rsid w:val="4D5C10B8"/>
    <w:rsid w:val="4D905305"/>
    <w:rsid w:val="4D964A72"/>
    <w:rsid w:val="4D9C1254"/>
    <w:rsid w:val="4E793892"/>
    <w:rsid w:val="4E800872"/>
    <w:rsid w:val="4EC569ED"/>
    <w:rsid w:val="4ED50EA1"/>
    <w:rsid w:val="4EEC050C"/>
    <w:rsid w:val="4F104EC3"/>
    <w:rsid w:val="4F155DA1"/>
    <w:rsid w:val="4F47354A"/>
    <w:rsid w:val="4F6D4A83"/>
    <w:rsid w:val="4F7F321A"/>
    <w:rsid w:val="4F911C54"/>
    <w:rsid w:val="4FB40E6B"/>
    <w:rsid w:val="4FC47DBE"/>
    <w:rsid w:val="4FD02E79"/>
    <w:rsid w:val="4FE625E0"/>
    <w:rsid w:val="4FFD05E3"/>
    <w:rsid w:val="5021480F"/>
    <w:rsid w:val="50395877"/>
    <w:rsid w:val="504E1EF1"/>
    <w:rsid w:val="506C7A35"/>
    <w:rsid w:val="506D39BB"/>
    <w:rsid w:val="50962ECB"/>
    <w:rsid w:val="50A42E38"/>
    <w:rsid w:val="50A4577F"/>
    <w:rsid w:val="50B73D1F"/>
    <w:rsid w:val="50BD5BC9"/>
    <w:rsid w:val="50C11EEE"/>
    <w:rsid w:val="50CD4459"/>
    <w:rsid w:val="50E97CFC"/>
    <w:rsid w:val="50FA4028"/>
    <w:rsid w:val="510D65B7"/>
    <w:rsid w:val="511157AB"/>
    <w:rsid w:val="51174AC5"/>
    <w:rsid w:val="5142540C"/>
    <w:rsid w:val="516721B8"/>
    <w:rsid w:val="518832C8"/>
    <w:rsid w:val="519D3C50"/>
    <w:rsid w:val="51A0432A"/>
    <w:rsid w:val="51A86090"/>
    <w:rsid w:val="51B7396D"/>
    <w:rsid w:val="522E4CC3"/>
    <w:rsid w:val="52397B4D"/>
    <w:rsid w:val="5244713B"/>
    <w:rsid w:val="52615633"/>
    <w:rsid w:val="526F4DE4"/>
    <w:rsid w:val="52803148"/>
    <w:rsid w:val="52977FD4"/>
    <w:rsid w:val="52A25790"/>
    <w:rsid w:val="52A96B6F"/>
    <w:rsid w:val="52B45975"/>
    <w:rsid w:val="52D94AA4"/>
    <w:rsid w:val="52EA3A62"/>
    <w:rsid w:val="52F50BB8"/>
    <w:rsid w:val="53097272"/>
    <w:rsid w:val="53544462"/>
    <w:rsid w:val="537312E8"/>
    <w:rsid w:val="537D3F15"/>
    <w:rsid w:val="5397158E"/>
    <w:rsid w:val="53982AFD"/>
    <w:rsid w:val="53C5279D"/>
    <w:rsid w:val="53E53868"/>
    <w:rsid w:val="54013861"/>
    <w:rsid w:val="542A4B11"/>
    <w:rsid w:val="54487265"/>
    <w:rsid w:val="544D6070"/>
    <w:rsid w:val="54532EC8"/>
    <w:rsid w:val="54605E1E"/>
    <w:rsid w:val="54751152"/>
    <w:rsid w:val="54A07B2F"/>
    <w:rsid w:val="54A173CE"/>
    <w:rsid w:val="54B3506A"/>
    <w:rsid w:val="54CA0D16"/>
    <w:rsid w:val="54DD4057"/>
    <w:rsid w:val="54E7490F"/>
    <w:rsid w:val="54FB1595"/>
    <w:rsid w:val="550764A4"/>
    <w:rsid w:val="55085A60"/>
    <w:rsid w:val="550B2BF6"/>
    <w:rsid w:val="551B4DDC"/>
    <w:rsid w:val="55214EB5"/>
    <w:rsid w:val="55364EFD"/>
    <w:rsid w:val="555D4828"/>
    <w:rsid w:val="557A4C8B"/>
    <w:rsid w:val="558931E1"/>
    <w:rsid w:val="55923347"/>
    <w:rsid w:val="55925180"/>
    <w:rsid w:val="5593651A"/>
    <w:rsid w:val="55983B1B"/>
    <w:rsid w:val="559C38FC"/>
    <w:rsid w:val="55A8275D"/>
    <w:rsid w:val="55A8376B"/>
    <w:rsid w:val="55DC29B6"/>
    <w:rsid w:val="55DD4241"/>
    <w:rsid w:val="56570A4D"/>
    <w:rsid w:val="566B6D1E"/>
    <w:rsid w:val="56A51FC7"/>
    <w:rsid w:val="56B060EF"/>
    <w:rsid w:val="57032A2C"/>
    <w:rsid w:val="570F5219"/>
    <w:rsid w:val="571001B3"/>
    <w:rsid w:val="57553BBA"/>
    <w:rsid w:val="57561F90"/>
    <w:rsid w:val="575D12B5"/>
    <w:rsid w:val="57610A87"/>
    <w:rsid w:val="57717248"/>
    <w:rsid w:val="577B1140"/>
    <w:rsid w:val="577B7F21"/>
    <w:rsid w:val="577F181B"/>
    <w:rsid w:val="57921984"/>
    <w:rsid w:val="579737F0"/>
    <w:rsid w:val="57A66969"/>
    <w:rsid w:val="57AB7B30"/>
    <w:rsid w:val="57AD7D02"/>
    <w:rsid w:val="57AF5251"/>
    <w:rsid w:val="57B26373"/>
    <w:rsid w:val="57B63F04"/>
    <w:rsid w:val="57C31964"/>
    <w:rsid w:val="57C40364"/>
    <w:rsid w:val="57CD20C2"/>
    <w:rsid w:val="57D675AB"/>
    <w:rsid w:val="57D95FDD"/>
    <w:rsid w:val="57DA164B"/>
    <w:rsid w:val="57E83927"/>
    <w:rsid w:val="581D5CC6"/>
    <w:rsid w:val="58917D2F"/>
    <w:rsid w:val="5894085C"/>
    <w:rsid w:val="58AE4F0C"/>
    <w:rsid w:val="58B85899"/>
    <w:rsid w:val="58E363A9"/>
    <w:rsid w:val="59264BD1"/>
    <w:rsid w:val="595E1678"/>
    <w:rsid w:val="596D5BD4"/>
    <w:rsid w:val="597E3DD8"/>
    <w:rsid w:val="59B62A03"/>
    <w:rsid w:val="59F80043"/>
    <w:rsid w:val="5A09252F"/>
    <w:rsid w:val="5A0B2778"/>
    <w:rsid w:val="5A2A7C7B"/>
    <w:rsid w:val="5A3E2560"/>
    <w:rsid w:val="5A5D3B6E"/>
    <w:rsid w:val="5A637A76"/>
    <w:rsid w:val="5A6D33BA"/>
    <w:rsid w:val="5A785436"/>
    <w:rsid w:val="5A792B1F"/>
    <w:rsid w:val="5A874767"/>
    <w:rsid w:val="5AA85BE2"/>
    <w:rsid w:val="5AAD6F28"/>
    <w:rsid w:val="5AB9526C"/>
    <w:rsid w:val="5AD63A24"/>
    <w:rsid w:val="5B280C0A"/>
    <w:rsid w:val="5B2E1A1D"/>
    <w:rsid w:val="5B6030DE"/>
    <w:rsid w:val="5B652FF7"/>
    <w:rsid w:val="5B843A1C"/>
    <w:rsid w:val="5B873E3F"/>
    <w:rsid w:val="5B9444F1"/>
    <w:rsid w:val="5BA671FC"/>
    <w:rsid w:val="5BB21413"/>
    <w:rsid w:val="5BBC1352"/>
    <w:rsid w:val="5BD35CA1"/>
    <w:rsid w:val="5BF77B5F"/>
    <w:rsid w:val="5C02690E"/>
    <w:rsid w:val="5C11169E"/>
    <w:rsid w:val="5C196DA7"/>
    <w:rsid w:val="5C2A048C"/>
    <w:rsid w:val="5C642116"/>
    <w:rsid w:val="5C80234E"/>
    <w:rsid w:val="5C8A680C"/>
    <w:rsid w:val="5CC47D85"/>
    <w:rsid w:val="5D0C4701"/>
    <w:rsid w:val="5D0F0395"/>
    <w:rsid w:val="5D221076"/>
    <w:rsid w:val="5D397964"/>
    <w:rsid w:val="5D414205"/>
    <w:rsid w:val="5D5A391C"/>
    <w:rsid w:val="5D5F10C0"/>
    <w:rsid w:val="5D891B7B"/>
    <w:rsid w:val="5DAD38EE"/>
    <w:rsid w:val="5DC7295C"/>
    <w:rsid w:val="5DC94C28"/>
    <w:rsid w:val="5DD204D5"/>
    <w:rsid w:val="5DD6562A"/>
    <w:rsid w:val="5DE973E1"/>
    <w:rsid w:val="5E006862"/>
    <w:rsid w:val="5E0207B9"/>
    <w:rsid w:val="5E1834A1"/>
    <w:rsid w:val="5E251431"/>
    <w:rsid w:val="5E261785"/>
    <w:rsid w:val="5E4A7017"/>
    <w:rsid w:val="5E552BBA"/>
    <w:rsid w:val="5E611C10"/>
    <w:rsid w:val="5E632FF9"/>
    <w:rsid w:val="5E7A0F3F"/>
    <w:rsid w:val="5E7E6D93"/>
    <w:rsid w:val="5E8B0A0A"/>
    <w:rsid w:val="5EC135B8"/>
    <w:rsid w:val="5EC40C4A"/>
    <w:rsid w:val="5EF14693"/>
    <w:rsid w:val="5EFC7377"/>
    <w:rsid w:val="5F06174D"/>
    <w:rsid w:val="5F3A3602"/>
    <w:rsid w:val="5F45733B"/>
    <w:rsid w:val="5F6277C6"/>
    <w:rsid w:val="5F6D0B1D"/>
    <w:rsid w:val="5F751F44"/>
    <w:rsid w:val="5F8B4BA5"/>
    <w:rsid w:val="5F8D0B82"/>
    <w:rsid w:val="5FA07B9D"/>
    <w:rsid w:val="5FC058B5"/>
    <w:rsid w:val="5FC66C44"/>
    <w:rsid w:val="5FCC5339"/>
    <w:rsid w:val="5FE34A5B"/>
    <w:rsid w:val="5FFE1E36"/>
    <w:rsid w:val="60232584"/>
    <w:rsid w:val="60402552"/>
    <w:rsid w:val="607330CE"/>
    <w:rsid w:val="60825176"/>
    <w:rsid w:val="609F2AC4"/>
    <w:rsid w:val="60A8472B"/>
    <w:rsid w:val="60B82A30"/>
    <w:rsid w:val="60C405FE"/>
    <w:rsid w:val="60FA2EE8"/>
    <w:rsid w:val="60FC0DF8"/>
    <w:rsid w:val="61054A27"/>
    <w:rsid w:val="610A52BC"/>
    <w:rsid w:val="611B3081"/>
    <w:rsid w:val="611D2366"/>
    <w:rsid w:val="611F6193"/>
    <w:rsid w:val="613E1D7A"/>
    <w:rsid w:val="61421856"/>
    <w:rsid w:val="614C0DAB"/>
    <w:rsid w:val="6151595E"/>
    <w:rsid w:val="615227C4"/>
    <w:rsid w:val="61654E3F"/>
    <w:rsid w:val="6182292A"/>
    <w:rsid w:val="619F7F92"/>
    <w:rsid w:val="61DD431B"/>
    <w:rsid w:val="61F94C26"/>
    <w:rsid w:val="62000E56"/>
    <w:rsid w:val="622411AE"/>
    <w:rsid w:val="624F3E49"/>
    <w:rsid w:val="62593D9F"/>
    <w:rsid w:val="62632286"/>
    <w:rsid w:val="627A69F6"/>
    <w:rsid w:val="62885958"/>
    <w:rsid w:val="62F40B65"/>
    <w:rsid w:val="62FA10DE"/>
    <w:rsid w:val="62FC2CFE"/>
    <w:rsid w:val="63024505"/>
    <w:rsid w:val="633F11E7"/>
    <w:rsid w:val="635600A5"/>
    <w:rsid w:val="635B1DB5"/>
    <w:rsid w:val="63711FED"/>
    <w:rsid w:val="63880DDC"/>
    <w:rsid w:val="638D750D"/>
    <w:rsid w:val="63AC6CC0"/>
    <w:rsid w:val="63CC43F4"/>
    <w:rsid w:val="64055776"/>
    <w:rsid w:val="640D3093"/>
    <w:rsid w:val="641D59AF"/>
    <w:rsid w:val="64240056"/>
    <w:rsid w:val="643E143A"/>
    <w:rsid w:val="64491666"/>
    <w:rsid w:val="6452680B"/>
    <w:rsid w:val="648B6EEF"/>
    <w:rsid w:val="649F3882"/>
    <w:rsid w:val="64C158BF"/>
    <w:rsid w:val="64CE2EAA"/>
    <w:rsid w:val="64D051C8"/>
    <w:rsid w:val="65150451"/>
    <w:rsid w:val="653C3090"/>
    <w:rsid w:val="655165C0"/>
    <w:rsid w:val="65555212"/>
    <w:rsid w:val="65854376"/>
    <w:rsid w:val="658767BE"/>
    <w:rsid w:val="65892531"/>
    <w:rsid w:val="65A3665C"/>
    <w:rsid w:val="65E51DCD"/>
    <w:rsid w:val="65F938CF"/>
    <w:rsid w:val="66195831"/>
    <w:rsid w:val="662D5327"/>
    <w:rsid w:val="662E75B1"/>
    <w:rsid w:val="663171ED"/>
    <w:rsid w:val="66342C2E"/>
    <w:rsid w:val="663E784C"/>
    <w:rsid w:val="6659611C"/>
    <w:rsid w:val="668B6A45"/>
    <w:rsid w:val="668C4743"/>
    <w:rsid w:val="66A955AA"/>
    <w:rsid w:val="66F81DD8"/>
    <w:rsid w:val="67011F07"/>
    <w:rsid w:val="672F3F24"/>
    <w:rsid w:val="673E055F"/>
    <w:rsid w:val="67551CE3"/>
    <w:rsid w:val="678E2418"/>
    <w:rsid w:val="67A22552"/>
    <w:rsid w:val="67AA29A7"/>
    <w:rsid w:val="67AB6E4B"/>
    <w:rsid w:val="67B22DCC"/>
    <w:rsid w:val="67B37FB5"/>
    <w:rsid w:val="67B71CC6"/>
    <w:rsid w:val="67BE71AA"/>
    <w:rsid w:val="67D90273"/>
    <w:rsid w:val="67DA23DA"/>
    <w:rsid w:val="67DE5875"/>
    <w:rsid w:val="67E55852"/>
    <w:rsid w:val="67EB1AB4"/>
    <w:rsid w:val="67FA1285"/>
    <w:rsid w:val="68551F4F"/>
    <w:rsid w:val="68692862"/>
    <w:rsid w:val="687C10C9"/>
    <w:rsid w:val="68840C16"/>
    <w:rsid w:val="68872541"/>
    <w:rsid w:val="68876EFB"/>
    <w:rsid w:val="68884654"/>
    <w:rsid w:val="689F444F"/>
    <w:rsid w:val="68B96DBB"/>
    <w:rsid w:val="68CA2805"/>
    <w:rsid w:val="68E937A3"/>
    <w:rsid w:val="691664E5"/>
    <w:rsid w:val="691F3B13"/>
    <w:rsid w:val="692013F5"/>
    <w:rsid w:val="692C0E45"/>
    <w:rsid w:val="693E15D3"/>
    <w:rsid w:val="69627681"/>
    <w:rsid w:val="6977531D"/>
    <w:rsid w:val="69845BA5"/>
    <w:rsid w:val="69892FF5"/>
    <w:rsid w:val="69B6118A"/>
    <w:rsid w:val="69CA0B08"/>
    <w:rsid w:val="69CC2BFF"/>
    <w:rsid w:val="69FD55B8"/>
    <w:rsid w:val="6A0B1C62"/>
    <w:rsid w:val="6A10568B"/>
    <w:rsid w:val="6A1F767C"/>
    <w:rsid w:val="6A2406C8"/>
    <w:rsid w:val="6A295AE0"/>
    <w:rsid w:val="6A461D62"/>
    <w:rsid w:val="6A4F389E"/>
    <w:rsid w:val="6A6257BB"/>
    <w:rsid w:val="6A6B28C1"/>
    <w:rsid w:val="6A6C1F22"/>
    <w:rsid w:val="6ADE0BD1"/>
    <w:rsid w:val="6AE96859"/>
    <w:rsid w:val="6B0B7C00"/>
    <w:rsid w:val="6B147746"/>
    <w:rsid w:val="6B227368"/>
    <w:rsid w:val="6B24787C"/>
    <w:rsid w:val="6B251DCB"/>
    <w:rsid w:val="6B304E9E"/>
    <w:rsid w:val="6B573233"/>
    <w:rsid w:val="6B5778EA"/>
    <w:rsid w:val="6B5B6274"/>
    <w:rsid w:val="6B6712DB"/>
    <w:rsid w:val="6B8005EE"/>
    <w:rsid w:val="6B935D53"/>
    <w:rsid w:val="6BCB7ABB"/>
    <w:rsid w:val="6C152AE5"/>
    <w:rsid w:val="6C196F71"/>
    <w:rsid w:val="6C226FCB"/>
    <w:rsid w:val="6C31226F"/>
    <w:rsid w:val="6C4B489A"/>
    <w:rsid w:val="6C552F0B"/>
    <w:rsid w:val="6C8163CC"/>
    <w:rsid w:val="6C8C67B7"/>
    <w:rsid w:val="6C9C6D62"/>
    <w:rsid w:val="6C9D744C"/>
    <w:rsid w:val="6D0503EF"/>
    <w:rsid w:val="6D167928"/>
    <w:rsid w:val="6D26299B"/>
    <w:rsid w:val="6D4772EC"/>
    <w:rsid w:val="6D9078AF"/>
    <w:rsid w:val="6DA94419"/>
    <w:rsid w:val="6DAA3FEF"/>
    <w:rsid w:val="6DC0172B"/>
    <w:rsid w:val="6DCB690C"/>
    <w:rsid w:val="6DD41A5B"/>
    <w:rsid w:val="6DEC337D"/>
    <w:rsid w:val="6DF43C2E"/>
    <w:rsid w:val="6DF51CA3"/>
    <w:rsid w:val="6E027099"/>
    <w:rsid w:val="6E184B0E"/>
    <w:rsid w:val="6E3F209B"/>
    <w:rsid w:val="6E8335BD"/>
    <w:rsid w:val="6E8E12EF"/>
    <w:rsid w:val="6E921DAB"/>
    <w:rsid w:val="6E972936"/>
    <w:rsid w:val="6E9F5565"/>
    <w:rsid w:val="6EB02F99"/>
    <w:rsid w:val="6ECB392F"/>
    <w:rsid w:val="6ED446C5"/>
    <w:rsid w:val="6F2A7D94"/>
    <w:rsid w:val="6F497418"/>
    <w:rsid w:val="6F5002D8"/>
    <w:rsid w:val="6F66742E"/>
    <w:rsid w:val="6F683873"/>
    <w:rsid w:val="6F7E3097"/>
    <w:rsid w:val="6F8331F1"/>
    <w:rsid w:val="6FAE1A09"/>
    <w:rsid w:val="6FD75BF8"/>
    <w:rsid w:val="6FDE58E3"/>
    <w:rsid w:val="702459EC"/>
    <w:rsid w:val="704B4683"/>
    <w:rsid w:val="7052238D"/>
    <w:rsid w:val="707723D0"/>
    <w:rsid w:val="7089584F"/>
    <w:rsid w:val="70D94A29"/>
    <w:rsid w:val="70F5661B"/>
    <w:rsid w:val="71063344"/>
    <w:rsid w:val="712C2FA9"/>
    <w:rsid w:val="71360107"/>
    <w:rsid w:val="713B688E"/>
    <w:rsid w:val="71AA3CCF"/>
    <w:rsid w:val="71D43752"/>
    <w:rsid w:val="71E202B2"/>
    <w:rsid w:val="71F1796A"/>
    <w:rsid w:val="72006056"/>
    <w:rsid w:val="72154626"/>
    <w:rsid w:val="72247F25"/>
    <w:rsid w:val="72262B5D"/>
    <w:rsid w:val="72273572"/>
    <w:rsid w:val="72283FF7"/>
    <w:rsid w:val="722E7212"/>
    <w:rsid w:val="723637B5"/>
    <w:rsid w:val="723A0474"/>
    <w:rsid w:val="72432A2F"/>
    <w:rsid w:val="725923E4"/>
    <w:rsid w:val="727B2178"/>
    <w:rsid w:val="72864BF7"/>
    <w:rsid w:val="729023FC"/>
    <w:rsid w:val="72BA2638"/>
    <w:rsid w:val="72F249C8"/>
    <w:rsid w:val="732C187E"/>
    <w:rsid w:val="736A259F"/>
    <w:rsid w:val="73AA6208"/>
    <w:rsid w:val="73C0646E"/>
    <w:rsid w:val="73F55CDD"/>
    <w:rsid w:val="742222F5"/>
    <w:rsid w:val="74476126"/>
    <w:rsid w:val="74494642"/>
    <w:rsid w:val="746207C6"/>
    <w:rsid w:val="74706664"/>
    <w:rsid w:val="747F3682"/>
    <w:rsid w:val="749C4185"/>
    <w:rsid w:val="74DF5561"/>
    <w:rsid w:val="74EC46A0"/>
    <w:rsid w:val="75067759"/>
    <w:rsid w:val="750E6CC7"/>
    <w:rsid w:val="752E6DCD"/>
    <w:rsid w:val="7551380D"/>
    <w:rsid w:val="75600BE5"/>
    <w:rsid w:val="75630D65"/>
    <w:rsid w:val="7564475C"/>
    <w:rsid w:val="7583797F"/>
    <w:rsid w:val="758451B8"/>
    <w:rsid w:val="75D20F1D"/>
    <w:rsid w:val="75DA2C18"/>
    <w:rsid w:val="75F53987"/>
    <w:rsid w:val="75F54412"/>
    <w:rsid w:val="761D08E0"/>
    <w:rsid w:val="765D347C"/>
    <w:rsid w:val="76826699"/>
    <w:rsid w:val="76B031E0"/>
    <w:rsid w:val="76C87133"/>
    <w:rsid w:val="76CA6401"/>
    <w:rsid w:val="76CD08D5"/>
    <w:rsid w:val="76D55E4D"/>
    <w:rsid w:val="76DB4B92"/>
    <w:rsid w:val="76E557A9"/>
    <w:rsid w:val="76FD013A"/>
    <w:rsid w:val="77052AA4"/>
    <w:rsid w:val="77136511"/>
    <w:rsid w:val="77340A39"/>
    <w:rsid w:val="77351FD0"/>
    <w:rsid w:val="77472422"/>
    <w:rsid w:val="777F31F2"/>
    <w:rsid w:val="77D1700D"/>
    <w:rsid w:val="77EC04CC"/>
    <w:rsid w:val="77FB6D8B"/>
    <w:rsid w:val="78055032"/>
    <w:rsid w:val="78775729"/>
    <w:rsid w:val="78A42DB0"/>
    <w:rsid w:val="78A656AB"/>
    <w:rsid w:val="78AD0549"/>
    <w:rsid w:val="78B2245C"/>
    <w:rsid w:val="78C139E5"/>
    <w:rsid w:val="78E172CC"/>
    <w:rsid w:val="78E201F2"/>
    <w:rsid w:val="78EA1D1F"/>
    <w:rsid w:val="78FF79BB"/>
    <w:rsid w:val="7904172F"/>
    <w:rsid w:val="790F7E27"/>
    <w:rsid w:val="792A231A"/>
    <w:rsid w:val="792E0677"/>
    <w:rsid w:val="792E2295"/>
    <w:rsid w:val="79316829"/>
    <w:rsid w:val="794863DF"/>
    <w:rsid w:val="797E66A9"/>
    <w:rsid w:val="798518A4"/>
    <w:rsid w:val="79A97383"/>
    <w:rsid w:val="79BD47BC"/>
    <w:rsid w:val="79E27E8B"/>
    <w:rsid w:val="79F850CE"/>
    <w:rsid w:val="79FD443C"/>
    <w:rsid w:val="7A10646B"/>
    <w:rsid w:val="7A1D1975"/>
    <w:rsid w:val="7A2465E9"/>
    <w:rsid w:val="7A3E5150"/>
    <w:rsid w:val="7A4670D6"/>
    <w:rsid w:val="7A534B63"/>
    <w:rsid w:val="7A5544DF"/>
    <w:rsid w:val="7A615382"/>
    <w:rsid w:val="7A67303B"/>
    <w:rsid w:val="7A7B26AD"/>
    <w:rsid w:val="7A9644CB"/>
    <w:rsid w:val="7AAB1D04"/>
    <w:rsid w:val="7ABA4368"/>
    <w:rsid w:val="7AD05746"/>
    <w:rsid w:val="7AE2097E"/>
    <w:rsid w:val="7B257FFD"/>
    <w:rsid w:val="7B273D20"/>
    <w:rsid w:val="7B343476"/>
    <w:rsid w:val="7B353B92"/>
    <w:rsid w:val="7B4F4B9A"/>
    <w:rsid w:val="7B5675F2"/>
    <w:rsid w:val="7B5A2978"/>
    <w:rsid w:val="7B5A7E4C"/>
    <w:rsid w:val="7B667AF9"/>
    <w:rsid w:val="7B7468F8"/>
    <w:rsid w:val="7BA9702E"/>
    <w:rsid w:val="7BE82D0A"/>
    <w:rsid w:val="7BEE0103"/>
    <w:rsid w:val="7C0A0FE4"/>
    <w:rsid w:val="7C0B7A60"/>
    <w:rsid w:val="7C23101F"/>
    <w:rsid w:val="7C254906"/>
    <w:rsid w:val="7C590818"/>
    <w:rsid w:val="7C7C10F6"/>
    <w:rsid w:val="7C853BEA"/>
    <w:rsid w:val="7C881368"/>
    <w:rsid w:val="7CE27788"/>
    <w:rsid w:val="7D067EBE"/>
    <w:rsid w:val="7D0C32F1"/>
    <w:rsid w:val="7D0F408D"/>
    <w:rsid w:val="7D105F93"/>
    <w:rsid w:val="7D2901C4"/>
    <w:rsid w:val="7D3B4375"/>
    <w:rsid w:val="7D491C6C"/>
    <w:rsid w:val="7D5429C0"/>
    <w:rsid w:val="7D6E6D43"/>
    <w:rsid w:val="7D983576"/>
    <w:rsid w:val="7DB57A34"/>
    <w:rsid w:val="7DB87774"/>
    <w:rsid w:val="7DE303C8"/>
    <w:rsid w:val="7DE60973"/>
    <w:rsid w:val="7DEF0916"/>
    <w:rsid w:val="7E1B40AC"/>
    <w:rsid w:val="7E1E5218"/>
    <w:rsid w:val="7E221091"/>
    <w:rsid w:val="7E3E5F41"/>
    <w:rsid w:val="7E5F763F"/>
    <w:rsid w:val="7E9A4E1F"/>
    <w:rsid w:val="7EA7723A"/>
    <w:rsid w:val="7EBF4B32"/>
    <w:rsid w:val="7ED76320"/>
    <w:rsid w:val="7EF56FBB"/>
    <w:rsid w:val="7F0768EB"/>
    <w:rsid w:val="7F143BEC"/>
    <w:rsid w:val="7F2C21C7"/>
    <w:rsid w:val="7F4E1A13"/>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next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4"/>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30"/>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6"/>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3"/>
    <w:autoRedefine/>
    <w:qFormat/>
    <w:uiPriority w:val="99"/>
    <w:pPr>
      <w:tabs>
        <w:tab w:val="center" w:pos="4153"/>
        <w:tab w:val="right" w:pos="8306"/>
      </w:tabs>
      <w:snapToGrid w:val="0"/>
      <w:jc w:val="left"/>
    </w:pPr>
    <w:rPr>
      <w:sz w:val="18"/>
      <w:szCs w:val="18"/>
    </w:rPr>
  </w:style>
  <w:style w:type="paragraph" w:styleId="40">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5"/>
    <w:autoRedefine/>
    <w:qFormat/>
    <w:uiPriority w:val="0"/>
    <w:rPr>
      <w:b/>
      <w:bCs/>
    </w:rPr>
  </w:style>
  <w:style w:type="paragraph" w:styleId="60">
    <w:name w:val="Body Text First Indent"/>
    <w:basedOn w:val="2"/>
    <w:next w:val="50"/>
    <w:link w:val="321"/>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4"/>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2"/>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7"/>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next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8"/>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7"/>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10"/>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320"/>
    <w:link w:val="318"/>
    <w:autoRedefine/>
    <w:qFormat/>
    <w:uiPriority w:val="0"/>
    <w:pPr>
      <w:tabs>
        <w:tab w:val="right" w:leader="dot" w:pos="8268"/>
      </w:tabs>
      <w:adjustRightInd/>
    </w:pPr>
    <w:rPr>
      <w:rFonts w:ascii="宋体" w:hAnsi="Courier New"/>
      <w:kern w:val="0"/>
      <w:sz w:val="20"/>
      <w:szCs w:val="20"/>
    </w:rPr>
  </w:style>
  <w:style w:type="paragraph" w:customStyle="1" w:styleId="320">
    <w:name w:val="正文1"/>
    <w:basedOn w:val="31"/>
    <w:autoRedefine/>
    <w:qFormat/>
    <w:uiPriority w:val="0"/>
    <w:pPr>
      <w:ind w:left="0" w:leftChars="0" w:firstLine="480" w:firstLineChars="200"/>
    </w:pPr>
    <w:rPr>
      <w:rFonts w:ascii="仿宋_GB2312" w:hAnsi="Courier New" w:eastAsia="仿宋_GB2312"/>
      <w:kern w:val="28"/>
      <w:sz w:val="24"/>
    </w:rPr>
  </w:style>
  <w:style w:type="character" w:customStyle="1" w:styleId="321">
    <w:name w:val="正文首行缩进 Char"/>
    <w:link w:val="60"/>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7"/>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2"/>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autoRedefine/>
    <w:qFormat/>
    <w:uiPriority w:val="99"/>
    <w:rPr>
      <w:kern w:val="2"/>
      <w:sz w:val="21"/>
      <w:szCs w:val="24"/>
    </w:rPr>
  </w:style>
  <w:style w:type="character" w:customStyle="1" w:styleId="345">
    <w:name w:val="签名 Char"/>
    <w:link w:val="41"/>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39"/>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0"/>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69"/>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6"/>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69"/>
    <w:autoRedefine/>
    <w:qFormat/>
    <w:uiPriority w:val="0"/>
    <w:rPr>
      <w:rFonts w:ascii="Arial" w:hAnsi="Arial" w:eastAsia="黑体" w:cs="Arial"/>
      <w:snapToGrid w:val="0"/>
      <w:kern w:val="0"/>
      <w:szCs w:val="21"/>
    </w:rPr>
  </w:style>
  <w:style w:type="character" w:customStyle="1" w:styleId="432">
    <w:name w:val="hui"/>
    <w:basedOn w:val="69"/>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5"/>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8"/>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4"/>
    <w:next w:val="234"/>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4"/>
    <w:next w:val="234"/>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5"/>
    <w:next w:val="52"/>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8"/>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3"/>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7"/>
    <w:autoRedefine/>
    <w:qFormat/>
    <w:uiPriority w:val="0"/>
    <w:rPr>
      <w:kern w:val="2"/>
      <w:sz w:val="21"/>
      <w:szCs w:val="24"/>
      <w:lang w:val="zh-CN"/>
    </w:rPr>
  </w:style>
  <w:style w:type="character" w:customStyle="1" w:styleId="932">
    <w:name w:val="无间隔 Char"/>
    <w:link w:val="483"/>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fontstyle01"/>
    <w:autoRedefine/>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30821</Words>
  <Characters>32591</Characters>
  <Lines>281</Lines>
  <Paragraphs>79</Paragraphs>
  <TotalTime>16</TotalTime>
  <ScaleCrop>false</ScaleCrop>
  <LinksUpToDate>false</LinksUpToDate>
  <CharactersWithSpaces>38052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administrator1</cp:lastModifiedBy>
  <cp:lastPrinted>2021-12-27T11:06:00Z</cp:lastPrinted>
  <dcterms:modified xsi:type="dcterms:W3CDTF">2024-04-22T01:02:43Z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