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480" w:lineRule="auto"/>
        <w:jc w:val="center"/>
        <w:rPr>
          <w:rFonts w:ascii="仿宋" w:hAnsi="仿宋" w:eastAsia="仿宋" w:cs="仿宋"/>
          <w:b/>
          <w:bCs/>
          <w:sz w:val="44"/>
          <w:szCs w:val="44"/>
        </w:rPr>
      </w:pPr>
      <w:r>
        <w:rPr>
          <w:rFonts w:hint="eastAsia" w:ascii="仿宋" w:hAnsi="仿宋" w:eastAsia="仿宋" w:cs="仿宋"/>
          <w:b/>
          <w:bCs/>
          <w:sz w:val="44"/>
          <w:szCs w:val="44"/>
        </w:rPr>
        <w:t>拱墅区智慧工地监管平台项目</w:t>
      </w:r>
    </w:p>
    <w:p>
      <w:pPr>
        <w:adjustRightInd/>
        <w:spacing w:line="480" w:lineRule="auto"/>
        <w:jc w:val="center"/>
        <w:rPr>
          <w:rFonts w:ascii="仿宋" w:hAnsi="仿宋" w:eastAsia="仿宋" w:cs="仿宋_GB2312"/>
          <w:sz w:val="48"/>
          <w:szCs w:val="48"/>
        </w:rPr>
      </w:pPr>
      <w:r>
        <w:rPr>
          <w:rFonts w:hint="eastAsia" w:ascii="仿宋" w:hAnsi="仿宋" w:eastAsia="仿宋" w:cs="仿宋_GB2312"/>
          <w:sz w:val="48"/>
          <w:szCs w:val="48"/>
        </w:rPr>
        <w:t>招标文件</w:t>
      </w:r>
    </w:p>
    <w:p>
      <w:pPr>
        <w:adjustRightInd/>
        <w:spacing w:line="480" w:lineRule="auto"/>
        <w:jc w:val="center"/>
        <w:rPr>
          <w:rFonts w:ascii="仿宋" w:hAnsi="仿宋" w:eastAsia="仿宋" w:cs="仿宋_GB2312"/>
          <w:b/>
          <w:sz w:val="44"/>
          <w:szCs w:val="44"/>
        </w:rPr>
      </w:pPr>
      <w:r>
        <w:rPr>
          <w:rFonts w:ascii="仿宋" w:hAnsi="仿宋" w:eastAsia="仿宋" w:cs="仿宋_GB2312"/>
          <w:b/>
          <w:sz w:val="44"/>
          <w:szCs w:val="44"/>
        </w:rPr>
        <w:t>（电子招投标）</w:t>
      </w:r>
    </w:p>
    <w:p>
      <w:pPr>
        <w:snapToGrid w:val="0"/>
        <w:spacing w:line="480" w:lineRule="auto"/>
        <w:jc w:val="center"/>
        <w:rPr>
          <w:rFonts w:ascii="仿宋" w:hAnsi="仿宋" w:eastAsia="仿宋" w:cs="仿宋_GB2312"/>
          <w:sz w:val="30"/>
          <w:szCs w:val="30"/>
        </w:rPr>
      </w:pPr>
      <w:r>
        <w:rPr>
          <w:rFonts w:hint="eastAsia" w:ascii="仿宋" w:hAnsi="仿宋" w:eastAsia="仿宋" w:cs="仿宋_GB2312"/>
          <w:sz w:val="30"/>
          <w:szCs w:val="30"/>
        </w:rPr>
        <w:t>编号</w:t>
      </w:r>
      <w:r>
        <w:rPr>
          <w:rFonts w:ascii="仿宋" w:hAnsi="仿宋" w:eastAsia="仿宋" w:cs="仿宋_GB2312"/>
          <w:sz w:val="30"/>
          <w:szCs w:val="30"/>
        </w:rPr>
        <w:t>:</w:t>
      </w:r>
      <w:r>
        <w:rPr>
          <w:rFonts w:hint="eastAsia" w:ascii="仿宋" w:hAnsi="仿宋" w:eastAsia="仿宋" w:cs="仿宋"/>
          <w:sz w:val="30"/>
          <w:szCs w:val="30"/>
        </w:rPr>
        <w:t>ZJCT6-2022GKCG-063</w:t>
      </w:r>
    </w:p>
    <w:p>
      <w:pPr>
        <w:adjustRightInd/>
        <w:spacing w:line="480" w:lineRule="auto"/>
        <w:rPr>
          <w:rFonts w:ascii="仿宋" w:hAnsi="仿宋" w:eastAsia="仿宋" w:cs="仿宋_GB2312"/>
          <w:sz w:val="28"/>
          <w:szCs w:val="20"/>
        </w:rPr>
      </w:pPr>
    </w:p>
    <w:p>
      <w:pPr>
        <w:spacing w:line="480" w:lineRule="auto"/>
        <w:jc w:val="center"/>
        <w:rPr>
          <w:rFonts w:ascii="仿宋" w:hAnsi="仿宋" w:eastAsia="仿宋" w:cs="仿宋_GB2312"/>
          <w:b/>
          <w:sz w:val="44"/>
          <w:szCs w:val="44"/>
        </w:rPr>
      </w:pPr>
    </w:p>
    <w:p>
      <w:pPr>
        <w:spacing w:line="480" w:lineRule="auto"/>
        <w:jc w:val="center"/>
        <w:rPr>
          <w:rFonts w:ascii="仿宋" w:hAnsi="仿宋" w:eastAsia="仿宋" w:cs="仿宋_GB2312"/>
          <w:b/>
          <w:sz w:val="44"/>
          <w:szCs w:val="44"/>
        </w:rPr>
      </w:pPr>
    </w:p>
    <w:p>
      <w:pPr>
        <w:spacing w:line="480" w:lineRule="auto"/>
        <w:jc w:val="center"/>
        <w:rPr>
          <w:rFonts w:ascii="仿宋" w:hAnsi="仿宋" w:eastAsia="仿宋" w:cs="仿宋_GB2312"/>
          <w:sz w:val="24"/>
        </w:rPr>
      </w:pPr>
    </w:p>
    <w:p>
      <w:pPr>
        <w:spacing w:line="480" w:lineRule="auto"/>
        <w:jc w:val="center"/>
        <w:rPr>
          <w:rFonts w:ascii="仿宋" w:hAnsi="仿宋" w:eastAsia="仿宋" w:cs="仿宋_GB2312"/>
          <w:sz w:val="24"/>
        </w:rPr>
      </w:pPr>
    </w:p>
    <w:p>
      <w:pPr>
        <w:pStyle w:val="4"/>
        <w:rPr>
          <w:rFonts w:ascii="仿宋" w:eastAsia="仿宋" w:cs="仿宋_GB2312"/>
          <w:sz w:val="24"/>
        </w:rPr>
      </w:pPr>
    </w:p>
    <w:p/>
    <w:p>
      <w:pPr>
        <w:spacing w:line="480" w:lineRule="auto"/>
        <w:rPr>
          <w:rFonts w:ascii="仿宋" w:hAnsi="仿宋" w:eastAsia="仿宋" w:cs="仿宋_GB2312"/>
          <w:sz w:val="32"/>
          <w:szCs w:val="32"/>
        </w:rPr>
      </w:pPr>
    </w:p>
    <w:p>
      <w:pPr>
        <w:snapToGrid w:val="0"/>
        <w:spacing w:line="480" w:lineRule="auto"/>
        <w:jc w:val="center"/>
        <w:rPr>
          <w:rFonts w:ascii="仿宋" w:hAnsi="仿宋" w:eastAsia="仿宋" w:cs="仿宋_GB2312"/>
          <w:sz w:val="32"/>
          <w:szCs w:val="32"/>
        </w:rPr>
      </w:pPr>
      <w:r>
        <w:rPr>
          <w:rFonts w:hint="eastAsia" w:ascii="仿宋" w:hAnsi="仿宋" w:eastAsia="仿宋" w:cs="仿宋_GB2312"/>
          <w:sz w:val="32"/>
          <w:szCs w:val="32"/>
        </w:rPr>
        <w:t>采购人：</w:t>
      </w:r>
      <w:r>
        <w:rPr>
          <w:rFonts w:hint="eastAsia" w:ascii="仿宋" w:hAnsi="仿宋" w:eastAsia="仿宋" w:cs="仿宋"/>
          <w:sz w:val="32"/>
          <w:szCs w:val="32"/>
        </w:rPr>
        <w:t>杭州市拱墅区建设工程质量安全监督站</w:t>
      </w:r>
    </w:p>
    <w:p>
      <w:pPr>
        <w:spacing w:line="480" w:lineRule="auto"/>
        <w:jc w:val="center"/>
        <w:rPr>
          <w:rFonts w:ascii="仿宋" w:hAnsi="仿宋" w:eastAsia="仿宋" w:cs="仿宋_GB2312"/>
          <w:bCs/>
          <w:sz w:val="32"/>
          <w:szCs w:val="32"/>
        </w:rPr>
      </w:pPr>
      <w:r>
        <w:rPr>
          <w:rFonts w:hint="eastAsia" w:ascii="仿宋" w:hAnsi="仿宋" w:eastAsia="仿宋" w:cs="仿宋_GB2312"/>
          <w:bCs/>
          <w:sz w:val="32"/>
          <w:szCs w:val="32"/>
        </w:rPr>
        <w:t>采购代理机构：</w:t>
      </w:r>
      <w:r>
        <w:rPr>
          <w:rFonts w:hint="eastAsia" w:ascii="仿宋" w:hAnsi="仿宋" w:eastAsia="仿宋" w:cs="仿宋"/>
          <w:bCs/>
          <w:sz w:val="32"/>
          <w:szCs w:val="32"/>
        </w:rPr>
        <w:t>浙江省成套工程有限公司</w:t>
      </w:r>
    </w:p>
    <w:p>
      <w:pPr>
        <w:snapToGrid w:val="0"/>
        <w:spacing w:line="480" w:lineRule="auto"/>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w:t>
      </w:r>
      <w:r>
        <w:rPr>
          <w:rFonts w:hint="eastAsia" w:ascii="宋体" w:hAnsi="宋体" w:cs="宋体"/>
          <w:bCs/>
          <w:sz w:val="32"/>
          <w:szCs w:val="32"/>
        </w:rPr>
        <w:t>〇</w:t>
      </w:r>
      <w:r>
        <w:rPr>
          <w:rFonts w:hint="eastAsia" w:ascii="仿宋_GB2312" w:hAnsi="仿宋_GB2312" w:eastAsia="仿宋_GB2312" w:cs="仿宋_GB2312"/>
          <w:bCs/>
          <w:sz w:val="32"/>
          <w:szCs w:val="32"/>
        </w:rPr>
        <w:t>二</w:t>
      </w:r>
      <w:r>
        <w:rPr>
          <w:rFonts w:hint="eastAsia" w:ascii="宋体" w:hAnsi="宋体" w:eastAsia="仿宋_GB2312" w:cs="宋体"/>
          <w:bCs/>
          <w:sz w:val="32"/>
          <w:szCs w:val="32"/>
        </w:rPr>
        <w:t>二</w:t>
      </w:r>
      <w:r>
        <w:rPr>
          <w:rFonts w:hint="eastAsia" w:ascii="仿宋_GB2312" w:hAnsi="仿宋_GB2312" w:eastAsia="仿宋_GB2312" w:cs="仿宋_GB2312"/>
          <w:bCs/>
          <w:sz w:val="32"/>
          <w:szCs w:val="32"/>
        </w:rPr>
        <w:t>年十一月</w:t>
      </w:r>
    </w:p>
    <w:p>
      <w:pPr>
        <w:spacing w:line="48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07423"/>
      <w:bookmarkEnd w:id="4"/>
      <w:bookmarkStart w:id="5" w:name="_Hlt74729822"/>
      <w:bookmarkEnd w:id="5"/>
      <w:bookmarkStart w:id="6" w:name="_Hlt74728647"/>
      <w:bookmarkEnd w:id="6"/>
      <w:bookmarkStart w:id="7" w:name="_Hlt74649545"/>
      <w:bookmarkEnd w:id="7"/>
      <w:bookmarkStart w:id="8" w:name="第二部分"/>
      <w:bookmarkStart w:id="9" w:name="_Toc91899870"/>
      <w:bookmarkStart w:id="10" w:name="_Toc91899871"/>
      <w:r>
        <w:rPr>
          <w:rFonts w:hint="eastAsia" w:ascii="仿宋" w:hAnsi="仿宋" w:eastAsia="仿宋" w:cs="仿宋_GB2312"/>
          <w:b/>
          <w:sz w:val="36"/>
          <w:szCs w:val="20"/>
        </w:rPr>
        <w:t>第一部 分</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仿宋_GB2312" w:hAnsi="仿宋" w:eastAsia="仿宋_GB2312"/>
          <w:sz w:val="24"/>
          <w:u w:val="single"/>
        </w:rPr>
      </w:pPr>
      <w:r>
        <w:rPr>
          <w:rFonts w:hint="eastAsia" w:ascii="仿宋_GB2312" w:hAnsi="仿宋" w:eastAsia="仿宋_GB2312"/>
          <w:b/>
          <w:bCs/>
          <w:sz w:val="24"/>
          <w:u w:val="single"/>
          <w:lang w:val="zh-CN"/>
        </w:rPr>
        <w:t>拱墅区智慧工地监管平台项目</w:t>
      </w:r>
      <w:r>
        <w:rPr>
          <w:rFonts w:hint="eastAsia" w:ascii="仿宋_GB2312" w:hAnsi="仿宋" w:eastAsia="仿宋_GB2312"/>
          <w:sz w:val="24"/>
        </w:rPr>
        <w:t>招标项目的潜在投标人应在政采云平台（</w:t>
      </w:r>
      <w:r>
        <w:fldChar w:fldCharType="begin"/>
      </w:r>
      <w:r>
        <w:instrText xml:space="preserve"> HYPERLINK "https://www.zcygov.cn/）获取（下载）招标文件，并于2021年" </w:instrText>
      </w:r>
      <w:r>
        <w:fldChar w:fldCharType="separate"/>
      </w:r>
      <w:r>
        <w:rPr>
          <w:rStyle w:val="77"/>
          <w:rFonts w:ascii="仿宋_GB2312" w:hAnsi="仿宋" w:eastAsia="仿宋_GB2312" w:cs="Times New Roman"/>
          <w:snapToGrid/>
          <w:color w:val="auto"/>
          <w:kern w:val="2"/>
          <w:sz w:val="24"/>
          <w:szCs w:val="24"/>
        </w:rPr>
        <w:t>https://www.zcygov.cn/）获取（下载）招标文件，并于</w:t>
      </w:r>
      <w:r>
        <w:rPr>
          <w:rFonts w:hint="eastAsia" w:ascii="仿宋_GB2312" w:hAnsi="仿宋" w:eastAsia="仿宋_GB2312"/>
          <w:b/>
          <w:bCs/>
          <w:sz w:val="24"/>
          <w:highlight w:val="yellow"/>
          <w:u w:val="single"/>
        </w:rPr>
        <w:t>2022</w:t>
      </w:r>
      <w:r>
        <w:rPr>
          <w:rFonts w:ascii="仿宋_GB2312" w:hAnsi="仿宋" w:eastAsia="仿宋_GB2312"/>
          <w:b/>
          <w:bCs/>
          <w:sz w:val="24"/>
          <w:highlight w:val="yellow"/>
          <w:u w:val="single"/>
        </w:rPr>
        <w:t>年</w:t>
      </w:r>
      <w:r>
        <w:rPr>
          <w:rFonts w:hint="eastAsia" w:ascii="仿宋_GB2312" w:hAnsi="仿宋" w:eastAsia="仿宋_GB2312"/>
          <w:b/>
          <w:bCs/>
          <w:sz w:val="24"/>
          <w:highlight w:val="yellow"/>
          <w:u w:val="single"/>
          <w:lang w:val="en-US" w:eastAsia="zh-CN"/>
        </w:rPr>
        <w:t>12</w:t>
      </w:r>
      <w:r>
        <w:rPr>
          <w:rFonts w:hint="eastAsia" w:ascii="仿宋_GB2312" w:hAnsi="仿宋" w:eastAsia="仿宋_GB2312"/>
          <w:b/>
          <w:bCs/>
          <w:sz w:val="24"/>
          <w:highlight w:val="yellow"/>
          <w:u w:val="single"/>
        </w:rPr>
        <w:t>月</w:t>
      </w:r>
      <w:r>
        <w:rPr>
          <w:rFonts w:hint="eastAsia" w:ascii="仿宋_GB2312" w:hAnsi="仿宋" w:eastAsia="仿宋_GB2312"/>
          <w:b/>
          <w:bCs/>
          <w:sz w:val="24"/>
          <w:highlight w:val="yellow"/>
          <w:u w:val="single"/>
          <w:lang w:val="en-US" w:eastAsia="zh-CN"/>
        </w:rPr>
        <w:t>02</w:t>
      </w:r>
      <w:r>
        <w:rPr>
          <w:rFonts w:hint="eastAsia" w:ascii="仿宋_GB2312" w:hAnsi="仿宋" w:eastAsia="仿宋_GB2312"/>
          <w:b/>
          <w:bCs/>
          <w:sz w:val="24"/>
          <w:highlight w:val="yellow"/>
          <w:u w:val="single"/>
        </w:rPr>
        <w:t xml:space="preserve">日 </w:t>
      </w:r>
      <w:r>
        <w:rPr>
          <w:rFonts w:hint="eastAsia" w:ascii="仿宋_GB2312" w:hAnsi="仿宋" w:eastAsia="仿宋_GB2312"/>
          <w:b/>
          <w:bCs/>
          <w:sz w:val="24"/>
          <w:highlight w:val="yellow"/>
          <w:u w:val="single"/>
          <w:lang w:val="en-US" w:eastAsia="zh-CN"/>
        </w:rPr>
        <w:t>09</w:t>
      </w:r>
      <w:r>
        <w:rPr>
          <w:rFonts w:hint="eastAsia" w:ascii="仿宋_GB2312" w:hAnsi="仿宋" w:eastAsia="仿宋_GB2312"/>
          <w:b/>
          <w:bCs/>
          <w:sz w:val="24"/>
          <w:highlight w:val="yellow"/>
          <w:u w:val="single"/>
        </w:rPr>
        <w:t>点</w:t>
      </w:r>
      <w:r>
        <w:rPr>
          <w:rFonts w:hint="eastAsia" w:ascii="仿宋_GB2312" w:hAnsi="仿宋" w:eastAsia="仿宋_GB2312"/>
          <w:b/>
          <w:bCs/>
          <w:sz w:val="24"/>
          <w:highlight w:val="yellow"/>
          <w:u w:val="single"/>
          <w:lang w:val="en-US" w:eastAsia="zh-CN"/>
        </w:rPr>
        <w:t>30</w:t>
      </w:r>
      <w:r>
        <w:rPr>
          <w:rFonts w:hint="eastAsia" w:ascii="仿宋_GB2312" w:hAnsi="仿宋" w:eastAsia="仿宋_GB2312"/>
          <w:b/>
          <w:bCs/>
          <w:sz w:val="24"/>
          <w:highlight w:val="yellow"/>
          <w:u w:val="single"/>
        </w:rPr>
        <w:t>分00秒</w:t>
      </w:r>
      <w:r>
        <w:rPr>
          <w:rFonts w:hint="eastAsia" w:ascii="仿宋_GB2312" w:hAnsi="仿宋" w:eastAsia="仿宋_GB2312"/>
          <w:b/>
          <w:bCs/>
          <w:sz w:val="24"/>
          <w:highlight w:val="yellow"/>
          <w:u w:val="single"/>
        </w:rP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p>
    <w:p>
      <w:pPr>
        <w:spacing w:line="360" w:lineRule="auto"/>
        <w:rPr>
          <w:rFonts w:ascii="仿宋_GB2312" w:hAnsi="仿宋" w:eastAsia="仿宋_GB2312"/>
          <w:sz w:val="24"/>
        </w:rPr>
      </w:pPr>
      <w:r>
        <w:rPr>
          <w:rFonts w:ascii="仿宋_GB2312" w:hAnsi="仿宋" w:eastAsia="仿宋_GB2312"/>
          <w:sz w:val="24"/>
        </w:rPr>
        <w:t xml:space="preserve">    </w:t>
      </w:r>
      <w:r>
        <w:rPr>
          <w:rFonts w:hint="eastAsia" w:ascii="仿宋_GB2312" w:hAnsi="仿宋" w:eastAsia="仿宋_GB2312"/>
          <w:b/>
          <w:sz w:val="24"/>
        </w:rPr>
        <w:t>项目编号：</w:t>
      </w:r>
      <w:r>
        <w:rPr>
          <w:rFonts w:hint="eastAsia" w:ascii="仿宋" w:hAnsi="仿宋" w:eastAsia="仿宋" w:cs="仿宋"/>
          <w:b/>
          <w:bCs/>
          <w:sz w:val="24"/>
        </w:rPr>
        <w:t>ZJCT6-2022GKCG-063</w:t>
      </w:r>
    </w:p>
    <w:p>
      <w:pPr>
        <w:spacing w:line="360" w:lineRule="auto"/>
        <w:rPr>
          <w:rFonts w:ascii="仿宋_GB2312" w:hAnsi="仿宋" w:eastAsia="仿宋_GB2312"/>
          <w:sz w:val="24"/>
        </w:rPr>
      </w:pPr>
      <w:r>
        <w:rPr>
          <w:rFonts w:ascii="仿宋_GB2312" w:hAnsi="仿宋" w:eastAsia="仿宋_GB2312"/>
          <w:sz w:val="24"/>
        </w:rPr>
        <w:t xml:space="preserve">   </w:t>
      </w:r>
      <w:r>
        <w:rPr>
          <w:rFonts w:ascii="仿宋_GB2312" w:hAnsi="仿宋" w:eastAsia="仿宋_GB2312"/>
          <w:b/>
          <w:sz w:val="24"/>
        </w:rPr>
        <w:t xml:space="preserve"> 项目名称：</w:t>
      </w:r>
      <w:r>
        <w:rPr>
          <w:rFonts w:hint="eastAsia" w:ascii="仿宋_GB2312" w:hAnsi="仿宋" w:eastAsia="仿宋_GB2312"/>
          <w:b/>
          <w:sz w:val="24"/>
          <w:lang w:val="zh-CN"/>
        </w:rPr>
        <w:t>拱墅区智慧工地监管平台项目</w:t>
      </w:r>
    </w:p>
    <w:p>
      <w:pPr>
        <w:spacing w:line="360" w:lineRule="auto"/>
        <w:rPr>
          <w:rFonts w:ascii="仿宋_GB2312" w:hAnsi="仿宋" w:eastAsia="仿宋_GB2312"/>
          <w:sz w:val="24"/>
          <w:highlight w:val="cyan"/>
        </w:rPr>
      </w:pPr>
      <w:r>
        <w:rPr>
          <w:rFonts w:ascii="仿宋_GB2312" w:hAnsi="仿宋" w:eastAsia="仿宋_GB2312"/>
          <w:sz w:val="24"/>
        </w:rPr>
        <w:t xml:space="preserve">   </w:t>
      </w:r>
      <w:r>
        <w:rPr>
          <w:rFonts w:ascii="仿宋_GB2312" w:hAnsi="仿宋" w:eastAsia="仿宋_GB2312"/>
          <w:b/>
          <w:sz w:val="24"/>
        </w:rPr>
        <w:t xml:space="preserve"> 预算金额（元）：</w:t>
      </w:r>
      <w:r>
        <w:rPr>
          <w:rFonts w:hint="eastAsia" w:ascii="仿宋_GB2312" w:hAnsi="仿宋" w:eastAsia="仿宋_GB2312"/>
          <w:b/>
          <w:sz w:val="24"/>
          <w:highlight w:val="cyan"/>
        </w:rPr>
        <w:t>750000</w:t>
      </w:r>
    </w:p>
    <w:p>
      <w:pPr>
        <w:spacing w:line="360" w:lineRule="auto"/>
        <w:ind w:firstLine="480"/>
        <w:rPr>
          <w:rFonts w:ascii="仿宋_GB2312" w:hAnsi="仿宋" w:eastAsia="仿宋_GB2312"/>
          <w:sz w:val="24"/>
        </w:rPr>
      </w:pPr>
      <w:r>
        <w:rPr>
          <w:rFonts w:hint="eastAsia" w:ascii="仿宋_GB2312" w:hAnsi="仿宋" w:eastAsia="仿宋_GB2312"/>
          <w:b/>
          <w:sz w:val="24"/>
        </w:rPr>
        <w:t>最高限价（元）：</w:t>
      </w:r>
      <w:r>
        <w:rPr>
          <w:rFonts w:hint="eastAsia" w:ascii="仿宋_GB2312" w:hAnsi="仿宋" w:eastAsia="仿宋_GB2312"/>
          <w:b/>
          <w:sz w:val="24"/>
          <w:highlight w:val="cyan"/>
        </w:rPr>
        <w:t>750000</w:t>
      </w:r>
    </w:p>
    <w:p>
      <w:pPr>
        <w:pStyle w:val="16"/>
        <w:spacing w:line="360" w:lineRule="auto"/>
        <w:ind w:firstLine="480"/>
        <w:rPr>
          <w:rFonts w:ascii="仿宋_GB2312" w:hAnsi="仿宋" w:eastAsia="仿宋_GB2312"/>
          <w:bCs/>
          <w:snapToGrid/>
          <w:color w:val="auto"/>
          <w:kern w:val="2"/>
          <w:sz w:val="24"/>
          <w:szCs w:val="24"/>
        </w:rPr>
      </w:pPr>
      <w:r>
        <w:rPr>
          <w:rFonts w:hint="eastAsia" w:ascii="仿宋_GB2312" w:hAnsi="仿宋" w:eastAsia="仿宋_GB2312"/>
          <w:b/>
          <w:color w:val="auto"/>
          <w:sz w:val="24"/>
        </w:rPr>
        <w:t>采购需求：</w:t>
      </w:r>
      <w:r>
        <w:rPr>
          <w:rFonts w:hint="eastAsia" w:ascii="仿宋_GB2312" w:hAnsi="仿宋" w:eastAsia="仿宋_GB2312"/>
          <w:bCs/>
          <w:snapToGrid/>
          <w:color w:val="auto"/>
          <w:kern w:val="2"/>
          <w:sz w:val="24"/>
          <w:szCs w:val="24"/>
          <w:lang w:val="zh-CN"/>
        </w:rPr>
        <w:t>拱墅区智慧工地监管平台项目</w:t>
      </w:r>
      <w:r>
        <w:rPr>
          <w:rFonts w:hint="eastAsia" w:ascii="仿宋_GB2312" w:hAnsi="仿宋" w:eastAsia="仿宋_GB2312"/>
          <w:bCs/>
          <w:snapToGrid/>
          <w:color w:val="auto"/>
          <w:kern w:val="2"/>
          <w:sz w:val="24"/>
          <w:szCs w:val="24"/>
        </w:rPr>
        <w:t>主要内容：</w:t>
      </w:r>
      <w:r>
        <w:rPr>
          <w:rFonts w:hint="eastAsia" w:ascii="仿宋" w:hAnsi="仿宋" w:eastAsia="仿宋" w:cs="仿宋"/>
          <w:bCs/>
          <w:snapToGrid/>
          <w:color w:val="auto"/>
          <w:kern w:val="2"/>
          <w:sz w:val="24"/>
          <w:szCs w:val="24"/>
        </w:rPr>
        <w:t>包括数据中心、监督管理、现场管理、人员管理、机械管理、系统管理、综合驾驶舱、手机移动端，包括且不限于软件、等保、软件测试等相关内容。</w:t>
      </w:r>
      <w:r>
        <w:rPr>
          <w:rFonts w:hint="eastAsia" w:ascii="仿宋_GB2312" w:hAnsi="仿宋" w:eastAsia="仿宋_GB2312"/>
          <w:bCs/>
          <w:snapToGrid/>
          <w:color w:val="auto"/>
          <w:kern w:val="2"/>
          <w:sz w:val="24"/>
          <w:szCs w:val="24"/>
        </w:rPr>
        <w:t>详见招标文件第三部分采购需求。</w:t>
      </w:r>
    </w:p>
    <w:p>
      <w:pPr>
        <w:pStyle w:val="131"/>
        <w:ind w:firstLine="482"/>
        <w:outlineLvl w:val="2"/>
        <w:rPr>
          <w:rFonts w:ascii="仿宋_GB2312" w:hAnsi="仿宋" w:eastAsia="仿宋_GB2312"/>
        </w:rPr>
      </w:pPr>
      <w:r>
        <w:rPr>
          <w:rFonts w:hint="eastAsia" w:ascii="仿宋_GB2312" w:hAnsi="仿宋" w:eastAsia="仿宋_GB2312"/>
          <w:b/>
        </w:rPr>
        <w:t>合同履约期限：</w:t>
      </w:r>
      <w:r>
        <w:rPr>
          <w:rFonts w:hint="eastAsia" w:ascii="仿宋_GB2312" w:hAnsi="仿宋" w:eastAsia="仿宋_GB2312" w:cs="仿宋_GB2312"/>
          <w:sz w:val="24"/>
          <w:highlight w:val="yellow"/>
        </w:rPr>
        <w:t>合同签订后30天内完成系统开发及应用部署。</w:t>
      </w:r>
    </w:p>
    <w:p>
      <w:pPr>
        <w:pStyle w:val="16"/>
        <w:spacing w:line="360" w:lineRule="auto"/>
        <w:ind w:firstLine="480"/>
        <w:rPr>
          <w:rFonts w:ascii="仿宋_GB2312" w:hAnsi="仿宋" w:eastAsia="仿宋_GB2312"/>
          <w:b/>
          <w:sz w:val="24"/>
        </w:rPr>
      </w:pPr>
      <w:r>
        <w:rPr>
          <w:rFonts w:hint="eastAsia" w:ascii="仿宋_GB2312" w:hAnsi="仿宋" w:eastAsia="仿宋_GB2312"/>
          <w:b/>
          <w:color w:val="auto"/>
          <w:sz w:val="24"/>
        </w:rPr>
        <w:t>本项目接受联合体投标：</w:t>
      </w:r>
      <w:sdt>
        <w:sdtPr>
          <w:rPr>
            <w:rFonts w:hint="eastAsia" w:ascii="仿宋_GB2312" w:hAnsi="仿宋" w:eastAsia="仿宋_GB2312" w:cs="Arial"/>
            <w:color w:val="auto"/>
            <w:kern w:val="0"/>
            <w:sz w:val="24"/>
          </w:rPr>
          <w:id w:val="2035453831"/>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Wingdings" w:hAnsi="Wingdings" w:eastAsia="MS Gothic" w:cs="Arial"/>
              <w:color w:val="auto"/>
              <w:kern w:val="0"/>
              <w:sz w:val="24"/>
            </w:rPr>
            <w:t></w:t>
          </w:r>
        </w:sdtContent>
      </w:sdt>
      <w:r>
        <w:rPr>
          <w:rFonts w:hint="eastAsia" w:ascii="仿宋_GB2312" w:hAnsi="仿宋" w:eastAsia="仿宋_GB2312"/>
          <w:b/>
          <w:color w:val="auto"/>
          <w:sz w:val="24"/>
        </w:rPr>
        <w:t>是，</w:t>
      </w:r>
      <w:sdt>
        <w:sdtPr>
          <w:rPr>
            <w:rFonts w:hint="eastAsia" w:ascii="仿宋_GB2312" w:hAnsi="仿宋" w:eastAsia="仿宋_GB2312" w:cs="Arial"/>
            <w:color w:val="auto"/>
            <w:kern w:val="0"/>
            <w:sz w:val="24"/>
          </w:rPr>
          <w:id w:val="-1765526721"/>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hint="eastAsia" w:ascii="MS Gothic" w:hAnsi="MS Gothic" w:eastAsia="MS Gothic" w:cs="Arial"/>
              <w:color w:val="auto"/>
              <w:kern w:val="0"/>
              <w:sz w:val="24"/>
            </w:rPr>
            <w:t>☐</w:t>
          </w:r>
        </w:sdtContent>
      </w:sdt>
      <w:r>
        <w:rPr>
          <w:rFonts w:hint="eastAsia" w:ascii="仿宋_GB2312" w:hAnsi="仿宋" w:eastAsia="仿宋_GB2312"/>
          <w:b/>
          <w:color w:val="auto"/>
          <w:sz w:val="24"/>
        </w:rPr>
        <w:t>否</w:t>
      </w:r>
      <w:r>
        <w:rPr>
          <w:rFonts w:hint="eastAsia" w:cs="Arial" w:asciiTheme="minorEastAsia" w:hAnsiTheme="minorEastAsia" w:eastAsiaTheme="minorEastAsia"/>
          <w:color w:val="auto"/>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rPr>
          <w:rFonts w:ascii="仿宋" w:hAnsi="仿宋" w:eastAsia="仿宋" w:cs="仿宋_GB2312"/>
          <w:snapToGrid w:val="0"/>
          <w:kern w:val="28"/>
          <w:sz w:val="24"/>
          <w:szCs w:val="20"/>
        </w:rPr>
      </w:pPr>
      <w:r>
        <w:rPr>
          <w:rFonts w:ascii="仿宋" w:hAnsi="仿宋" w:eastAsia="仿宋" w:cs="仿宋_GB2312"/>
          <w:snapToGrid w:val="0"/>
          <w:kern w:val="28"/>
          <w:sz w:val="24"/>
          <w:szCs w:val="20"/>
        </w:rPr>
        <w:t>1.</w:t>
      </w:r>
      <w:r>
        <w:rPr>
          <w:rFonts w:hint="eastAsia" w:ascii="仿宋_GB2312" w:hAnsi="仿宋" w:eastAsia="仿宋_GB2312"/>
          <w:sz w:val="24"/>
        </w:rPr>
        <w:t>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kern w:val="28"/>
          <w:sz w:val="24"/>
          <w:szCs w:val="20"/>
        </w:rPr>
      </w:pPr>
      <w:r>
        <w:rPr>
          <w:rFonts w:ascii="仿宋" w:hAnsi="仿宋" w:eastAsia="仿宋" w:cs="仿宋_GB2312"/>
          <w:snapToGrid w:val="0"/>
          <w:kern w:val="28"/>
          <w:sz w:val="24"/>
          <w:szCs w:val="20"/>
        </w:rPr>
        <w:t xml:space="preserve">    2.</w:t>
      </w:r>
      <w:r>
        <w:rPr>
          <w:rFonts w:hint="eastAsia" w:ascii="仿宋_GB2312" w:hAnsi="仿宋" w:eastAsia="仿宋_GB2312"/>
          <w:sz w:val="24"/>
        </w:rPr>
        <w:t>落实政府采购政策需满足的资格要求：</w:t>
      </w:r>
    </w:p>
    <w:p>
      <w:pPr>
        <w:spacing w:line="360" w:lineRule="auto"/>
        <w:ind w:firstLine="480" w:firstLineChars="200"/>
        <w:rPr>
          <w:rFonts w:ascii="仿宋_GB2312" w:hAnsi="仿宋" w:eastAsia="仿宋_GB2312"/>
          <w:sz w:val="24"/>
        </w:rPr>
      </w:pPr>
      <w:sdt>
        <w:sdtPr>
          <w:rPr>
            <w:rFonts w:hint="eastAsia" w:ascii="仿宋_GB2312" w:hAnsi="仿宋" w:eastAsia="仿宋_GB2312" w:cs="Arial"/>
            <w:kern w:val="0"/>
            <w:sz w:val="24"/>
          </w:rPr>
          <w:id w:val="1928616923"/>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MS Gothic" w:cs="Arial"/>
              <w:kern w:val="0"/>
              <w:sz w:val="24"/>
            </w:rPr>
            <w:t></w:t>
          </w:r>
        </w:sdtContent>
      </w:sdt>
      <w:r>
        <w:rPr>
          <w:rFonts w:hint="eastAsia" w:ascii="仿宋_GB2312" w:hAnsi="仿宋" w:eastAsia="仿宋_GB2312"/>
          <w:sz w:val="24"/>
        </w:rPr>
        <w:t>无；</w:t>
      </w:r>
    </w:p>
    <w:p>
      <w:pPr>
        <w:spacing w:line="360" w:lineRule="auto"/>
        <w:ind w:firstLine="480" w:firstLineChars="200"/>
        <w:rPr>
          <w:rFonts w:ascii="仿宋_GB2312" w:hAnsi="仿宋" w:eastAsia="仿宋_GB2312"/>
          <w:sz w:val="24"/>
        </w:rPr>
      </w:pPr>
      <w:sdt>
        <w:sdtPr>
          <w:rPr>
            <w:rFonts w:hint="eastAsia" w:ascii="仿宋_GB2312" w:hAnsi="仿宋" w:eastAsia="仿宋_GB2312" w:cs="Arial"/>
            <w:kern w:val="0"/>
            <w:sz w:val="24"/>
          </w:rPr>
          <w:id w:val="-1024704304"/>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hint="eastAsia" w:ascii="MS Gothic" w:hAnsi="MS Gothic" w:eastAsia="MS Gothic" w:cs="Arial"/>
              <w:kern w:val="0"/>
              <w:sz w:val="24"/>
            </w:rPr>
            <w:t>☐</w:t>
          </w:r>
        </w:sdtContent>
      </w:sdt>
      <w:r>
        <w:rPr>
          <w:rFonts w:hint="eastAsia" w:ascii="仿宋_GB2312" w:hAnsi="仿宋" w:eastAsia="仿宋_GB2312" w:cs="Arial"/>
          <w:kern w:val="0"/>
          <w:sz w:val="24"/>
        </w:rPr>
        <w:t>专</w:t>
      </w:r>
      <w:r>
        <w:rPr>
          <w:rFonts w:hint="eastAsia" w:ascii="仿宋_GB2312" w:hAnsi="仿宋" w:eastAsia="仿宋_GB2312"/>
          <w:sz w:val="24"/>
        </w:rPr>
        <w:t>门面向中小企业</w:t>
      </w:r>
    </w:p>
    <w:p>
      <w:pPr>
        <w:spacing w:line="360" w:lineRule="auto"/>
        <w:ind w:firstLine="897" w:firstLineChars="374"/>
        <w:rPr>
          <w:rFonts w:ascii="仿宋" w:hAnsi="仿宋" w:eastAsia="仿宋" w:cs="仿宋"/>
          <w:sz w:val="24"/>
          <w:u w:val="single"/>
        </w:rPr>
      </w:pPr>
      <w:r>
        <w:rPr>
          <w:rFonts w:hint="eastAsia" w:ascii="仿宋" w:hAnsi="仿宋" w:eastAsia="仿宋" w:cs="仿宋"/>
          <w:kern w:val="0"/>
          <w:sz w:val="24"/>
        </w:rPr>
        <w:sym w:font="Wingdings" w:char="F0A8"/>
      </w:r>
      <w:r>
        <w:rPr>
          <w:rFonts w:hint="eastAsia" w:ascii="仿宋" w:hAnsi="仿宋" w:eastAsia="仿宋" w:cs="仿宋"/>
          <w:sz w:val="24"/>
        </w:rPr>
        <w:t>货物全部由符合政策要求的中小企业制造，提供中小企业声明函；</w:t>
      </w:r>
    </w:p>
    <w:p>
      <w:pPr>
        <w:spacing w:line="360" w:lineRule="auto"/>
        <w:ind w:firstLine="897" w:firstLineChars="374"/>
        <w:rPr>
          <w:rFonts w:ascii="仿宋" w:hAnsi="仿宋" w:eastAsia="仿宋" w:cs="仿宋"/>
          <w:sz w:val="24"/>
        </w:rPr>
      </w:pPr>
      <w:r>
        <w:rPr>
          <w:rFonts w:hint="eastAsia" w:ascii="仿宋" w:hAnsi="仿宋" w:eastAsia="仿宋" w:cs="仿宋"/>
          <w:kern w:val="0"/>
          <w:sz w:val="24"/>
        </w:rPr>
        <w:sym w:font="Wingdings" w:char="F0A8"/>
      </w:r>
      <w:r>
        <w:rPr>
          <w:rFonts w:hint="eastAsia" w:ascii="仿宋" w:hAnsi="仿宋" w:eastAsia="仿宋" w:cs="仿宋"/>
          <w:sz w:val="24"/>
        </w:rPr>
        <w:t>货物全部由符合政策要求的小微企业制造，提供中小企业声明函；</w:t>
      </w:r>
    </w:p>
    <w:p>
      <w:pPr>
        <w:spacing w:line="360" w:lineRule="auto"/>
        <w:ind w:firstLine="897" w:firstLineChars="374"/>
        <w:rPr>
          <w:rFonts w:ascii="仿宋" w:hAnsi="仿宋" w:eastAsia="仿宋" w:cs="仿宋"/>
          <w:sz w:val="24"/>
        </w:rPr>
      </w:pPr>
      <w:r>
        <w:rPr>
          <w:rFonts w:hint="eastAsia" w:ascii="仿宋" w:hAnsi="仿宋" w:eastAsia="仿宋" w:cs="仿宋"/>
          <w:kern w:val="0"/>
          <w:sz w:val="24"/>
        </w:rPr>
        <w:sym w:font="Wingdings" w:char="00A8"/>
      </w:r>
      <w:r>
        <w:rPr>
          <w:rFonts w:hint="eastAsia" w:ascii="仿宋" w:hAnsi="仿宋" w:eastAsia="仿宋" w:cs="仿宋"/>
          <w:sz w:val="24"/>
        </w:rPr>
        <w:t>服务全部由符合政策要求的中小企业承接，提供中小企业声明函；</w:t>
      </w:r>
    </w:p>
    <w:p>
      <w:pPr>
        <w:spacing w:line="360" w:lineRule="auto"/>
        <w:ind w:firstLine="897" w:firstLineChars="374"/>
        <w:rPr>
          <w:rFonts w:ascii="仿宋" w:hAnsi="仿宋" w:eastAsia="仿宋" w:cs="仿宋"/>
        </w:rPr>
      </w:pPr>
      <w:r>
        <w:rPr>
          <w:rFonts w:hint="eastAsia" w:ascii="仿宋" w:hAnsi="仿宋" w:eastAsia="仿宋" w:cs="仿宋"/>
          <w:kern w:val="0"/>
          <w:sz w:val="24"/>
        </w:rPr>
        <w:sym w:font="Wingdings" w:char="00A8"/>
      </w:r>
      <w:r>
        <w:rPr>
          <w:rFonts w:hint="eastAsia" w:ascii="仿宋" w:hAnsi="仿宋" w:eastAsia="仿宋" w:cs="仿宋"/>
          <w:sz w:val="24"/>
        </w:rPr>
        <w:t>服务全部由符合政策要求的小微企业承接，提供中小企业声明函；</w:t>
      </w:r>
    </w:p>
    <w:p/>
    <w:p>
      <w:pPr>
        <w:spacing w:line="360" w:lineRule="auto"/>
        <w:ind w:firstLine="480" w:firstLineChars="200"/>
        <w:rPr>
          <w:rFonts w:ascii="仿宋" w:hAnsi="仿宋" w:eastAsia="仿宋"/>
          <w:sz w:val="24"/>
        </w:rPr>
      </w:pPr>
      <w:sdt>
        <w:sdtPr>
          <w:rPr>
            <w:rFonts w:hint="eastAsia" w:ascii="仿宋_GB2312" w:hAnsi="仿宋" w:eastAsia="仿宋_GB2312" w:cs="Arial"/>
            <w:kern w:val="0"/>
            <w:sz w:val="24"/>
          </w:rPr>
          <w:id w:val="-1985607795"/>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_GB2312" w:hAnsi="仿宋" w:eastAsia="仿宋_GB2312"/>
          <w:sz w:val="24"/>
        </w:rPr>
        <w:t>要求以联合体形式参加，提供联合协议和中小企业声明函，联合协议中中小企业合同金额应当达到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微企业合同金额应当达到</w:t>
      </w:r>
      <w:r>
        <w:rPr>
          <w:rFonts w:ascii="仿宋_GB2312" w:hAnsi="仿宋" w:eastAsia="仿宋_GB2312"/>
          <w:sz w:val="24"/>
          <w:u w:val="single"/>
        </w:rPr>
        <w:t xml:space="preserve"> </w:t>
      </w:r>
      <w:r>
        <w:rPr>
          <w:rFonts w:hint="eastAsia"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sz w:val="24"/>
        </w:rPr>
        <w:t>如果供应商本身提供所有标的均由中小企业制造、承建或承接，视同符合了资格条件，无需再与其他中小企业组成联合体参加政府采购活动，无需提供联合协议；</w:t>
      </w:r>
    </w:p>
    <w:p>
      <w:pPr>
        <w:spacing w:line="360" w:lineRule="auto"/>
        <w:ind w:firstLine="480" w:firstLineChars="200"/>
        <w:rPr>
          <w:rFonts w:ascii="仿宋" w:hAnsi="仿宋" w:eastAsia="仿宋"/>
          <w:sz w:val="24"/>
        </w:rPr>
      </w:pPr>
      <w:sdt>
        <w:sdtPr>
          <w:rPr>
            <w:rFonts w:hint="eastAsia" w:ascii="仿宋_GB2312" w:hAnsi="仿宋" w:eastAsia="仿宋_GB2312" w:cs="Arial"/>
            <w:kern w:val="0"/>
            <w:sz w:val="24"/>
          </w:rPr>
          <w:id w:val="34630645"/>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 w:hAnsi="仿宋" w:eastAsia="仿宋"/>
          <w:sz w:val="24"/>
        </w:rPr>
        <w:t>要</w:t>
      </w:r>
      <w:r>
        <w:rPr>
          <w:rFonts w:hint="eastAsia" w:ascii="仿宋_GB2312" w:hAnsi="仿宋" w:eastAsia="仿宋_GB2312"/>
          <w:sz w:val="24"/>
        </w:rPr>
        <w:t>求合同分包，提供分包意向协议和中小企业声明函，分包意向协议中中小企业合同金额应当达到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sz w:val="24"/>
        </w:rPr>
        <w:t>，小微企业合同金额应当达到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sz w:val="24"/>
        </w:rPr>
        <w:t>如果供应商本身提供所有标的均由中小企业制造、承建或承接，视同符合了资格条件，无需再向中小企业分包，无需提供分包意向协议；</w:t>
      </w:r>
    </w:p>
    <w:p>
      <w:pPr>
        <w:spacing w:line="360" w:lineRule="auto"/>
        <w:ind w:firstLine="480" w:firstLineChars="200"/>
        <w:rPr>
          <w:rFonts w:ascii="仿宋_GB2312" w:hAnsi="仿宋" w:eastAsia="仿宋_GB2312"/>
          <w:sz w:val="24"/>
        </w:rPr>
      </w:pPr>
      <w:r>
        <w:rPr>
          <w:rFonts w:ascii="仿宋_GB2312" w:hAnsi="仿宋" w:eastAsia="仿宋_GB2312"/>
          <w:sz w:val="24"/>
        </w:rPr>
        <w:t>3.本项目的特定资格要求：无</w:t>
      </w:r>
      <w:r>
        <w:rPr>
          <w:rFonts w:hint="eastAsia" w:ascii="仿宋_GB2312" w:hAnsi="仿宋" w:eastAsia="仿宋_GB2312"/>
          <w:sz w:val="24"/>
        </w:rPr>
        <w:t>；</w:t>
      </w:r>
    </w:p>
    <w:p>
      <w:pPr>
        <w:snapToGrid w:val="0"/>
        <w:spacing w:line="360" w:lineRule="auto"/>
        <w:ind w:firstLine="480" w:firstLineChars="200"/>
        <w:rPr>
          <w:rFonts w:ascii="仿宋_GB2312" w:hAnsi="仿宋" w:eastAsia="仿宋_GB2312"/>
          <w:sz w:val="24"/>
        </w:rPr>
      </w:pPr>
      <w:r>
        <w:rPr>
          <w:rFonts w:ascii="仿宋_GB2312" w:hAnsi="仿宋" w:eastAsia="仿宋_GB2312"/>
          <w:sz w:val="24"/>
        </w:rPr>
        <w:t>4.</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sz w:val="24"/>
        </w:rPr>
        <w:t>为采购项目提供整体设计、规范编制或者项目管理、监理、检测等服务后</w:t>
      </w:r>
      <w:r>
        <w:rPr>
          <w:rFonts w:hint="eastAsia" w:ascii="仿宋_GB2312" w:hAnsi="仿宋" w:eastAsia="仿宋_GB2312"/>
          <w:sz w:val="24"/>
        </w:rPr>
        <w:t>不得</w:t>
      </w:r>
      <w:r>
        <w:rPr>
          <w:rFonts w:ascii="仿宋_GB2312" w:hAnsi="仿宋" w:eastAsia="仿宋_GB2312"/>
          <w:sz w:val="24"/>
        </w:rPr>
        <w:t>再参加该采购项目的其他采购活动</w:t>
      </w:r>
      <w:r>
        <w:rPr>
          <w:rFonts w:ascii="仿宋_GB2312" w:hAnsi="仿宋" w:eastAsia="仿宋_GB2312" w:cs="仿宋_GB2312"/>
          <w:sz w:val="24"/>
        </w:rPr>
        <w:t>。</w:t>
      </w:r>
    </w:p>
    <w:p>
      <w:pPr>
        <w:spacing w:line="360" w:lineRule="auto"/>
        <w:rPr>
          <w:rFonts w:ascii="仿宋_GB2312" w:hAnsi="仿宋" w:eastAsia="仿宋_GB2312"/>
          <w:b/>
          <w:sz w:val="24"/>
        </w:rPr>
      </w:pPr>
      <w:r>
        <w:rPr>
          <w:rFonts w:hint="eastAsia" w:ascii="仿宋_GB2312" w:hAnsi="仿宋" w:eastAsia="仿宋_GB2312"/>
          <w:b/>
          <w:sz w:val="24"/>
        </w:rPr>
        <w:t>三、获取招标文件</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hint="eastAsia" w:ascii="仿宋_GB2312" w:hAnsi="仿宋" w:eastAsia="仿宋_GB2312"/>
          <w:b/>
          <w:bCs/>
          <w:sz w:val="24"/>
          <w:highlight w:val="yellow"/>
          <w:u w:val="single"/>
        </w:rPr>
        <w:t>2022</w:t>
      </w:r>
      <w:r>
        <w:rPr>
          <w:rFonts w:ascii="仿宋_GB2312" w:hAnsi="仿宋" w:eastAsia="仿宋_GB2312"/>
          <w:b/>
          <w:bCs/>
          <w:sz w:val="24"/>
          <w:highlight w:val="yellow"/>
          <w:u w:val="single"/>
        </w:rPr>
        <w:t>年</w:t>
      </w:r>
      <w:r>
        <w:rPr>
          <w:rFonts w:hint="eastAsia" w:ascii="仿宋_GB2312" w:hAnsi="仿宋" w:eastAsia="仿宋_GB2312"/>
          <w:b/>
          <w:bCs/>
          <w:sz w:val="24"/>
          <w:highlight w:val="yellow"/>
          <w:u w:val="single"/>
          <w:lang w:val="en-US" w:eastAsia="zh-CN"/>
        </w:rPr>
        <w:t>12</w:t>
      </w:r>
      <w:r>
        <w:rPr>
          <w:rFonts w:hint="eastAsia" w:ascii="仿宋_GB2312" w:hAnsi="仿宋" w:eastAsia="仿宋_GB2312"/>
          <w:b/>
          <w:bCs/>
          <w:sz w:val="24"/>
          <w:highlight w:val="yellow"/>
          <w:u w:val="single"/>
        </w:rPr>
        <w:t>月</w:t>
      </w:r>
      <w:r>
        <w:rPr>
          <w:rFonts w:hint="eastAsia" w:ascii="仿宋_GB2312" w:hAnsi="仿宋" w:eastAsia="仿宋_GB2312"/>
          <w:b/>
          <w:bCs/>
          <w:sz w:val="24"/>
          <w:highlight w:val="yellow"/>
          <w:u w:val="single"/>
          <w:lang w:val="en-US" w:eastAsia="zh-CN"/>
        </w:rPr>
        <w:t>02</w:t>
      </w:r>
      <w:r>
        <w:rPr>
          <w:rFonts w:hint="eastAsia" w:ascii="仿宋_GB2312" w:hAnsi="仿宋" w:eastAsia="仿宋_GB2312"/>
          <w:b/>
          <w:bCs/>
          <w:sz w:val="24"/>
          <w:highlight w:val="yellow"/>
          <w:u w:val="single"/>
        </w:rPr>
        <w:t xml:space="preserve">日 </w:t>
      </w:r>
      <w:r>
        <w:rPr>
          <w:rFonts w:hint="eastAsia" w:ascii="仿宋_GB2312" w:hAnsi="仿宋" w:eastAsia="仿宋_GB2312"/>
          <w:b/>
          <w:bCs/>
          <w:sz w:val="24"/>
          <w:highlight w:val="yellow"/>
          <w:u w:val="single"/>
          <w:lang w:val="en-US" w:eastAsia="zh-CN"/>
        </w:rPr>
        <w:t>09</w:t>
      </w:r>
      <w:r>
        <w:rPr>
          <w:rFonts w:hint="eastAsia" w:ascii="仿宋_GB2312" w:hAnsi="仿宋" w:eastAsia="仿宋_GB2312"/>
          <w:b/>
          <w:bCs/>
          <w:sz w:val="24"/>
          <w:highlight w:val="yellow"/>
          <w:u w:val="single"/>
        </w:rPr>
        <w:t>点</w:t>
      </w:r>
      <w:r>
        <w:rPr>
          <w:rFonts w:hint="eastAsia" w:ascii="仿宋_GB2312" w:hAnsi="仿宋" w:eastAsia="仿宋_GB2312"/>
          <w:b/>
          <w:bCs/>
          <w:sz w:val="24"/>
          <w:highlight w:val="yellow"/>
          <w:u w:val="single"/>
          <w:lang w:val="en-US" w:eastAsia="zh-CN"/>
        </w:rPr>
        <w:t>30</w:t>
      </w:r>
      <w:r>
        <w:rPr>
          <w:rFonts w:hint="eastAsia" w:ascii="仿宋_GB2312" w:hAnsi="仿宋" w:eastAsia="仿宋_GB2312"/>
          <w:b/>
          <w:bCs/>
          <w:sz w:val="24"/>
          <w:highlight w:val="yellow"/>
          <w:u w:val="single"/>
        </w:rPr>
        <w:t>分</w:t>
      </w:r>
      <w:r>
        <w:rPr>
          <w:rFonts w:hint="eastAsia" w:ascii="仿宋_GB2312" w:hAnsi="仿宋" w:eastAsia="仿宋_GB2312"/>
          <w:sz w:val="24"/>
          <w:highlight w:val="yellow"/>
        </w:rPr>
        <w:t>，</w:t>
      </w:r>
      <w:r>
        <w:rPr>
          <w:rFonts w:hint="eastAsia" w:ascii="仿宋_GB2312" w:hAnsi="仿宋" w:eastAsia="仿宋_GB2312"/>
          <w:sz w:val="24"/>
        </w:rPr>
        <w:t>每天上午</w:t>
      </w:r>
      <w:r>
        <w:rPr>
          <w:rFonts w:ascii="仿宋_GB2312" w:hAnsi="仿宋" w:eastAsia="仿宋_GB2312"/>
          <w:sz w:val="24"/>
        </w:rPr>
        <w:t>00:00至12:00</w:t>
      </w:r>
      <w:r>
        <w:rPr>
          <w:rFonts w:hint="eastAsia" w:ascii="仿宋_GB2312" w:hAnsi="仿宋" w:eastAsia="仿宋_GB2312"/>
          <w:sz w:val="24"/>
        </w:rPr>
        <w:t>，下午</w:t>
      </w:r>
      <w:r>
        <w:rPr>
          <w:rFonts w:ascii="仿宋_GB2312" w:hAnsi="仿宋" w:eastAsia="仿宋_GB2312"/>
          <w:sz w:val="24"/>
        </w:rPr>
        <w:t>12:00至23:59（北京时间，线上获取法定节假日均可，线下获取文件法定节假日除外）。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sz w:val="24"/>
        </w:rPr>
        <w:t>政采云平台（</w:t>
      </w:r>
      <w:r>
        <w:rPr>
          <w:rFonts w:ascii="仿宋_GB2312" w:hAnsi="仿宋" w:eastAsia="仿宋_GB2312"/>
          <w:sz w:val="24"/>
        </w:rPr>
        <w:t>https://www.zcygov.cn/）</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方式：</w:t>
      </w:r>
      <w:r>
        <w:rPr>
          <w:rFonts w:hint="eastAsia" w:ascii="仿宋_GB2312" w:hAnsi="仿宋" w:eastAsia="仿宋_GB2312"/>
          <w:sz w:val="24"/>
        </w:rPr>
        <w:t>供应商登录政采云平台</w:t>
      </w:r>
      <w:r>
        <w:rPr>
          <w:rFonts w:ascii="仿宋_GB2312" w:hAnsi="仿宋" w:eastAsia="仿宋_GB2312"/>
          <w:sz w:val="24"/>
        </w:rPr>
        <w:t>https://www.zcygov.cn/在线申请获取采购文件（进入“项目采购”应用，在获取采购文件菜单中选择项目，申请获取采购文件）。</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售价（元）：</w:t>
      </w:r>
      <w:r>
        <w:rPr>
          <w:rFonts w:ascii="仿宋_GB2312" w:hAnsi="仿宋" w:eastAsia="仿宋_GB2312"/>
          <w:sz w:val="24"/>
        </w:rPr>
        <w:t>0</w:t>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提交投标文件截止时间：</w:t>
      </w:r>
      <w:r>
        <w:rPr>
          <w:rFonts w:hint="eastAsia" w:ascii="仿宋_GB2312" w:hAnsi="仿宋" w:eastAsia="仿宋_GB2312"/>
          <w:b/>
          <w:bCs/>
          <w:sz w:val="24"/>
          <w:highlight w:val="yellow"/>
          <w:u w:val="single"/>
        </w:rPr>
        <w:t>2022</w:t>
      </w:r>
      <w:r>
        <w:rPr>
          <w:rFonts w:ascii="仿宋_GB2312" w:hAnsi="仿宋" w:eastAsia="仿宋_GB2312"/>
          <w:b/>
          <w:bCs/>
          <w:sz w:val="24"/>
          <w:highlight w:val="yellow"/>
          <w:u w:val="single"/>
        </w:rPr>
        <w:t>年</w:t>
      </w:r>
      <w:r>
        <w:rPr>
          <w:rFonts w:hint="eastAsia" w:ascii="仿宋_GB2312" w:hAnsi="仿宋" w:eastAsia="仿宋_GB2312"/>
          <w:b/>
          <w:bCs/>
          <w:sz w:val="24"/>
          <w:highlight w:val="yellow"/>
          <w:u w:val="single"/>
          <w:lang w:val="en-US" w:eastAsia="zh-CN"/>
        </w:rPr>
        <w:t>12</w:t>
      </w:r>
      <w:r>
        <w:rPr>
          <w:rFonts w:hint="eastAsia" w:ascii="仿宋_GB2312" w:hAnsi="仿宋" w:eastAsia="仿宋_GB2312"/>
          <w:b/>
          <w:bCs/>
          <w:sz w:val="24"/>
          <w:highlight w:val="yellow"/>
          <w:u w:val="single"/>
        </w:rPr>
        <w:t>月</w:t>
      </w:r>
      <w:r>
        <w:rPr>
          <w:rFonts w:hint="eastAsia" w:ascii="仿宋_GB2312" w:hAnsi="仿宋" w:eastAsia="仿宋_GB2312"/>
          <w:b/>
          <w:bCs/>
          <w:sz w:val="24"/>
          <w:highlight w:val="yellow"/>
          <w:u w:val="single"/>
          <w:lang w:val="en-US" w:eastAsia="zh-CN"/>
        </w:rPr>
        <w:t>02</w:t>
      </w:r>
      <w:r>
        <w:rPr>
          <w:rFonts w:hint="eastAsia" w:ascii="仿宋_GB2312" w:hAnsi="仿宋" w:eastAsia="仿宋_GB2312"/>
          <w:b/>
          <w:bCs/>
          <w:sz w:val="24"/>
          <w:highlight w:val="yellow"/>
          <w:u w:val="single"/>
        </w:rPr>
        <w:t xml:space="preserve">日 </w:t>
      </w:r>
      <w:r>
        <w:rPr>
          <w:rFonts w:hint="eastAsia" w:ascii="仿宋_GB2312" w:hAnsi="仿宋" w:eastAsia="仿宋_GB2312"/>
          <w:b/>
          <w:bCs/>
          <w:sz w:val="24"/>
          <w:highlight w:val="yellow"/>
          <w:u w:val="single"/>
          <w:lang w:val="en-US" w:eastAsia="zh-CN"/>
        </w:rPr>
        <w:t>09</w:t>
      </w:r>
      <w:r>
        <w:rPr>
          <w:rFonts w:hint="eastAsia" w:ascii="仿宋_GB2312" w:hAnsi="仿宋" w:eastAsia="仿宋_GB2312"/>
          <w:b/>
          <w:bCs/>
          <w:sz w:val="24"/>
          <w:highlight w:val="yellow"/>
          <w:u w:val="single"/>
        </w:rPr>
        <w:t>点</w:t>
      </w:r>
      <w:r>
        <w:rPr>
          <w:rFonts w:hint="eastAsia" w:ascii="仿宋_GB2312" w:hAnsi="仿宋" w:eastAsia="仿宋_GB2312"/>
          <w:b/>
          <w:bCs/>
          <w:sz w:val="24"/>
          <w:highlight w:val="yellow"/>
          <w:u w:val="single"/>
          <w:lang w:val="en-US" w:eastAsia="zh-CN"/>
        </w:rPr>
        <w:t>30</w:t>
      </w:r>
      <w:r>
        <w:rPr>
          <w:rFonts w:hint="eastAsia" w:ascii="仿宋_GB2312" w:hAnsi="仿宋" w:eastAsia="仿宋_GB2312"/>
          <w:b/>
          <w:bCs/>
          <w:sz w:val="24"/>
          <w:highlight w:val="yellow"/>
          <w:u w:val="single"/>
        </w:rPr>
        <w:t>分</w:t>
      </w:r>
      <w:r>
        <w:rPr>
          <w:rFonts w:hint="eastAsia" w:ascii="仿宋_GB2312" w:hAnsi="仿宋" w:eastAsia="仿宋_GB2312"/>
          <w:sz w:val="24"/>
        </w:rPr>
        <w:t>（北京时间）</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投标地点（网址）：</w:t>
      </w:r>
      <w:r>
        <w:rPr>
          <w:rFonts w:hint="eastAsia" w:ascii="仿宋_GB2312" w:hAnsi="仿宋" w:eastAsia="仿宋_GB2312"/>
          <w:sz w:val="24"/>
        </w:rPr>
        <w:t>政采云平台（</w:t>
      </w:r>
      <w:r>
        <w:rPr>
          <w:rFonts w:ascii="仿宋_GB2312" w:hAnsi="仿宋" w:eastAsia="仿宋_GB2312"/>
          <w:sz w:val="24"/>
        </w:rPr>
        <w:t>https://www.zcygov.cn/）</w:t>
      </w:r>
    </w:p>
    <w:p>
      <w:pPr>
        <w:spacing w:line="360" w:lineRule="auto"/>
        <w:ind w:firstLine="482" w:firstLineChars="200"/>
        <w:rPr>
          <w:rFonts w:ascii="仿宋_GB2312" w:hAnsi="仿宋" w:eastAsia="仿宋_GB2312"/>
          <w:bCs/>
          <w:sz w:val="24"/>
          <w:u w:val="single"/>
        </w:rPr>
      </w:pPr>
      <w:r>
        <w:rPr>
          <w:rFonts w:hint="eastAsia" w:ascii="仿宋_GB2312" w:hAnsi="仿宋" w:eastAsia="仿宋_GB2312"/>
          <w:b/>
          <w:sz w:val="24"/>
        </w:rPr>
        <w:t>开标时间：</w:t>
      </w:r>
      <w:r>
        <w:rPr>
          <w:rFonts w:hint="eastAsia" w:ascii="仿宋_GB2312" w:hAnsi="仿宋" w:eastAsia="仿宋_GB2312"/>
          <w:b/>
          <w:bCs/>
          <w:sz w:val="24"/>
          <w:highlight w:val="yellow"/>
          <w:u w:val="single"/>
        </w:rPr>
        <w:t>2022</w:t>
      </w:r>
      <w:r>
        <w:rPr>
          <w:rFonts w:ascii="仿宋_GB2312" w:hAnsi="仿宋" w:eastAsia="仿宋_GB2312"/>
          <w:b/>
          <w:bCs/>
          <w:sz w:val="24"/>
          <w:highlight w:val="yellow"/>
          <w:u w:val="single"/>
        </w:rPr>
        <w:t>年</w:t>
      </w:r>
      <w:r>
        <w:rPr>
          <w:rFonts w:hint="eastAsia" w:ascii="仿宋_GB2312" w:hAnsi="仿宋" w:eastAsia="仿宋_GB2312"/>
          <w:b/>
          <w:bCs/>
          <w:sz w:val="24"/>
          <w:highlight w:val="yellow"/>
          <w:u w:val="single"/>
          <w:lang w:val="en-US" w:eastAsia="zh-CN"/>
        </w:rPr>
        <w:t>12</w:t>
      </w:r>
      <w:r>
        <w:rPr>
          <w:rFonts w:hint="eastAsia" w:ascii="仿宋_GB2312" w:hAnsi="仿宋" w:eastAsia="仿宋_GB2312"/>
          <w:b/>
          <w:bCs/>
          <w:sz w:val="24"/>
          <w:highlight w:val="yellow"/>
          <w:u w:val="single"/>
        </w:rPr>
        <w:t>月</w:t>
      </w:r>
      <w:r>
        <w:rPr>
          <w:rFonts w:hint="eastAsia" w:ascii="仿宋_GB2312" w:hAnsi="仿宋" w:eastAsia="仿宋_GB2312"/>
          <w:b/>
          <w:bCs/>
          <w:sz w:val="24"/>
          <w:highlight w:val="yellow"/>
          <w:u w:val="single"/>
          <w:lang w:val="en-US" w:eastAsia="zh-CN"/>
        </w:rPr>
        <w:t>02</w:t>
      </w:r>
      <w:r>
        <w:rPr>
          <w:rFonts w:hint="eastAsia" w:ascii="仿宋_GB2312" w:hAnsi="仿宋" w:eastAsia="仿宋_GB2312"/>
          <w:b/>
          <w:bCs/>
          <w:sz w:val="24"/>
          <w:highlight w:val="yellow"/>
          <w:u w:val="single"/>
        </w:rPr>
        <w:t xml:space="preserve">日 </w:t>
      </w:r>
      <w:r>
        <w:rPr>
          <w:rFonts w:hint="eastAsia" w:ascii="仿宋_GB2312" w:hAnsi="仿宋" w:eastAsia="仿宋_GB2312"/>
          <w:b/>
          <w:bCs/>
          <w:sz w:val="24"/>
          <w:highlight w:val="yellow"/>
          <w:u w:val="single"/>
          <w:lang w:val="en-US" w:eastAsia="zh-CN"/>
        </w:rPr>
        <w:t>09</w:t>
      </w:r>
      <w:r>
        <w:rPr>
          <w:rFonts w:hint="eastAsia" w:ascii="仿宋_GB2312" w:hAnsi="仿宋" w:eastAsia="仿宋_GB2312"/>
          <w:b/>
          <w:bCs/>
          <w:sz w:val="24"/>
          <w:highlight w:val="yellow"/>
          <w:u w:val="single"/>
        </w:rPr>
        <w:t>点</w:t>
      </w:r>
      <w:r>
        <w:rPr>
          <w:rFonts w:hint="eastAsia" w:ascii="仿宋_GB2312" w:hAnsi="仿宋" w:eastAsia="仿宋_GB2312"/>
          <w:b/>
          <w:bCs/>
          <w:sz w:val="24"/>
          <w:highlight w:val="yellow"/>
          <w:u w:val="single"/>
          <w:lang w:val="en-US" w:eastAsia="zh-CN"/>
        </w:rPr>
        <w:t>30</w:t>
      </w:r>
      <w:r>
        <w:rPr>
          <w:rFonts w:hint="eastAsia" w:ascii="仿宋_GB2312" w:hAnsi="仿宋" w:eastAsia="仿宋_GB2312"/>
          <w:b/>
          <w:bCs/>
          <w:sz w:val="24"/>
          <w:highlight w:val="yellow"/>
          <w:u w:val="single"/>
        </w:rPr>
        <w:t>分</w:t>
      </w:r>
      <w:r>
        <w:rPr>
          <w:rFonts w:hint="eastAsia" w:ascii="仿宋_GB2312" w:hAnsi="仿宋" w:eastAsia="仿宋_GB2312"/>
          <w:bCs/>
          <w:sz w:val="24"/>
          <w:highlight w:val="yellow"/>
          <w:u w:val="single"/>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开标地点（网址）：</w:t>
      </w:r>
      <w:r>
        <w:rPr>
          <w:rFonts w:ascii="仿宋_GB2312" w:hAnsi="仿宋" w:eastAsia="仿宋_GB2312"/>
          <w:sz w:val="24"/>
        </w:rPr>
        <w:t>政</w:t>
      </w:r>
      <w:r>
        <w:rPr>
          <w:rFonts w:hint="eastAsia" w:ascii="仿宋_GB2312" w:hAnsi="仿宋" w:eastAsia="仿宋_GB2312"/>
          <w:sz w:val="24"/>
        </w:rPr>
        <w:t>采云平台（</w:t>
      </w:r>
      <w:r>
        <w:rPr>
          <w:rFonts w:ascii="仿宋_GB2312" w:hAnsi="仿宋" w:eastAsia="仿宋_GB2312"/>
          <w:sz w:val="24"/>
        </w:rPr>
        <w:t>https://www.zcygov.cn/）</w:t>
      </w:r>
    </w:p>
    <w:p>
      <w:pPr>
        <w:numPr>
          <w:ilvl w:val="0"/>
          <w:numId w:val="2"/>
        </w:numPr>
        <w:spacing w:line="360" w:lineRule="auto"/>
        <w:rPr>
          <w:rFonts w:hint="eastAsia" w:ascii="仿宋_GB2312" w:hAnsi="仿宋" w:eastAsia="仿宋_GB2312"/>
          <w:b/>
          <w:sz w:val="24"/>
          <w:lang w:val="en-US" w:eastAsia="zh-CN"/>
        </w:rPr>
      </w:pPr>
      <w:r>
        <w:rPr>
          <w:rFonts w:hint="eastAsia" w:ascii="仿宋_GB2312" w:hAnsi="仿宋" w:eastAsia="仿宋_GB2312"/>
          <w:b/>
          <w:sz w:val="24"/>
          <w:lang w:val="en-US" w:eastAsia="zh-CN"/>
        </w:rPr>
        <w:t>采购意向公开链接</w:t>
      </w:r>
    </w:p>
    <w:p>
      <w:pPr>
        <w:pStyle w:val="2"/>
        <w:numPr>
          <w:numId w:val="0"/>
        </w:numPr>
        <w:rPr>
          <w:rFonts w:hint="default" w:ascii="仿宋_GB2312" w:hAnsi="仿宋" w:eastAsia="仿宋_GB2312" w:cs="Times New Roman"/>
          <w:kern w:val="2"/>
          <w:sz w:val="24"/>
          <w:szCs w:val="24"/>
          <w:lang w:val="en-US" w:eastAsia="zh-CN" w:bidi="ar-SA"/>
        </w:rPr>
      </w:pPr>
      <w:r>
        <w:rPr>
          <w:rFonts w:hint="default" w:ascii="仿宋_GB2312" w:hAnsi="仿宋" w:eastAsia="仿宋_GB2312" w:cs="Times New Roman"/>
          <w:kern w:val="2"/>
          <w:sz w:val="24"/>
          <w:szCs w:val="24"/>
          <w:lang w:val="en-US" w:eastAsia="zh-CN" w:bidi="ar-SA"/>
        </w:rPr>
        <w:t>https://zfcg.czt.zj.gov.cn/innerUsed_noticeDetails/index.html?noticeId=8946156&amp;utm=web-government-front.49399a16.0.0.838eb9b0616a11ed88916faeb1fdb59f</w:t>
      </w:r>
    </w:p>
    <w:p>
      <w:pPr>
        <w:spacing w:line="360" w:lineRule="auto"/>
        <w:rPr>
          <w:rFonts w:ascii="仿宋_GB2312" w:hAnsi="仿宋" w:eastAsia="仿宋_GB2312"/>
          <w:sz w:val="24"/>
        </w:rPr>
      </w:pPr>
      <w:r>
        <w:rPr>
          <w:rFonts w:hint="eastAsia" w:ascii="仿宋_GB2312" w:hAnsi="仿宋" w:eastAsia="仿宋_GB2312"/>
          <w:b/>
          <w:sz w:val="24"/>
          <w:lang w:val="en-US" w:eastAsia="zh-CN"/>
        </w:rPr>
        <w:t>六、</w:t>
      </w:r>
      <w:r>
        <w:rPr>
          <w:rFonts w:hint="eastAsia" w:ascii="仿宋_GB2312" w:hAnsi="仿宋" w:eastAsia="仿宋_GB2312"/>
          <w:b/>
          <w:sz w:val="24"/>
        </w:rPr>
        <w:t>公告期限</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lang w:val="en-US" w:eastAsia="zh-CN"/>
        </w:rPr>
        <w:t>七</w:t>
      </w:r>
      <w:r>
        <w:rPr>
          <w:rFonts w:hint="eastAsia" w:ascii="仿宋_GB2312" w:hAnsi="仿宋" w:eastAsia="仿宋_GB2312"/>
          <w:b/>
          <w:sz w:val="24"/>
        </w:rPr>
        <w:t>、其他补充事宜</w:t>
      </w:r>
    </w:p>
    <w:p>
      <w:pPr>
        <w:spacing w:line="360" w:lineRule="auto"/>
        <w:ind w:firstLine="480" w:firstLineChars="200"/>
        <w:rPr>
          <w:rFonts w:ascii="仿宋" w:hAnsi="仿宋" w:eastAsia="仿宋" w:cs="仿宋"/>
          <w:sz w:val="24"/>
          <w:highlight w:val="yellow"/>
        </w:rPr>
      </w:pPr>
      <w:r>
        <w:rPr>
          <w:rFonts w:hint="eastAsia" w:ascii="仿宋" w:hAnsi="仿宋" w:eastAsia="仿宋" w:cs="仿宋"/>
          <w:sz w:val="24"/>
          <w:highlight w:val="yellow"/>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仿宋" w:hAnsi="仿宋" w:eastAsia="仿宋" w:cs="仿宋"/>
          <w:sz w:val="24"/>
          <w:highlight w:val="yellow"/>
        </w:rPr>
      </w:pPr>
      <w:r>
        <w:rPr>
          <w:rFonts w:hint="eastAsia" w:ascii="仿宋" w:hAnsi="仿宋" w:eastAsia="仿宋" w:cs="仿宋"/>
          <w:sz w:val="24"/>
          <w:highlight w:val="yellow"/>
        </w:rPr>
        <w:t xml:space="preserve">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 </w:t>
      </w:r>
      <w:r>
        <w:rPr>
          <w:rFonts w:hint="eastAsia" w:ascii="仿宋" w:hAnsi="仿宋" w:eastAsia="仿宋" w:cs="仿宋"/>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rPr>
      </w:pPr>
      <w:r>
        <w:rPr>
          <w:rFonts w:hint="eastAsia" w:ascii="仿宋_GB2312" w:hAnsi="仿宋" w:eastAsia="仿宋_GB2312"/>
          <w:sz w:val="24"/>
        </w:rPr>
        <w:t>4.其他事项：（1）需要落实的政府采购政策：包括节约资源、保护环境、支持创新、促进中小企业发展等。详见招标文件的第二部分总则。（2）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招标文件的获取：使用账号登录或者使用CA登录政</w:t>
      </w:r>
      <w:r>
        <w:rPr>
          <w:rFonts w:hint="eastAsia" w:ascii="仿宋_GB2312" w:hAnsi="仿宋" w:eastAsia="仿宋_GB2312" w:cs="仿宋_GB2312"/>
          <w:sz w:val="24"/>
        </w:rPr>
        <w:t>采云平台；进入“项目采购”应用，在获取采购文件菜单中选择项目，获取招标文件；④</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⑤</w:t>
      </w:r>
      <w:r>
        <w:rPr>
          <w:rFonts w:ascii="仿宋_GB2312" w:hAnsi="仿宋" w:eastAsia="仿宋_GB2312"/>
          <w:sz w:val="24"/>
        </w:rPr>
        <w:t>采购人、采购机构将依托政</w:t>
      </w:r>
      <w:r>
        <w:rPr>
          <w:rFonts w:hint="eastAsia" w:ascii="仿宋_GB2312" w:hAnsi="仿宋" w:eastAsia="仿宋_GB2312"/>
          <w:sz w:val="24"/>
        </w:rPr>
        <w:t>采云平台完成本项目的电子交易活动，平台不接受未按上述方式获取招标文件的供应商进行投标活动；⑥</w:t>
      </w:r>
      <w:r>
        <w:rPr>
          <w:rFonts w:ascii="仿宋_GB2312" w:hAnsi="仿宋" w:eastAsia="仿宋_GB2312"/>
          <w:sz w:val="24"/>
        </w:rPr>
        <w:t>对未按上述方式获取招标文件的供应商对该文件提出的质疑，采购人或采购代理机构将</w:t>
      </w:r>
      <w:r>
        <w:rPr>
          <w:rFonts w:hint="eastAsia" w:ascii="仿宋_GB2312" w:hAnsi="仿宋" w:eastAsia="仿宋_GB2312"/>
          <w:sz w:val="24"/>
        </w:rPr>
        <w:t>不予处理；⑦</w:t>
      </w:r>
      <w:r>
        <w:rPr>
          <w:rFonts w:ascii="仿宋_GB2312" w:hAnsi="仿宋" w:eastAsia="仿宋_GB2312"/>
          <w:sz w:val="24"/>
        </w:rPr>
        <w:t>不提供招标文件纸质版</w:t>
      </w:r>
      <w:r>
        <w:rPr>
          <w:rFonts w:hint="eastAsia" w:ascii="仿宋_GB2312" w:hAnsi="仿宋" w:eastAsia="仿宋_GB2312"/>
          <w:sz w:val="24"/>
        </w:rPr>
        <w:t>；</w:t>
      </w:r>
      <w:r>
        <w:rPr>
          <w:rFonts w:hint="eastAsia" w:ascii="仿宋_GB2312" w:hAnsi="仿宋" w:eastAsia="仿宋_GB2312" w:cs="仿宋_GB2312"/>
          <w:sz w:val="24"/>
        </w:rPr>
        <w:t>⑧</w:t>
      </w:r>
      <w:r>
        <w:rPr>
          <w:rFonts w:ascii="仿宋_GB2312" w:hAnsi="仿宋" w:eastAsia="仿宋_GB2312"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sz w:val="24"/>
        </w:rPr>
        <w:t>；</w:t>
      </w:r>
      <w:r>
        <w:rPr>
          <w:rFonts w:hint="eastAsia" w:ascii="仿宋_GB2312" w:hAnsi="仿宋" w:eastAsia="仿宋_GB2312"/>
          <w:sz w:val="24"/>
        </w:rPr>
        <w:t>⑨</w:t>
      </w:r>
      <w:r>
        <w:rPr>
          <w:rFonts w:hint="eastAsia" w:ascii="仿宋_GB2312" w:hAnsi="仿宋" w:eastAsia="仿宋_GB2312" w:cs="仿宋_GB2312"/>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rPr>
        <w:t>具体操作指南：详见政</w:t>
      </w:r>
      <w:r>
        <w:rPr>
          <w:rFonts w:hint="eastAsia" w:ascii="仿宋_GB2312" w:hAnsi="仿宋" w:eastAsia="仿宋_GB2312" w:cs="仿宋_GB2312"/>
          <w:sz w:val="24"/>
        </w:rPr>
        <w:t>采云平台“服务中心</w:t>
      </w:r>
      <w:r>
        <w:rPr>
          <w:rFonts w:ascii="仿宋_GB2312" w:hAnsi="仿宋" w:eastAsia="仿宋_GB2312" w:cs="仿宋_GB2312"/>
          <w:sz w:val="24"/>
        </w:rPr>
        <w:t>-帮助文档-项目采购-操作流程-电子招投标-政府采购项目电子交易管理操作指南-供应商”。</w:t>
      </w:r>
      <w:r>
        <w:rPr>
          <w:rFonts w:hint="eastAsia" w:ascii="仿宋" w:hAnsi="仿宋" w:eastAsia="仿宋" w:cs="仿宋"/>
          <w:sz w:val="24"/>
          <w:highlight w:val="yellow"/>
        </w:rPr>
        <w:t>（3）</w:t>
      </w:r>
      <w:r>
        <w:rPr>
          <w:rFonts w:hint="eastAsia" w:ascii="仿宋" w:hAnsi="仿宋" w:eastAsia="仿宋" w:cs="仿宋"/>
          <w:sz w:val="24"/>
        </w:rPr>
        <w:t>招标文件公告期限与招标公告的公告期限一致。</w:t>
      </w:r>
    </w:p>
    <w:p>
      <w:pPr>
        <w:spacing w:line="360" w:lineRule="auto"/>
        <w:rPr>
          <w:rFonts w:ascii="仿宋_GB2312" w:hAnsi="仿宋" w:eastAsia="仿宋_GB2312"/>
          <w:b/>
          <w:sz w:val="24"/>
        </w:rPr>
      </w:pPr>
      <w:r>
        <w:rPr>
          <w:rFonts w:hint="eastAsia" w:ascii="仿宋_GB2312" w:hAnsi="仿宋" w:eastAsia="仿宋_GB2312"/>
          <w:b/>
          <w:sz w:val="24"/>
          <w:lang w:val="en-US" w:eastAsia="zh-CN"/>
        </w:rPr>
        <w:t>八</w:t>
      </w:r>
      <w:bookmarkStart w:id="573" w:name="_GoBack"/>
      <w:bookmarkEnd w:id="573"/>
      <w:r>
        <w:rPr>
          <w:rFonts w:hint="eastAsia" w:ascii="仿宋_GB2312" w:hAnsi="仿宋" w:eastAsia="仿宋_GB2312"/>
          <w:b/>
          <w:sz w:val="24"/>
        </w:rPr>
        <w:t>、对本次采购提出询问、质疑、投诉，请按以下方式联系</w:t>
      </w:r>
    </w:p>
    <w:p>
      <w:pPr>
        <w:spacing w:line="360" w:lineRule="auto"/>
        <w:rPr>
          <w:rFonts w:ascii="仿宋" w:hAnsi="仿宋" w:eastAsia="仿宋" w:cs="仿宋"/>
          <w:sz w:val="24"/>
        </w:rPr>
      </w:pPr>
      <w:r>
        <w:rPr>
          <w:rFonts w:ascii="仿宋_GB2312" w:hAnsi="仿宋" w:eastAsia="仿宋_GB2312"/>
          <w:sz w:val="24"/>
        </w:rPr>
        <w:t xml:space="preserve">    </w:t>
      </w:r>
      <w:r>
        <w:rPr>
          <w:rFonts w:hint="eastAsia" w:ascii="仿宋" w:hAnsi="仿宋" w:eastAsia="仿宋" w:cs="仿宋"/>
          <w:sz w:val="24"/>
        </w:rPr>
        <w:t xml:space="preserve"> 1.采购人信息</w:t>
      </w:r>
    </w:p>
    <w:p>
      <w:pPr>
        <w:spacing w:line="360" w:lineRule="auto"/>
        <w:rPr>
          <w:rFonts w:ascii="仿宋" w:hAnsi="仿宋" w:eastAsia="仿宋" w:cs="仿宋"/>
          <w:sz w:val="24"/>
        </w:rPr>
      </w:pPr>
      <w:r>
        <w:rPr>
          <w:rFonts w:hint="eastAsia" w:ascii="仿宋" w:hAnsi="仿宋" w:eastAsia="仿宋" w:cs="仿宋"/>
          <w:sz w:val="24"/>
        </w:rPr>
        <w:t xml:space="preserve">    名    称：</w:t>
      </w:r>
      <w:r>
        <w:rPr>
          <w:rFonts w:hint="eastAsia" w:ascii="仿宋" w:hAnsi="仿宋" w:eastAsia="仿宋" w:cs="仿宋"/>
          <w:b/>
          <w:bCs/>
          <w:sz w:val="24"/>
        </w:rPr>
        <w:t>杭州市拱墅区建设工程质量安全监督站</w:t>
      </w:r>
    </w:p>
    <w:p>
      <w:pPr>
        <w:spacing w:line="360" w:lineRule="auto"/>
        <w:rPr>
          <w:rFonts w:ascii="仿宋" w:hAnsi="仿宋" w:eastAsia="仿宋" w:cs="仿宋"/>
          <w:sz w:val="24"/>
        </w:rPr>
      </w:pPr>
      <w:r>
        <w:rPr>
          <w:rFonts w:hint="eastAsia" w:ascii="仿宋" w:hAnsi="仿宋" w:eastAsia="仿宋" w:cs="仿宋"/>
          <w:sz w:val="24"/>
        </w:rPr>
        <w:t xml:space="preserve">    地    址：杭州市拱墅区祥符街道北城街55号       </w:t>
      </w:r>
    </w:p>
    <w:p>
      <w:pPr>
        <w:spacing w:line="360" w:lineRule="auto"/>
        <w:ind w:firstLine="480"/>
        <w:rPr>
          <w:rFonts w:ascii="仿宋" w:hAnsi="仿宋" w:eastAsia="仿宋" w:cs="仿宋"/>
          <w:sz w:val="24"/>
        </w:rPr>
      </w:pPr>
      <w:r>
        <w:rPr>
          <w:rFonts w:hint="eastAsia" w:ascii="仿宋" w:hAnsi="仿宋" w:eastAsia="仿宋" w:cs="仿宋"/>
          <w:sz w:val="24"/>
        </w:rPr>
        <w:t>传    真：/</w:t>
      </w:r>
    </w:p>
    <w:p>
      <w:pPr>
        <w:spacing w:line="360" w:lineRule="auto"/>
        <w:ind w:firstLine="480"/>
        <w:rPr>
          <w:rFonts w:ascii="仿宋" w:hAnsi="仿宋" w:eastAsia="仿宋" w:cs="仿宋"/>
          <w:sz w:val="24"/>
          <w:highlight w:val="yellow"/>
        </w:rPr>
      </w:pPr>
      <w:r>
        <w:rPr>
          <w:rFonts w:hint="eastAsia" w:ascii="仿宋" w:hAnsi="仿宋" w:eastAsia="仿宋" w:cs="仿宋"/>
          <w:sz w:val="24"/>
          <w:highlight w:val="yellow"/>
        </w:rPr>
        <w:t xml:space="preserve">项目联系人（询问）：王登辉 </w:t>
      </w:r>
    </w:p>
    <w:p>
      <w:pPr>
        <w:spacing w:line="360" w:lineRule="auto"/>
        <w:rPr>
          <w:rFonts w:ascii="仿宋" w:hAnsi="仿宋" w:eastAsia="仿宋" w:cs="仿宋"/>
          <w:szCs w:val="21"/>
          <w:highlight w:val="yellow"/>
        </w:rPr>
      </w:pPr>
      <w:r>
        <w:rPr>
          <w:rFonts w:hint="eastAsia" w:ascii="仿宋" w:hAnsi="仿宋" w:eastAsia="仿宋" w:cs="仿宋"/>
          <w:sz w:val="24"/>
          <w:highlight w:val="yellow"/>
        </w:rPr>
        <w:t xml:space="preserve">    项目联系方式（询问）：0571-85353851</w:t>
      </w:r>
      <w:r>
        <w:rPr>
          <w:rFonts w:hint="eastAsia" w:ascii="仿宋" w:hAnsi="仿宋" w:eastAsia="仿宋" w:cs="仿宋"/>
          <w:szCs w:val="21"/>
          <w:highlight w:val="yellow"/>
        </w:rPr>
        <w:t xml:space="preserve">  </w:t>
      </w:r>
    </w:p>
    <w:p>
      <w:pPr>
        <w:spacing w:line="360" w:lineRule="auto"/>
        <w:rPr>
          <w:rFonts w:hint="eastAsia" w:ascii="仿宋" w:hAnsi="仿宋" w:eastAsia="仿宋" w:cs="仿宋"/>
          <w:sz w:val="24"/>
          <w:highlight w:val="yellow"/>
          <w:lang w:val="en-US" w:eastAsia="zh-CN"/>
        </w:rPr>
      </w:pPr>
      <w:r>
        <w:rPr>
          <w:rFonts w:hint="eastAsia" w:ascii="仿宋" w:hAnsi="仿宋" w:eastAsia="仿宋" w:cs="仿宋"/>
          <w:sz w:val="24"/>
          <w:highlight w:val="yellow"/>
        </w:rPr>
        <w:t xml:space="preserve">    质疑联系人：</w:t>
      </w:r>
      <w:r>
        <w:rPr>
          <w:rFonts w:hint="eastAsia" w:ascii="仿宋" w:hAnsi="仿宋" w:eastAsia="仿宋" w:cs="仿宋"/>
          <w:sz w:val="24"/>
          <w:highlight w:val="yellow"/>
          <w:lang w:val="en-US" w:eastAsia="zh-CN"/>
        </w:rPr>
        <w:t>杨薇</w:t>
      </w:r>
    </w:p>
    <w:p>
      <w:pPr>
        <w:spacing w:line="360" w:lineRule="auto"/>
        <w:rPr>
          <w:rFonts w:ascii="仿宋" w:hAnsi="仿宋" w:eastAsia="仿宋" w:cs="仿宋"/>
          <w:sz w:val="24"/>
          <w:highlight w:val="yellow"/>
        </w:rPr>
      </w:pPr>
      <w:r>
        <w:rPr>
          <w:rFonts w:hint="eastAsia" w:ascii="仿宋" w:hAnsi="仿宋" w:eastAsia="仿宋" w:cs="仿宋"/>
          <w:sz w:val="24"/>
          <w:highlight w:val="yellow"/>
        </w:rPr>
        <w:t xml:space="preserve">    质疑联系方式：0571-85371326</w:t>
      </w:r>
    </w:p>
    <w:p>
      <w:pPr>
        <w:spacing w:line="360" w:lineRule="auto"/>
        <w:rPr>
          <w:rFonts w:ascii="仿宋" w:hAnsi="仿宋" w:eastAsia="仿宋" w:cs="仿宋"/>
          <w:sz w:val="24"/>
        </w:rPr>
      </w:pPr>
      <w:r>
        <w:rPr>
          <w:rFonts w:hint="eastAsia" w:ascii="仿宋" w:hAnsi="仿宋" w:eastAsia="仿宋" w:cs="仿宋"/>
          <w:sz w:val="24"/>
        </w:rPr>
        <w:t xml:space="preserve">    2.采购代理机构信息</w:t>
      </w:r>
    </w:p>
    <w:p>
      <w:pPr>
        <w:spacing w:line="360" w:lineRule="auto"/>
        <w:ind w:firstLine="480"/>
        <w:rPr>
          <w:rFonts w:ascii="仿宋" w:hAnsi="仿宋" w:eastAsia="仿宋" w:cs="仿宋"/>
          <w:sz w:val="24"/>
        </w:rPr>
      </w:pPr>
      <w:r>
        <w:rPr>
          <w:rFonts w:hint="eastAsia" w:ascii="仿宋" w:hAnsi="仿宋" w:eastAsia="仿宋" w:cs="仿宋"/>
          <w:sz w:val="24"/>
        </w:rPr>
        <w:t>名称：</w:t>
      </w:r>
      <w:r>
        <w:rPr>
          <w:rFonts w:hint="eastAsia" w:ascii="仿宋" w:hAnsi="仿宋" w:eastAsia="仿宋" w:cs="仿宋"/>
          <w:b/>
          <w:bCs/>
          <w:sz w:val="24"/>
        </w:rPr>
        <w:t>浙江省成套工程有限公司</w:t>
      </w:r>
    </w:p>
    <w:p>
      <w:pPr>
        <w:spacing w:line="360" w:lineRule="auto"/>
        <w:ind w:firstLine="480"/>
        <w:rPr>
          <w:rFonts w:ascii="仿宋" w:hAnsi="仿宋" w:eastAsia="仿宋" w:cs="仿宋"/>
          <w:sz w:val="24"/>
        </w:rPr>
      </w:pPr>
      <w:r>
        <w:rPr>
          <w:rFonts w:hint="eastAsia" w:ascii="仿宋" w:hAnsi="仿宋" w:eastAsia="仿宋" w:cs="仿宋"/>
          <w:sz w:val="24"/>
        </w:rPr>
        <w:t>地址：浙江省杭州市古墩路701号紫金广场A座12楼1208室</w:t>
      </w:r>
    </w:p>
    <w:p>
      <w:pPr>
        <w:spacing w:line="360" w:lineRule="auto"/>
        <w:rPr>
          <w:rFonts w:ascii="仿宋" w:hAnsi="仿宋" w:eastAsia="仿宋" w:cs="仿宋"/>
          <w:sz w:val="24"/>
        </w:rPr>
      </w:pPr>
      <w:r>
        <w:rPr>
          <w:rFonts w:hint="eastAsia" w:ascii="仿宋" w:hAnsi="仿宋" w:eastAsia="仿宋" w:cs="仿宋"/>
          <w:sz w:val="24"/>
        </w:rPr>
        <w:t xml:space="preserve">    传真：/</w:t>
      </w:r>
    </w:p>
    <w:p>
      <w:pPr>
        <w:spacing w:line="360" w:lineRule="auto"/>
        <w:rPr>
          <w:rFonts w:ascii="仿宋" w:hAnsi="仿宋" w:eastAsia="仿宋" w:cs="仿宋"/>
          <w:sz w:val="24"/>
        </w:rPr>
      </w:pPr>
      <w:r>
        <w:rPr>
          <w:rFonts w:hint="eastAsia" w:ascii="仿宋" w:hAnsi="仿宋" w:eastAsia="仿宋" w:cs="仿宋"/>
          <w:sz w:val="24"/>
        </w:rPr>
        <w:t xml:space="preserve">    项目联系人（询问）：</w:t>
      </w:r>
      <w:r>
        <w:rPr>
          <w:rFonts w:hint="eastAsia" w:ascii="仿宋" w:hAnsi="仿宋" w:eastAsia="仿宋" w:cs="仿宋"/>
          <w:sz w:val="24"/>
          <w:lang w:val="en-US" w:eastAsia="zh-CN"/>
        </w:rPr>
        <w:t>项启航</w:t>
      </w:r>
      <w:r>
        <w:rPr>
          <w:rFonts w:hint="eastAsia" w:ascii="仿宋" w:hAnsi="仿宋" w:eastAsia="仿宋" w:cs="仿宋"/>
          <w:sz w:val="24"/>
        </w:rPr>
        <w:t xml:space="preserve">、郑燕 </w:t>
      </w:r>
    </w:p>
    <w:p>
      <w:pPr>
        <w:spacing w:line="360" w:lineRule="auto"/>
        <w:rPr>
          <w:rFonts w:ascii="仿宋" w:hAnsi="仿宋" w:eastAsia="仿宋" w:cs="仿宋"/>
          <w:sz w:val="24"/>
        </w:rPr>
      </w:pPr>
      <w:r>
        <w:rPr>
          <w:rFonts w:hint="eastAsia" w:ascii="仿宋" w:hAnsi="仿宋" w:eastAsia="仿宋" w:cs="仿宋"/>
          <w:sz w:val="24"/>
        </w:rPr>
        <w:t xml:space="preserve">    项目联系方式（询问）：0571-85056231、13588251060</w:t>
      </w:r>
    </w:p>
    <w:p>
      <w:pPr>
        <w:spacing w:line="360" w:lineRule="auto"/>
        <w:rPr>
          <w:rFonts w:hint="eastAsia" w:ascii="仿宋" w:hAnsi="仿宋" w:eastAsia="仿宋" w:cs="仿宋"/>
          <w:sz w:val="24"/>
          <w:lang w:eastAsia="zh-CN"/>
        </w:rPr>
      </w:pPr>
      <w:r>
        <w:rPr>
          <w:rFonts w:hint="eastAsia" w:ascii="仿宋" w:hAnsi="仿宋" w:eastAsia="仿宋" w:cs="仿宋"/>
          <w:sz w:val="24"/>
        </w:rPr>
        <w:t xml:space="preserve">    质疑联系人：</w:t>
      </w:r>
      <w:r>
        <w:rPr>
          <w:rFonts w:hint="eastAsia" w:ascii="仿宋" w:hAnsi="仿宋" w:eastAsia="仿宋" w:cs="仿宋"/>
          <w:sz w:val="24"/>
          <w:lang w:val="en-US" w:eastAsia="zh-CN"/>
        </w:rPr>
        <w:t>李梦圆</w:t>
      </w:r>
    </w:p>
    <w:p>
      <w:pPr>
        <w:spacing w:line="360" w:lineRule="auto"/>
        <w:rPr>
          <w:rFonts w:ascii="仿宋" w:hAnsi="仿宋" w:eastAsia="仿宋" w:cs="仿宋"/>
          <w:sz w:val="24"/>
        </w:rPr>
      </w:pPr>
      <w:r>
        <w:rPr>
          <w:rFonts w:hint="eastAsia" w:ascii="仿宋" w:hAnsi="仿宋" w:eastAsia="仿宋" w:cs="仿宋"/>
          <w:sz w:val="24"/>
        </w:rPr>
        <w:t xml:space="preserve">    质疑联系方式：0571-85056231 </w:t>
      </w:r>
    </w:p>
    <w:p>
      <w:pPr>
        <w:spacing w:line="360" w:lineRule="auto"/>
        <w:rPr>
          <w:rFonts w:ascii="仿宋" w:hAnsi="仿宋" w:eastAsia="仿宋" w:cs="仿宋"/>
          <w:sz w:val="24"/>
        </w:rPr>
      </w:pPr>
      <w:r>
        <w:rPr>
          <w:rFonts w:hint="eastAsia" w:ascii="仿宋" w:hAnsi="仿宋" w:eastAsia="仿宋" w:cs="仿宋"/>
          <w:sz w:val="24"/>
        </w:rPr>
        <w:t xml:space="preserve">    3.同级政府采购监督管理部门</w:t>
      </w:r>
    </w:p>
    <w:p>
      <w:pPr>
        <w:spacing w:line="360" w:lineRule="auto"/>
        <w:rPr>
          <w:rFonts w:ascii="仿宋" w:hAnsi="仿宋" w:eastAsia="仿宋" w:cs="仿宋"/>
          <w:sz w:val="24"/>
        </w:rPr>
      </w:pPr>
      <w:r>
        <w:rPr>
          <w:rFonts w:hint="eastAsia" w:ascii="仿宋" w:hAnsi="仿宋" w:eastAsia="仿宋" w:cs="仿宋"/>
          <w:sz w:val="24"/>
        </w:rPr>
        <w:t xml:space="preserve">    名称：杭州市拱墅区财政局（政府采购监管科）</w:t>
      </w:r>
    </w:p>
    <w:p>
      <w:pPr>
        <w:spacing w:line="360" w:lineRule="auto"/>
        <w:rPr>
          <w:rFonts w:ascii="仿宋" w:hAnsi="仿宋" w:eastAsia="仿宋" w:cs="仿宋"/>
          <w:sz w:val="24"/>
        </w:rPr>
      </w:pPr>
      <w:r>
        <w:rPr>
          <w:rFonts w:hint="eastAsia" w:ascii="仿宋" w:hAnsi="仿宋" w:eastAsia="仿宋" w:cs="仿宋"/>
          <w:sz w:val="24"/>
        </w:rPr>
        <w:t xml:space="preserve">    地址：杭州市拱墅区祥符街道北城街55号人防大厦1017室 </w:t>
      </w:r>
    </w:p>
    <w:p>
      <w:pPr>
        <w:spacing w:line="360" w:lineRule="auto"/>
        <w:ind w:firstLine="240" w:firstLineChars="100"/>
        <w:rPr>
          <w:rFonts w:ascii="仿宋" w:hAnsi="仿宋" w:eastAsia="仿宋" w:cs="仿宋"/>
          <w:sz w:val="24"/>
        </w:rPr>
      </w:pPr>
      <w:r>
        <w:rPr>
          <w:rFonts w:hint="eastAsia" w:ascii="仿宋" w:hAnsi="仿宋" w:eastAsia="仿宋" w:cs="仿宋"/>
          <w:sz w:val="24"/>
        </w:rPr>
        <w:t xml:space="preserve">  传真：/</w:t>
      </w:r>
    </w:p>
    <w:p>
      <w:pPr>
        <w:spacing w:line="360" w:lineRule="auto"/>
        <w:rPr>
          <w:rFonts w:ascii="仿宋" w:hAnsi="仿宋" w:eastAsia="仿宋" w:cs="仿宋"/>
          <w:sz w:val="24"/>
        </w:rPr>
      </w:pPr>
      <w:r>
        <w:rPr>
          <w:rFonts w:hint="eastAsia" w:ascii="仿宋" w:hAnsi="仿宋" w:eastAsia="仿宋" w:cs="仿宋"/>
          <w:sz w:val="24"/>
        </w:rPr>
        <w:t xml:space="preserve">    联系人：彭先生</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监督投诉电话：0571-85463096  </w:t>
      </w:r>
    </w:p>
    <w:p>
      <w:pPr>
        <w:wordWrap w:val="0"/>
        <w:spacing w:line="360" w:lineRule="auto"/>
        <w:ind w:firstLine="480" w:firstLineChars="200"/>
        <w:rPr>
          <w:rFonts w:ascii="仿宋_GB2312" w:hAnsi="仿宋" w:eastAsia="仿宋_GB2312"/>
          <w:sz w:val="24"/>
        </w:rPr>
      </w:pPr>
      <w:r>
        <w:rPr>
          <w:rFonts w:hint="eastAsia" w:ascii="仿宋_GB2312" w:hAnsi="仿宋" w:eastAsia="仿宋_GB2312"/>
          <w:sz w:val="24"/>
        </w:rPr>
        <w:t>若对项目采购电子交易系统操作有疑问，可登录政采云（</w:t>
      </w:r>
      <w:r>
        <w:rPr>
          <w:rFonts w:ascii="仿宋_GB2312" w:hAnsi="仿宋" w:eastAsia="仿宋_GB2312"/>
          <w:sz w:val="24"/>
        </w:rPr>
        <w:t>https://www.zcygov.cn/），点击右侧咨询小采，获取采小蜜智能服务管家帮助，或拨打政</w:t>
      </w:r>
      <w:r>
        <w:rPr>
          <w:rFonts w:hint="eastAsia" w:ascii="仿宋_GB2312" w:hAnsi="仿宋" w:eastAsia="仿宋_GB2312"/>
          <w:sz w:val="24"/>
        </w:rPr>
        <w:t>采云服务热线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color w:val="000000" w:themeColor="text1"/>
          <w:sz w:val="24"/>
          <w14:textFill>
            <w14:solidFill>
              <w14:schemeClr w14:val="tx1"/>
            </w14:solidFill>
          </w14:textFill>
        </w:rPr>
        <w:t>汇信</w:t>
      </w:r>
      <w:r>
        <w:rPr>
          <w:rFonts w:ascii="仿宋_GB2312" w:hAnsi="仿宋" w:eastAsia="仿宋_GB2312"/>
          <w:color w:val="000000" w:themeColor="text1"/>
          <w:sz w:val="24"/>
          <w14:textFill>
            <w14:solidFill>
              <w14:schemeClr w14:val="tx1"/>
            </w14:solidFill>
          </w14:textFill>
        </w:rPr>
        <w:t>CA 400-888-4636；天谷CA 400-087-8198。</w:t>
      </w:r>
    </w:p>
    <w:p>
      <w:pPr>
        <w:pStyle w:val="34"/>
        <w:spacing w:line="360" w:lineRule="auto"/>
        <w:rPr>
          <w:rFonts w:ascii="仿宋" w:hAnsi="仿宋" w:eastAsia="仿宋" w:cs="仿宋_GB2312"/>
          <w:sz w:val="24"/>
          <w:szCs w:val="24"/>
        </w:rPr>
      </w:pP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hint="eastAsia" w:ascii="仿宋" w:hAnsi="仿宋" w:eastAsia="仿宋" w:cs="仿宋_GB2312"/>
          <w:b/>
          <w:sz w:val="36"/>
          <w:szCs w:val="20"/>
        </w:rPr>
        <w:t xml:space="preserve"> </w:t>
      </w:r>
      <w:r>
        <w:rPr>
          <w:rFonts w:ascii="仿宋" w:hAnsi="仿宋" w:eastAsia="仿宋" w:cs="仿宋_GB2312"/>
          <w:b/>
          <w:sz w:val="36"/>
          <w:szCs w:val="20"/>
        </w:rPr>
        <w:t>投标人须知</w:t>
      </w:r>
      <w:bookmarkEnd w:id="9"/>
    </w:p>
    <w:tbl>
      <w:tblPr>
        <w:tblStyle w:val="63"/>
        <w:tblpPr w:leftFromText="180" w:rightFromText="180" w:vertAnchor="text" w:horzAnchor="page" w:tblpX="1073" w:tblpY="605"/>
        <w:tblOverlap w:val="never"/>
        <w:tblW w:w="987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725"/>
        <w:gridCol w:w="2125"/>
        <w:gridCol w:w="70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38" w:hRule="atLeast"/>
          <w:tblHeader/>
        </w:trPr>
        <w:tc>
          <w:tcPr>
            <w:tcW w:w="725"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2125"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7029"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254" w:hRule="atLeast"/>
          <w:tblHeader/>
        </w:trPr>
        <w:tc>
          <w:tcPr>
            <w:tcW w:w="725"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仿宋_GB2312" w:hAnsi="仿宋" w:eastAsia="仿宋_GB2312" w:cs="仿宋_GB2312"/>
                <w:sz w:val="24"/>
              </w:rPr>
            </w:pPr>
          </w:p>
          <w:p>
            <w:pPr>
              <w:snapToGrid w:val="0"/>
              <w:spacing w:line="400" w:lineRule="exact"/>
              <w:jc w:val="center"/>
              <w:rPr>
                <w:rFonts w:ascii="仿宋_GB2312" w:hAnsi="仿宋" w:eastAsia="仿宋_GB2312" w:cs="仿宋_GB2312"/>
                <w:sz w:val="24"/>
              </w:rPr>
            </w:pPr>
          </w:p>
          <w:p>
            <w:pPr>
              <w:snapToGrid w:val="0"/>
              <w:spacing w:line="400" w:lineRule="exact"/>
              <w:jc w:val="center"/>
              <w:rPr>
                <w:rFonts w:ascii="仿宋_GB2312" w:hAnsi="仿宋" w:eastAsia="仿宋_GB2312" w:cs="仿宋_GB2312"/>
                <w:sz w:val="24"/>
              </w:rPr>
            </w:pPr>
          </w:p>
          <w:p>
            <w:pPr>
              <w:snapToGrid w:val="0"/>
              <w:spacing w:line="400" w:lineRule="exact"/>
              <w:jc w:val="center"/>
              <w:rPr>
                <w:rFonts w:ascii="仿宋_GB2312" w:hAnsi="仿宋" w:eastAsia="仿宋_GB2312" w:cs="仿宋_GB2312"/>
                <w:sz w:val="24"/>
              </w:rPr>
            </w:pPr>
          </w:p>
          <w:p>
            <w:pPr>
              <w:snapToGrid w:val="0"/>
              <w:spacing w:line="400" w:lineRule="exact"/>
              <w:jc w:val="center"/>
              <w:rPr>
                <w:rFonts w:ascii="仿宋_GB2312" w:hAnsi="仿宋" w:eastAsia="仿宋_GB2312" w:cs="仿宋_GB2312"/>
                <w:sz w:val="24"/>
              </w:rPr>
            </w:pPr>
          </w:p>
          <w:p>
            <w:pPr>
              <w:snapToGrid w:val="0"/>
              <w:spacing w:line="400" w:lineRule="exact"/>
              <w:jc w:val="center"/>
              <w:rPr>
                <w:rFonts w:ascii="仿宋_GB2312" w:hAnsi="仿宋" w:eastAsia="仿宋_GB2312" w:cs="仿宋_GB2312"/>
                <w:sz w:val="24"/>
              </w:rPr>
            </w:pPr>
          </w:p>
          <w:p>
            <w:pPr>
              <w:snapToGrid w:val="0"/>
              <w:spacing w:line="400" w:lineRule="exact"/>
              <w:jc w:val="center"/>
              <w:rPr>
                <w:rFonts w:ascii="仿宋_GB2312" w:hAnsi="仿宋" w:eastAsia="仿宋_GB2312" w:cs="仿宋_GB2312"/>
                <w:sz w:val="24"/>
              </w:rPr>
            </w:pPr>
          </w:p>
          <w:p>
            <w:pPr>
              <w:snapToGrid w:val="0"/>
              <w:spacing w:line="400" w:lineRule="exact"/>
              <w:jc w:val="center"/>
              <w:rPr>
                <w:rFonts w:ascii="仿宋_GB2312" w:hAnsi="仿宋" w:eastAsia="仿宋_GB2312" w:cs="仿宋_GB2312"/>
                <w:sz w:val="24"/>
              </w:rPr>
            </w:pPr>
            <w:r>
              <w:rPr>
                <w:rFonts w:ascii="仿宋_GB2312" w:hAnsi="仿宋" w:eastAsia="仿宋_GB2312" w:cs="仿宋_GB2312"/>
                <w:sz w:val="24"/>
              </w:rPr>
              <w:t>1</w:t>
            </w:r>
          </w:p>
        </w:tc>
        <w:tc>
          <w:tcPr>
            <w:tcW w:w="2125"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7029"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ind w:firstLine="480" w:firstLineChars="200"/>
              <w:jc w:val="left"/>
              <w:rPr>
                <w:rFonts w:ascii="仿宋_GB2312" w:hAnsi="仿宋" w:eastAsia="仿宋_GB2312" w:cs="仿宋_GB2312"/>
                <w:b/>
                <w:kern w:val="0"/>
                <w:sz w:val="24"/>
                <w:lang w:val="zh-CN"/>
              </w:rPr>
            </w:pPr>
            <w:r>
              <w:rPr>
                <w:rFonts w:hint="eastAsia" w:ascii="仿宋_GB2312" w:hAnsi="仿宋" w:eastAsia="仿宋_GB2312"/>
                <w:kern w:val="0"/>
                <w:sz w:val="24"/>
                <w:lang w:val="zh-CN"/>
              </w:rPr>
              <w:t>有关本项目实施所需的所有费用（含税费）均计入报价。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r>
              <w:rPr>
                <w:rFonts w:hint="eastAsia" w:ascii="仿宋_GB2312" w:hAnsi="仿宋" w:eastAsia="仿宋_GB2312" w:cs="仿宋_GB2312"/>
                <w:b/>
                <w:kern w:val="0"/>
                <w:sz w:val="24"/>
                <w:lang w:val="zh-CN"/>
              </w:rPr>
              <w:t>提醒：验收时检测费用由采购人承担，不包含在投标总价中。</w:t>
            </w:r>
          </w:p>
          <w:p>
            <w:pPr>
              <w:snapToGrid w:val="0"/>
              <w:spacing w:line="400" w:lineRule="exact"/>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snapToGrid w:val="0"/>
              <w:spacing w:line="400" w:lineRule="exact"/>
              <w:ind w:firstLine="482" w:firstLineChars="200"/>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投标文件出现不是唯一的、有选择性投标报价的；</w:t>
            </w:r>
          </w:p>
          <w:p>
            <w:pPr>
              <w:snapToGrid w:val="0"/>
              <w:spacing w:line="400" w:lineRule="exact"/>
              <w:ind w:firstLine="482" w:firstLineChars="200"/>
              <w:jc w:val="left"/>
              <w:rPr>
                <w:rFonts w:ascii="仿宋_GB2312" w:hAnsi="仿宋" w:eastAsia="仿宋_GB2312"/>
                <w:kern w:val="0"/>
                <w:sz w:val="24"/>
                <w:lang w:val="zh-CN"/>
              </w:rPr>
            </w:pPr>
            <w:r>
              <w:rPr>
                <w:rFonts w:hint="eastAsia" w:ascii="仿宋_GB2312" w:hAnsi="仿宋" w:eastAsia="仿宋_GB2312" w:cs="仿宋_GB2312"/>
                <w:b/>
                <w:kern w:val="0"/>
                <w:sz w:val="24"/>
                <w:lang w:val="zh-CN"/>
              </w:rPr>
              <w:t>投标报价超过招标文件中规定的预算金额或者最高限价的</w:t>
            </w:r>
            <w:r>
              <w:rPr>
                <w:rFonts w:ascii="仿宋_GB2312" w:hAnsi="仿宋" w:eastAsia="仿宋_GB2312"/>
                <w:b/>
                <w:kern w:val="0"/>
                <w:sz w:val="24"/>
                <w:lang w:val="zh-CN"/>
              </w:rPr>
              <w:t>;</w:t>
            </w:r>
          </w:p>
          <w:p>
            <w:pPr>
              <w:spacing w:line="400" w:lineRule="exact"/>
              <w:ind w:firstLine="482" w:firstLineChars="200"/>
              <w:rPr>
                <w:rFonts w:ascii="仿宋_GB2312" w:hAnsi="仿宋" w:eastAsia="仿宋_GB2312" w:cs="仿宋_GB2312"/>
                <w:b/>
                <w:sz w:val="24"/>
              </w:rPr>
            </w:pP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spacing w:line="400" w:lineRule="exact"/>
              <w:ind w:firstLine="482" w:firstLineChars="200"/>
              <w:rPr>
                <w:rFonts w:ascii="仿宋_GB2312" w:hAnsi="仿宋" w:eastAsia="仿宋_GB2312"/>
                <w:sz w:val="24"/>
              </w:rPr>
            </w:pP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 w:eastAsia="仿宋_GB2312" w:cs="仿宋_GB2312"/>
                <w:sz w:val="24"/>
              </w:rPr>
            </w:pPr>
            <w:r>
              <w:rPr>
                <w:rFonts w:ascii="仿宋_GB2312" w:hAnsi="仿宋" w:eastAsia="仿宋_GB2312" w:cs="仿宋_GB2312"/>
                <w:sz w:val="24"/>
              </w:rPr>
              <w:t>2</w:t>
            </w:r>
          </w:p>
        </w:tc>
        <w:tc>
          <w:tcPr>
            <w:tcW w:w="2125"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7029"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仿宋_GB2312" w:hAnsi="仿宋" w:eastAsia="仿宋_GB2312"/>
                <w:sz w:val="24"/>
              </w:rPr>
            </w:pPr>
            <w:sdt>
              <w:sdtPr>
                <w:rPr>
                  <w:rFonts w:hint="eastAsia" w:ascii="仿宋_GB2312" w:hAnsi="仿宋" w:eastAsia="仿宋_GB2312" w:cs="Arial"/>
                  <w:kern w:val="0"/>
                  <w:sz w:val="24"/>
                </w:rPr>
                <w:id w:val="-1477286927"/>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MS Gothic" w:cs="Arial"/>
                    <w:kern w:val="0"/>
                    <w:sz w:val="24"/>
                  </w:rPr>
                  <w:t></w:t>
                </w:r>
              </w:sdtContent>
            </w:sdt>
            <w:r>
              <w:rPr>
                <w:rFonts w:ascii="仿宋_GB2312" w:hAnsi="仿宋" w:eastAsia="仿宋_GB2312" w:cs="Arial"/>
                <w:kern w:val="0"/>
                <w:sz w:val="24"/>
              </w:rPr>
              <w:t>A</w:t>
            </w:r>
            <w:r>
              <w:rPr>
                <w:rFonts w:hint="eastAsia" w:ascii="仿宋_GB2312" w:hAnsi="仿宋" w:eastAsia="仿宋_GB2312"/>
                <w:sz w:val="24"/>
              </w:rPr>
              <w:t>同意将非主体、非关键性的工作分包。</w:t>
            </w:r>
          </w:p>
          <w:p>
            <w:pPr>
              <w:spacing w:line="400" w:lineRule="exact"/>
              <w:rPr>
                <w:rFonts w:ascii="仿宋_GB2312" w:hAnsi="仿宋" w:eastAsia="仿宋_GB2312" w:cs="仿宋_GB2312"/>
                <w:sz w:val="24"/>
              </w:rPr>
            </w:pPr>
            <w:sdt>
              <w:sdtPr>
                <w:rPr>
                  <w:rFonts w:hint="eastAsia" w:ascii="仿宋_GB2312" w:hAnsi="仿宋" w:eastAsia="仿宋_GB2312" w:cs="Arial"/>
                  <w:kern w:val="0"/>
                  <w:sz w:val="24"/>
                </w:rPr>
                <w:id w:val="-1276331357"/>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hint="eastAsia" w:ascii="MS Gothic" w:hAnsi="MS Gothic" w:eastAsia="MS Gothic" w:cs="Arial"/>
                    <w:kern w:val="0"/>
                    <w:sz w:val="24"/>
                  </w:rPr>
                  <w:t>☐</w:t>
                </w:r>
              </w:sdtContent>
            </w:sdt>
            <w:r>
              <w:rPr>
                <w:rFonts w:ascii="仿宋_GB2312" w:hAnsi="仿宋" w:eastAsia="仿宋_GB2312" w:cs="Arial"/>
                <w:kern w:val="0"/>
                <w:sz w:val="24"/>
              </w:rPr>
              <w:t>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73" w:hRule="atLeast"/>
          <w:tblHeader/>
        </w:trPr>
        <w:tc>
          <w:tcPr>
            <w:tcW w:w="725" w:type="dxa"/>
            <w:vMerge w:val="restart"/>
            <w:tcBorders>
              <w:top w:val="single" w:color="auto" w:sz="4" w:space="0"/>
              <w:left w:val="single" w:color="auto" w:sz="4" w:space="0"/>
              <w:right w:val="single" w:color="auto" w:sz="4" w:space="0"/>
            </w:tcBorders>
          </w:tcPr>
          <w:p>
            <w:pPr>
              <w:snapToGrid w:val="0"/>
              <w:spacing w:line="400" w:lineRule="exact"/>
              <w:jc w:val="center"/>
              <w:rPr>
                <w:rFonts w:ascii="仿宋_GB2312" w:hAnsi="仿宋" w:eastAsia="仿宋_GB2312" w:cs="仿宋_GB2312"/>
                <w:sz w:val="24"/>
              </w:rPr>
            </w:pPr>
          </w:p>
          <w:p>
            <w:pPr>
              <w:snapToGrid w:val="0"/>
              <w:spacing w:line="400" w:lineRule="exact"/>
              <w:jc w:val="center"/>
              <w:rPr>
                <w:rFonts w:ascii="仿宋_GB2312" w:hAnsi="仿宋" w:eastAsia="仿宋_GB2312" w:cs="仿宋_GB2312"/>
                <w:sz w:val="24"/>
              </w:rPr>
            </w:pPr>
          </w:p>
          <w:p>
            <w:pPr>
              <w:snapToGrid w:val="0"/>
              <w:spacing w:line="400" w:lineRule="exact"/>
              <w:jc w:val="center"/>
              <w:rPr>
                <w:rFonts w:ascii="仿宋_GB2312" w:hAnsi="仿宋" w:eastAsia="仿宋_GB2312" w:cs="仿宋_GB2312"/>
                <w:sz w:val="24"/>
              </w:rPr>
            </w:pPr>
            <w:r>
              <w:rPr>
                <w:rFonts w:ascii="仿宋_GB2312" w:hAnsi="仿宋" w:eastAsia="仿宋_GB2312" w:cs="仿宋_GB2312"/>
                <w:sz w:val="24"/>
              </w:rPr>
              <w:t>3</w:t>
            </w:r>
          </w:p>
        </w:tc>
        <w:tc>
          <w:tcPr>
            <w:tcW w:w="2125" w:type="dxa"/>
            <w:vMerge w:val="restart"/>
            <w:tcBorders>
              <w:top w:val="single" w:color="000000" w:sz="8" w:space="0"/>
              <w:left w:val="single" w:color="auto" w:sz="4" w:space="0"/>
              <w:right w:val="single" w:color="000000" w:sz="8" w:space="0"/>
            </w:tcBorders>
            <w:vAlign w:val="center"/>
          </w:tcPr>
          <w:p>
            <w:pPr>
              <w:snapToGrid w:val="0"/>
              <w:spacing w:line="400" w:lineRule="exact"/>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投标人应当提供的资格、资信证明文件</w:t>
            </w:r>
          </w:p>
        </w:tc>
        <w:tc>
          <w:tcPr>
            <w:tcW w:w="7029" w:type="dxa"/>
            <w:tcBorders>
              <w:top w:val="single" w:color="000000" w:sz="8" w:space="0"/>
              <w:left w:val="single" w:color="000000" w:sz="2" w:space="0"/>
              <w:bottom w:val="single" w:color="auto" w:sz="4" w:space="0"/>
              <w:right w:val="single" w:color="000000" w:sz="8" w:space="0"/>
            </w:tcBorders>
            <w:vAlign w:val="center"/>
          </w:tcPr>
          <w:p>
            <w:pPr>
              <w:spacing w:line="400" w:lineRule="exact"/>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1）资格证明文件：见招标文件第二部分11.1。</w:t>
            </w:r>
          </w:p>
          <w:p>
            <w:pPr>
              <w:spacing w:line="400" w:lineRule="exact"/>
              <w:rPr>
                <w:rFonts w:ascii="Arial" w:hAnsi="Arial" w:eastAsia="黑体" w:cs="Arial"/>
                <w:snapToGrid w:val="0"/>
                <w:kern w:val="0"/>
                <w:szCs w:val="21"/>
              </w:rPr>
            </w:pPr>
            <w:r>
              <w:rPr>
                <w:rFonts w:hint="eastAsia" w:ascii="仿宋_GB2312" w:hAnsi="仿宋" w:eastAsia="仿宋_GB2312"/>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7" w:hRule="atLeast"/>
          <w:tblHeader/>
        </w:trPr>
        <w:tc>
          <w:tcPr>
            <w:tcW w:w="725" w:type="dxa"/>
            <w:vMerge w:val="continue"/>
            <w:tcBorders>
              <w:left w:val="single" w:color="auto" w:sz="4" w:space="0"/>
              <w:bottom w:val="single" w:color="auto" w:sz="4" w:space="0"/>
              <w:right w:val="single" w:color="auto" w:sz="4" w:space="0"/>
            </w:tcBorders>
          </w:tcPr>
          <w:p>
            <w:pPr>
              <w:snapToGrid w:val="0"/>
              <w:spacing w:line="400" w:lineRule="exact"/>
              <w:jc w:val="center"/>
              <w:rPr>
                <w:rFonts w:ascii="仿宋_GB2312" w:hAnsi="仿宋" w:eastAsia="仿宋_GB2312" w:cs="仿宋_GB2312"/>
                <w:sz w:val="24"/>
              </w:rPr>
            </w:pPr>
          </w:p>
        </w:tc>
        <w:tc>
          <w:tcPr>
            <w:tcW w:w="2125" w:type="dxa"/>
            <w:vMerge w:val="continue"/>
            <w:tcBorders>
              <w:left w:val="single" w:color="auto" w:sz="4"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
                <w:sz w:val="24"/>
              </w:rPr>
            </w:pPr>
          </w:p>
        </w:tc>
        <w:tc>
          <w:tcPr>
            <w:tcW w:w="7029" w:type="dxa"/>
            <w:tcBorders>
              <w:top w:val="single" w:color="auto" w:sz="4" w:space="0"/>
              <w:left w:val="single" w:color="000000" w:sz="2" w:space="0"/>
              <w:bottom w:val="single" w:color="000000" w:sz="8" w:space="0"/>
              <w:right w:val="single" w:color="000000" w:sz="8" w:space="0"/>
            </w:tcBorders>
            <w:vAlign w:val="center"/>
          </w:tcPr>
          <w:p>
            <w:pPr>
              <w:spacing w:line="400" w:lineRule="exact"/>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73" w:hRule="atLeast"/>
          <w:tblHeader/>
        </w:trPr>
        <w:tc>
          <w:tcPr>
            <w:tcW w:w="725"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仿宋_GB2312" w:hAnsi="仿宋" w:eastAsia="仿宋_GB2312" w:cs="仿宋_GB2312"/>
                <w:sz w:val="24"/>
              </w:rPr>
            </w:pPr>
          </w:p>
          <w:p>
            <w:pPr>
              <w:snapToGrid w:val="0"/>
              <w:spacing w:line="400" w:lineRule="exact"/>
              <w:jc w:val="center"/>
              <w:rPr>
                <w:rFonts w:ascii="仿宋_GB2312" w:hAnsi="仿宋" w:eastAsia="仿宋_GB2312" w:cs="仿宋_GB2312"/>
                <w:sz w:val="24"/>
              </w:rPr>
            </w:pPr>
            <w:r>
              <w:rPr>
                <w:rFonts w:ascii="仿宋_GB2312" w:hAnsi="仿宋" w:eastAsia="仿宋_GB2312" w:cs="仿宋_GB2312"/>
                <w:sz w:val="24"/>
              </w:rPr>
              <w:t>4</w:t>
            </w:r>
          </w:p>
        </w:tc>
        <w:tc>
          <w:tcPr>
            <w:tcW w:w="2125"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7029"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仿宋_GB2312" w:hAnsi="仿宋" w:eastAsia="仿宋_GB2312"/>
                <w:sz w:val="24"/>
              </w:rPr>
            </w:pPr>
            <w:sdt>
              <w:sdtPr>
                <w:rPr>
                  <w:rFonts w:hint="eastAsia" w:ascii="仿宋_GB2312" w:hAnsi="仿宋" w:eastAsia="仿宋_GB2312" w:cs="Arial"/>
                  <w:kern w:val="0"/>
                  <w:sz w:val="24"/>
                </w:rPr>
                <w:id w:val="-212966419"/>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MS Gothic" w:cs="Arial"/>
                    <w:kern w:val="0"/>
                    <w:sz w:val="24"/>
                  </w:rPr>
                  <w:t></w:t>
                </w:r>
              </w:sdtContent>
            </w:sdt>
            <w:r>
              <w:rPr>
                <w:rFonts w:ascii="仿宋_GB2312" w:hAnsi="仿宋" w:eastAsia="仿宋_GB2312" w:cs="Arial"/>
                <w:kern w:val="0"/>
                <w:sz w:val="24"/>
              </w:rPr>
              <w:t>A</w:t>
            </w:r>
            <w:r>
              <w:rPr>
                <w:rFonts w:hint="eastAsia" w:ascii="仿宋_GB2312" w:hAnsi="仿宋" w:eastAsia="仿宋_GB2312"/>
                <w:sz w:val="24"/>
              </w:rPr>
              <w:t>不组织。</w:t>
            </w:r>
          </w:p>
          <w:p>
            <w:pPr>
              <w:spacing w:line="400" w:lineRule="exact"/>
              <w:rPr>
                <w:rFonts w:ascii="仿宋_GB2312" w:hAnsi="仿宋" w:eastAsia="仿宋_GB2312"/>
                <w:sz w:val="24"/>
                <w:szCs w:val="20"/>
              </w:rPr>
            </w:pPr>
            <w:sdt>
              <w:sdtPr>
                <w:rPr>
                  <w:rFonts w:hint="eastAsia" w:ascii="仿宋_GB2312" w:hAnsi="仿宋" w:eastAsia="仿宋_GB2312" w:cs="Arial"/>
                  <w:kern w:val="0"/>
                  <w:sz w:val="24"/>
                </w:rPr>
                <w:id w:val="-999802974"/>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kern w:val="0"/>
                <w:sz w:val="24"/>
              </w:rPr>
              <w:t>B组织，</w:t>
            </w:r>
            <w:r>
              <w:rPr>
                <w:rFonts w:hint="eastAsia" w:ascii="仿宋_GB2312" w:hAnsi="仿宋" w:eastAsia="仿宋_GB2312"/>
                <w:sz w:val="24"/>
              </w:rPr>
              <w:t>时间：</w:t>
            </w:r>
            <w:r>
              <w:rPr>
                <w:rFonts w:ascii="仿宋_GB2312" w:hAnsi="仿宋" w:eastAsia="仿宋_GB2312"/>
                <w:sz w:val="24"/>
                <w:u w:val="single"/>
              </w:rPr>
              <w:t xml:space="preserve">      </w:t>
            </w:r>
            <w:r>
              <w:rPr>
                <w:rFonts w:ascii="仿宋_GB2312" w:hAnsi="仿宋" w:eastAsia="仿宋_GB2312"/>
                <w:sz w:val="24"/>
              </w:rPr>
              <w:t>,地点：</w:t>
            </w:r>
            <w:r>
              <w:rPr>
                <w:rFonts w:ascii="仿宋_GB2312" w:hAnsi="仿宋" w:eastAsia="仿宋_GB2312"/>
                <w:sz w:val="24"/>
                <w:u w:val="single"/>
              </w:rPr>
              <w:t xml:space="preserve">      </w:t>
            </w:r>
            <w:r>
              <w:rPr>
                <w:rFonts w:hint="eastAsia" w:ascii="仿宋_GB2312" w:hAnsi="仿宋" w:eastAsia="仿宋_GB2312"/>
                <w:sz w:val="24"/>
              </w:rPr>
              <w:t>，联系人：</w:t>
            </w:r>
            <w:r>
              <w:rPr>
                <w:rFonts w:ascii="仿宋_GB2312" w:hAnsi="仿宋" w:eastAsia="仿宋_GB2312"/>
                <w:sz w:val="24"/>
                <w:u w:val="single"/>
              </w:rPr>
              <w:t xml:space="preserve">      </w:t>
            </w:r>
            <w:r>
              <w:rPr>
                <w:rFonts w:hint="eastAsia" w:ascii="仿宋_GB2312" w:hAnsi="仿宋" w:eastAsia="仿宋_GB2312"/>
                <w:sz w:val="24"/>
              </w:rPr>
              <w:t>，联系方式：</w:t>
            </w:r>
            <w:r>
              <w:rPr>
                <w:rFonts w:ascii="仿宋_GB2312" w:hAnsi="仿宋" w:eastAsia="仿宋_GB2312"/>
                <w:sz w:val="24"/>
                <w:u w:val="single"/>
              </w:rPr>
              <w:t xml:space="preserve">      </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51" w:hRule="atLeast"/>
          <w:tblHeader/>
        </w:trPr>
        <w:tc>
          <w:tcPr>
            <w:tcW w:w="725"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仿宋_GB2312" w:hAnsi="仿宋" w:eastAsia="仿宋_GB2312" w:cs="仿宋_GB2312"/>
                <w:sz w:val="24"/>
              </w:rPr>
            </w:pPr>
            <w:r>
              <w:rPr>
                <w:rFonts w:ascii="仿宋_GB2312" w:hAnsi="仿宋" w:eastAsia="仿宋_GB2312" w:cs="仿宋_GB2312"/>
                <w:sz w:val="24"/>
              </w:rPr>
              <w:t>5</w:t>
            </w:r>
          </w:p>
        </w:tc>
        <w:tc>
          <w:tcPr>
            <w:tcW w:w="2125"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7029"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仿宋_GB2312" w:hAnsi="仿宋" w:eastAsia="仿宋_GB2312"/>
                <w:sz w:val="24"/>
              </w:rPr>
            </w:pPr>
            <w:sdt>
              <w:sdtPr>
                <w:rPr>
                  <w:rFonts w:hint="eastAsia" w:ascii="仿宋_GB2312" w:hAnsi="仿宋" w:eastAsia="仿宋_GB2312" w:cs="Arial"/>
                  <w:kern w:val="0"/>
                  <w:sz w:val="24"/>
                </w:rPr>
                <w:id w:val="-1639946486"/>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MS Gothic" w:cs="Arial"/>
                    <w:kern w:val="0"/>
                    <w:sz w:val="24"/>
                  </w:rPr>
                  <w:t></w:t>
                </w:r>
              </w:sdtContent>
            </w:sdt>
            <w:r>
              <w:rPr>
                <w:rFonts w:ascii="仿宋_GB2312" w:hAnsi="仿宋" w:eastAsia="仿宋_GB2312" w:cs="Arial"/>
                <w:kern w:val="0"/>
                <w:sz w:val="24"/>
              </w:rPr>
              <w:t>A</w:t>
            </w:r>
            <w:r>
              <w:rPr>
                <w:rFonts w:hint="eastAsia" w:ascii="仿宋_GB2312" w:hAnsi="仿宋" w:eastAsia="仿宋_GB2312"/>
                <w:sz w:val="24"/>
              </w:rPr>
              <w:t>不要求提供。</w:t>
            </w:r>
          </w:p>
          <w:p>
            <w:pPr>
              <w:spacing w:line="400" w:lineRule="exact"/>
              <w:rPr>
                <w:rFonts w:ascii="仿宋_GB2312" w:hAnsi="仿宋" w:eastAsia="仿宋_GB2312"/>
                <w:kern w:val="0"/>
                <w:sz w:val="24"/>
              </w:rPr>
            </w:pPr>
            <w:sdt>
              <w:sdtPr>
                <w:rPr>
                  <w:rFonts w:hint="eastAsia" w:ascii="仿宋_GB2312" w:hAnsi="仿宋" w:eastAsia="仿宋_GB2312" w:cs="Arial"/>
                  <w:kern w:val="0"/>
                  <w:sz w:val="24"/>
                </w:rPr>
                <w:id w:val="1026831988"/>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hint="eastAsia" w:ascii="MS Gothic" w:hAnsi="MS Gothic" w:eastAsia="MS Gothic" w:cs="Arial"/>
                    <w:kern w:val="0"/>
                    <w:sz w:val="24"/>
                  </w:rPr>
                  <w:t>☐</w:t>
                </w:r>
              </w:sdtContent>
            </w:sdt>
            <w:r>
              <w:rPr>
                <w:rFonts w:ascii="仿宋_GB2312" w:hAnsi="仿宋" w:eastAsia="仿宋_GB2312"/>
                <w:kern w:val="0"/>
                <w:sz w:val="24"/>
              </w:rPr>
              <w:t>B</w:t>
            </w:r>
            <w:r>
              <w:rPr>
                <w:rFonts w:hint="eastAsia" w:ascii="仿宋_GB2312" w:hAnsi="仿宋" w:eastAsia="仿宋_GB2312"/>
                <w:kern w:val="0"/>
                <w:sz w:val="24"/>
              </w:rPr>
              <w:t>要求提供，</w:t>
            </w:r>
          </w:p>
          <w:p>
            <w:pPr>
              <w:spacing w:line="400" w:lineRule="exact"/>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w:t>
            </w:r>
            <w:r>
              <w:rPr>
                <w:rFonts w:hint="eastAsia" w:ascii="仿宋" w:hAnsi="仿宋" w:eastAsia="仿宋"/>
                <w:snapToGrid w:val="0"/>
                <w:kern w:val="28"/>
                <w:sz w:val="24"/>
              </w:rPr>
              <w:t>样品：</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400" w:lineRule="exact"/>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w:t>
            </w:r>
            <w:r>
              <w:rPr>
                <w:rFonts w:hint="eastAsia" w:ascii="仿宋" w:hAnsi="仿宋" w:eastAsia="仿宋"/>
                <w:snapToGrid w:val="0"/>
                <w:kern w:val="28"/>
                <w:sz w:val="24"/>
              </w:rPr>
              <w:t>样品制作的标准和要求：</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400" w:lineRule="exact"/>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3）样品的评审方法以及评审标准</w:t>
            </w:r>
            <w:r>
              <w:rPr>
                <w:rFonts w:hint="eastAsia" w:ascii="仿宋" w:hAnsi="仿宋" w:eastAsia="仿宋"/>
                <w:snapToGrid w:val="0"/>
                <w:kern w:val="28"/>
                <w:sz w:val="24"/>
              </w:rPr>
              <w:t>：详见</w:t>
            </w:r>
            <w:r>
              <w:rPr>
                <w:rFonts w:hint="eastAsia" w:ascii="仿宋_GB2312" w:hAnsi="仿宋" w:eastAsia="仿宋_GB2312"/>
                <w:sz w:val="24"/>
                <w:u w:val="single"/>
              </w:rPr>
              <w:t>评标办法</w:t>
            </w:r>
            <w:r>
              <w:rPr>
                <w:rFonts w:hint="eastAsia" w:ascii="仿宋_GB2312" w:hAnsi="仿宋" w:eastAsia="仿宋_GB2312"/>
                <w:kern w:val="0"/>
                <w:sz w:val="24"/>
              </w:rPr>
              <w:t>。</w:t>
            </w:r>
          </w:p>
          <w:p>
            <w:pPr>
              <w:spacing w:line="400" w:lineRule="exact"/>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4）是否需要随样品提交检测报告</w:t>
            </w:r>
            <w:r>
              <w:rPr>
                <w:rFonts w:hint="eastAsia" w:ascii="仿宋_GB2312" w:hAnsi="仿宋" w:eastAsia="仿宋_GB2312"/>
                <w:kern w:val="0"/>
                <w:sz w:val="24"/>
              </w:rPr>
              <w:t>：</w:t>
            </w:r>
            <w:sdt>
              <w:sdtPr>
                <w:rPr>
                  <w:rFonts w:hint="eastAsia" w:ascii="仿宋_GB2312" w:hAnsi="仿宋" w:eastAsia="仿宋_GB2312" w:cs="Arial"/>
                  <w:kern w:val="0"/>
                  <w:sz w:val="24"/>
                </w:rPr>
                <w:id w:val="1303421454"/>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hint="eastAsia" w:ascii="MS Gothic" w:hAnsi="MS Gothic" w:eastAsia="MS Gothic" w:cs="Arial"/>
                    <w:kern w:val="0"/>
                    <w:sz w:val="24"/>
                  </w:rPr>
                  <w:t>☐</w:t>
                </w:r>
              </w:sdtContent>
            </w:sdt>
            <w:r>
              <w:rPr>
                <w:rFonts w:ascii="仿宋_GB2312" w:hAnsi="仿宋" w:eastAsia="仿宋_GB2312"/>
                <w:kern w:val="0"/>
                <w:sz w:val="24"/>
              </w:rPr>
              <w:t>否；</w:t>
            </w:r>
            <w:sdt>
              <w:sdtPr>
                <w:rPr>
                  <w:rFonts w:hint="eastAsia" w:ascii="仿宋_GB2312" w:hAnsi="仿宋" w:eastAsia="仿宋_GB2312" w:cs="Arial"/>
                  <w:kern w:val="0"/>
                  <w:sz w:val="24"/>
                </w:rPr>
                <w:id w:val="1621728433"/>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ascii="仿宋_GB2312" w:hAnsi="仿宋" w:eastAsia="仿宋_GB2312"/>
                <w:kern w:val="0"/>
                <w:sz w:val="24"/>
              </w:rPr>
              <w:t>是，检测机构的要求</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kern w:val="0"/>
                <w:sz w:val="24"/>
              </w:rPr>
              <w:t>；检测内容</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400" w:lineRule="exact"/>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5）提供样品的时间：</w:t>
            </w:r>
            <w:r>
              <w:rPr>
                <w:rFonts w:hint="eastAsia" w:ascii="仿宋_GB2312" w:hAnsi="仿宋" w:eastAsia="仿宋_GB2312"/>
                <w:sz w:val="24"/>
                <w:u w:val="single"/>
              </w:rPr>
              <w:t xml:space="preserve">    </w:t>
            </w:r>
            <w:r>
              <w:rPr>
                <w:rFonts w:hint="eastAsia" w:ascii="仿宋_GB2312" w:hAnsi="仿宋" w:eastAsia="仿宋_GB2312"/>
                <w:kern w:val="0"/>
                <w:sz w:val="24"/>
              </w:rPr>
              <w:t>；地点：</w:t>
            </w:r>
            <w:r>
              <w:rPr>
                <w:rFonts w:hint="eastAsia" w:ascii="仿宋_GB2312" w:hAnsi="仿宋" w:eastAsia="仿宋_GB2312"/>
                <w:sz w:val="24"/>
                <w:u w:val="single"/>
              </w:rPr>
              <w:t xml:space="preserve">    </w:t>
            </w:r>
            <w:r>
              <w:rPr>
                <w:rFonts w:hint="eastAsia" w:ascii="仿宋_GB2312" w:hAnsi="仿宋" w:eastAsia="仿宋_GB2312"/>
                <w:kern w:val="0"/>
                <w:sz w:val="24"/>
              </w:rPr>
              <w:t>；联系人</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sz w:val="24"/>
              </w:rPr>
              <w:t>；</w:t>
            </w:r>
            <w:r>
              <w:rPr>
                <w:rFonts w:hint="eastAsia" w:ascii="仿宋_GB2312" w:hAnsi="仿宋" w:eastAsia="仿宋_GB2312"/>
                <w:kern w:val="28"/>
                <w:sz w:val="24"/>
              </w:rPr>
              <w:t>联系电话：</w:t>
            </w:r>
            <w:r>
              <w:rPr>
                <w:rFonts w:hint="eastAsia" w:ascii="仿宋_GB2312" w:hAnsi="仿宋" w:eastAsia="仿宋_GB2312"/>
                <w:sz w:val="24"/>
                <w:u w:val="single"/>
              </w:rPr>
              <w:t xml:space="preserve">    </w:t>
            </w:r>
            <w:r>
              <w:rPr>
                <w:rFonts w:hint="eastAsia" w:ascii="仿宋_GB2312" w:hAnsi="仿宋" w:eastAsia="仿宋_GB2312"/>
                <w:sz w:val="24"/>
              </w:rPr>
              <w:t>。请投标人在上述时间内提供样品并按规定位置安装完毕。超过截止时间的，采购人或采购代理机构将不予接收，并将清场并封闭样品现场。</w:t>
            </w:r>
          </w:p>
          <w:p>
            <w:pPr>
              <w:spacing w:line="400" w:lineRule="exact"/>
              <w:rPr>
                <w:rFonts w:ascii="仿宋_GB2312" w:hAnsi="仿宋" w:eastAsia="仿宋_GB2312"/>
                <w:sz w:val="24"/>
              </w:rPr>
            </w:pPr>
            <w:r>
              <w:rPr>
                <w:rFonts w:ascii="仿宋_GB2312" w:hAnsi="仿宋" w:eastAsia="仿宋_GB2312"/>
                <w:sz w:val="24"/>
              </w:rPr>
              <w:t>(6)采购活动结束后，对于未中标人提供的样品，</w:t>
            </w:r>
            <w:r>
              <w:rPr>
                <w:rFonts w:hint="eastAsia" w:ascii="仿宋_GB2312" w:hAnsi="仿宋" w:eastAsia="仿宋_GB2312"/>
                <w:sz w:val="24"/>
              </w:rPr>
              <w:t>采购人、采购机构将通知</w:t>
            </w:r>
            <w:r>
              <w:rPr>
                <w:rFonts w:ascii="仿宋_GB2312" w:hAnsi="仿宋" w:eastAsia="仿宋_GB2312"/>
                <w:sz w:val="24"/>
              </w:rPr>
              <w:t>未中标人</w:t>
            </w:r>
            <w:r>
              <w:rPr>
                <w:rFonts w:hint="eastAsia" w:ascii="仿宋_GB2312" w:hAnsi="仿宋" w:eastAsia="仿宋_GB2312"/>
                <w:sz w:val="24"/>
              </w:rPr>
              <w:t>在规定的时间内取回，逾期未取回的，采购人、采购机构不负保管义务</w:t>
            </w:r>
            <w:r>
              <w:rPr>
                <w:rFonts w:ascii="仿宋_GB2312" w:hAnsi="仿宋" w:eastAsia="仿宋_GB2312"/>
                <w:sz w:val="24"/>
              </w:rPr>
              <w:t>；对于中标人提供的样品，</w:t>
            </w:r>
            <w:r>
              <w:rPr>
                <w:rFonts w:hint="eastAsia" w:ascii="仿宋_GB2312" w:hAnsi="仿宋" w:eastAsia="仿宋_GB2312"/>
                <w:sz w:val="24"/>
              </w:rPr>
              <w:t>采购人将进</w:t>
            </w:r>
            <w:r>
              <w:rPr>
                <w:rFonts w:ascii="仿宋_GB2312" w:hAnsi="仿宋" w:eastAsia="仿宋_GB2312"/>
                <w:sz w:val="24"/>
              </w:rPr>
              <w:t>行保管、封存，并作为履约验收的参考。</w:t>
            </w:r>
          </w:p>
          <w:p>
            <w:pPr>
              <w:spacing w:line="400" w:lineRule="exact"/>
              <w:rPr>
                <w:rFonts w:ascii="仿宋_GB2312" w:hAnsi="仿宋" w:eastAsia="仿宋_GB2312"/>
                <w:b/>
                <w:sz w:val="24"/>
              </w:rPr>
            </w:pPr>
            <w:r>
              <w:rPr>
                <w:rFonts w:hint="eastAsia" w:ascii="仿宋_GB2312" w:hAnsi="仿宋" w:eastAsia="仿宋_GB2312"/>
                <w:sz w:val="24"/>
              </w:rPr>
              <w:t>（</w:t>
            </w:r>
            <w:r>
              <w:rPr>
                <w:rFonts w:ascii="仿宋_GB2312" w:hAnsi="仿宋" w:eastAsia="仿宋_GB2312"/>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031" w:hRule="atLeast"/>
          <w:tblHeader/>
        </w:trPr>
        <w:tc>
          <w:tcPr>
            <w:tcW w:w="725" w:type="dxa"/>
            <w:tcBorders>
              <w:top w:val="single" w:color="auto" w:sz="4" w:space="0"/>
              <w:left w:val="single" w:color="000000" w:sz="8" w:space="0"/>
              <w:bottom w:val="single" w:color="auto" w:sz="4" w:space="0"/>
              <w:right w:val="single" w:color="000000" w:sz="2" w:space="0"/>
            </w:tcBorders>
          </w:tcPr>
          <w:p>
            <w:pPr>
              <w:snapToGrid w:val="0"/>
              <w:spacing w:line="400" w:lineRule="exact"/>
              <w:jc w:val="center"/>
              <w:rPr>
                <w:rFonts w:ascii="仿宋_GB2312" w:hAnsi="仿宋" w:eastAsia="仿宋_GB2312" w:cs="仿宋_GB2312"/>
                <w:sz w:val="24"/>
              </w:rPr>
            </w:pPr>
            <w:r>
              <w:rPr>
                <w:rFonts w:ascii="仿宋_GB2312" w:hAnsi="仿宋" w:eastAsia="仿宋_GB2312" w:cs="仿宋_GB2312"/>
                <w:sz w:val="24"/>
              </w:rPr>
              <w:t>6</w:t>
            </w:r>
          </w:p>
        </w:tc>
        <w:tc>
          <w:tcPr>
            <w:tcW w:w="212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7029"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仿宋_GB2312" w:hAnsi="仿宋" w:eastAsia="仿宋_GB2312"/>
                <w:sz w:val="24"/>
              </w:rPr>
            </w:pPr>
            <w:sdt>
              <w:sdtPr>
                <w:rPr>
                  <w:rFonts w:hint="eastAsia" w:ascii="仿宋_GB2312" w:hAnsi="仿宋" w:eastAsia="仿宋_GB2312" w:cs="Arial"/>
                  <w:kern w:val="0"/>
                  <w:sz w:val="24"/>
                </w:rPr>
                <w:id w:val="-1859348549"/>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hint="eastAsia" w:ascii="MS Gothic" w:hAnsi="MS Gothic" w:eastAsia="MS Gothic" w:cs="Arial"/>
                    <w:kern w:val="0"/>
                    <w:sz w:val="24"/>
                  </w:rPr>
                  <w:t>☐</w:t>
                </w:r>
              </w:sdtContent>
            </w:sdt>
            <w:r>
              <w:rPr>
                <w:rFonts w:ascii="仿宋_GB2312" w:hAnsi="仿宋" w:eastAsia="仿宋_GB2312" w:cs="Arial"/>
                <w:kern w:val="0"/>
                <w:sz w:val="24"/>
              </w:rPr>
              <w:t>A</w:t>
            </w:r>
            <w:r>
              <w:rPr>
                <w:rFonts w:hint="eastAsia" w:ascii="仿宋_GB2312" w:hAnsi="仿宋" w:eastAsia="仿宋_GB2312"/>
                <w:sz w:val="24"/>
              </w:rPr>
              <w:t>不组织。</w:t>
            </w:r>
          </w:p>
          <w:p>
            <w:pPr>
              <w:spacing w:line="400" w:lineRule="exact"/>
              <w:rPr>
                <w:rFonts w:ascii="仿宋_GB2312" w:hAnsi="仿宋" w:eastAsia="仿宋_GB2312"/>
                <w:kern w:val="0"/>
                <w:sz w:val="24"/>
              </w:rPr>
            </w:pPr>
            <w:sdt>
              <w:sdtPr>
                <w:rPr>
                  <w:rFonts w:hint="eastAsia" w:ascii="仿宋_GB2312" w:hAnsi="仿宋" w:eastAsia="仿宋_GB2312" w:cs="Arial"/>
                  <w:kern w:val="0"/>
                  <w:sz w:val="24"/>
                </w:rPr>
                <w:id w:val="1174071719"/>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ascii="仿宋_GB2312" w:hAnsi="仿宋" w:eastAsia="仿宋_GB2312"/>
                <w:kern w:val="0"/>
                <w:sz w:val="24"/>
              </w:rPr>
              <w:t>B组织。</w:t>
            </w:r>
          </w:p>
          <w:p>
            <w:pPr>
              <w:snapToGrid w:val="0"/>
              <w:spacing w:line="400" w:lineRule="exact"/>
              <w:rPr>
                <w:rFonts w:ascii="仿宋" w:hAnsi="仿宋" w:eastAsia="仿宋" w:cs="仿宋"/>
                <w:kern w:val="0"/>
                <w:sz w:val="24"/>
              </w:rPr>
            </w:pPr>
            <w:r>
              <w:rPr>
                <w:rFonts w:hint="eastAsia" w:ascii="仿宋" w:hAnsi="仿宋" w:eastAsia="仿宋" w:cs="仿宋"/>
                <w:kern w:val="0"/>
                <w:sz w:val="24"/>
              </w:rPr>
              <w:t>（1）在评标时安排每个投标人进行方案讲解演示。每个投标人时间不超过</w:t>
            </w:r>
            <w:r>
              <w:rPr>
                <w:rFonts w:hint="eastAsia" w:ascii="仿宋" w:hAnsi="仿宋" w:eastAsia="仿宋" w:cs="仿宋"/>
                <w:kern w:val="0"/>
                <w:sz w:val="24"/>
                <w:highlight w:val="yellow"/>
              </w:rPr>
              <w:t>15分钟，</w:t>
            </w:r>
            <w:r>
              <w:rPr>
                <w:rFonts w:hint="eastAsia" w:ascii="仿宋" w:hAnsi="仿宋" w:eastAsia="仿宋" w:cs="仿宋"/>
                <w:kern w:val="0"/>
                <w:sz w:val="24"/>
              </w:rPr>
              <w:t>讲解次序以投标文件解密时间先后次序为准，讲解演示人员不超过2人。讲解演示结束后按要求解答评标委员会提问。</w:t>
            </w:r>
          </w:p>
          <w:p>
            <w:pPr>
              <w:snapToGrid w:val="0"/>
              <w:spacing w:line="400" w:lineRule="exact"/>
              <w:rPr>
                <w:rFonts w:ascii="仿宋" w:hAnsi="仿宋" w:eastAsia="仿宋" w:cs="仿宋"/>
                <w:kern w:val="0"/>
                <w:sz w:val="24"/>
              </w:rPr>
            </w:pPr>
            <w:r>
              <w:rPr>
                <w:rFonts w:hint="eastAsia" w:ascii="仿宋" w:hAnsi="仿宋" w:eastAsia="仿宋" w:cs="仿宋"/>
                <w:kern w:val="0"/>
                <w:sz w:val="24"/>
              </w:rPr>
              <w:t>（2）方案讲解演示：</w:t>
            </w:r>
          </w:p>
          <w:p>
            <w:pPr>
              <w:snapToGrid w:val="0"/>
              <w:spacing w:line="400" w:lineRule="exact"/>
              <w:rPr>
                <w:rFonts w:ascii="仿宋_GB2312" w:hAnsi="仿宋" w:eastAsia="仿宋" w:cs="仿宋_GB2312"/>
                <w:b/>
                <w:kern w:val="0"/>
                <w:sz w:val="24"/>
                <w:lang w:val="zh-CN"/>
              </w:rPr>
            </w:pPr>
            <w:r>
              <w:rPr>
                <w:rFonts w:hint="eastAsia" w:ascii="仿宋" w:hAnsi="仿宋" w:eastAsia="仿宋" w:cs="仿宋"/>
                <w:kern w:val="0"/>
                <w:sz w:val="24"/>
              </w:rPr>
              <w:t>现场讲解。现场讲解地点为</w:t>
            </w:r>
            <w:r>
              <w:rPr>
                <w:rFonts w:hint="eastAsia" w:ascii="仿宋" w:hAnsi="仿宋" w:eastAsia="仿宋" w:cs="仿宋"/>
                <w:b/>
                <w:bCs/>
                <w:kern w:val="0"/>
                <w:sz w:val="24"/>
                <w:highlight w:val="yellow"/>
              </w:rPr>
              <w:t>浙江省杭州市古墩路701号紫金广场A座15楼1505室等候</w:t>
            </w:r>
            <w:r>
              <w:rPr>
                <w:rFonts w:hint="eastAsia" w:ascii="仿宋" w:hAnsi="仿宋" w:eastAsia="仿宋" w:cs="仿宋"/>
                <w:kern w:val="0"/>
                <w:sz w:val="24"/>
              </w:rPr>
              <w:t>，讲解演示所用电脑等设备由投标人自备。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525" w:hRule="atLeast"/>
          <w:tblHeader/>
        </w:trPr>
        <w:tc>
          <w:tcPr>
            <w:tcW w:w="725" w:type="dxa"/>
            <w:tcBorders>
              <w:top w:val="single" w:color="auto" w:sz="4" w:space="0"/>
              <w:left w:val="single" w:color="000000" w:sz="8" w:space="0"/>
              <w:bottom w:val="single" w:color="auto" w:sz="4" w:space="0"/>
              <w:right w:val="single" w:color="000000" w:sz="2" w:space="0"/>
            </w:tcBorders>
          </w:tcPr>
          <w:p>
            <w:pPr>
              <w:snapToGrid w:val="0"/>
              <w:spacing w:line="400" w:lineRule="exact"/>
              <w:jc w:val="center"/>
              <w:rPr>
                <w:rFonts w:ascii="仿宋_GB2312" w:hAnsi="仿宋" w:eastAsia="仿宋_GB2312" w:cs="仿宋_GB2312"/>
                <w:sz w:val="24"/>
              </w:rPr>
            </w:pPr>
            <w:r>
              <w:rPr>
                <w:rFonts w:ascii="仿宋_GB2312" w:hAnsi="仿宋" w:eastAsia="仿宋_GB2312" w:cs="仿宋_GB2312"/>
                <w:sz w:val="24"/>
              </w:rPr>
              <w:t>7</w:t>
            </w:r>
          </w:p>
        </w:tc>
        <w:tc>
          <w:tcPr>
            <w:tcW w:w="212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
                <w:sz w:val="24"/>
              </w:rPr>
            </w:pPr>
            <w:r>
              <w:rPr>
                <w:rFonts w:hint="eastAsia" w:ascii="仿宋_GB2312" w:hAnsi="仿宋" w:eastAsia="仿宋_GB2312" w:cs="仿宋_GB2312"/>
                <w:b/>
                <w:sz w:val="24"/>
              </w:rPr>
              <w:t>是否允许采购进口产品</w:t>
            </w:r>
          </w:p>
        </w:tc>
        <w:tc>
          <w:tcPr>
            <w:tcW w:w="7029"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仿宋_GB2312" w:hAnsi="仿宋" w:eastAsia="仿宋_GB2312" w:cs="Arial"/>
                <w:kern w:val="0"/>
                <w:sz w:val="24"/>
              </w:rPr>
            </w:pPr>
            <w:sdt>
              <w:sdtPr>
                <w:rPr>
                  <w:rFonts w:hint="eastAsia" w:ascii="仿宋_GB2312" w:hAnsi="仿宋" w:eastAsia="仿宋_GB2312" w:cs="Arial"/>
                  <w:kern w:val="0"/>
                  <w:sz w:val="24"/>
                </w:rPr>
                <w:id w:val="-1828425707"/>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MS Gothic" w:cs="Arial"/>
                    <w:kern w:val="0"/>
                    <w:sz w:val="24"/>
                  </w:rPr>
                  <w:t></w:t>
                </w:r>
              </w:sdtContent>
            </w:sdt>
            <w:r>
              <w:rPr>
                <w:rFonts w:hint="eastAsia" w:ascii="仿宋_GB2312" w:hAnsi="仿宋" w:eastAsia="仿宋_GB2312" w:cs="Arial"/>
                <w:kern w:val="0"/>
                <w:sz w:val="24"/>
              </w:rPr>
              <w:t>本项目不允许采购进口产品。</w:t>
            </w:r>
          </w:p>
          <w:p>
            <w:pPr>
              <w:spacing w:line="400" w:lineRule="exact"/>
            </w:pPr>
            <w:sdt>
              <w:sdtPr>
                <w:rPr>
                  <w:rFonts w:hint="eastAsia" w:ascii="仿宋_GB2312" w:hAnsi="仿宋" w:eastAsia="仿宋_GB2312" w:cs="Arial"/>
                  <w:kern w:val="0"/>
                  <w:sz w:val="24"/>
                </w:rPr>
                <w:id w:val="-52852824"/>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hint="eastAsia" w:ascii="仿宋_GB2312" w:hAnsi="仿宋" w:eastAsia="仿宋_GB2312" w:cs="Arial"/>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55" w:hRule="atLeast"/>
          <w:tblHeader/>
        </w:trPr>
        <w:tc>
          <w:tcPr>
            <w:tcW w:w="725" w:type="dxa"/>
            <w:tcBorders>
              <w:top w:val="single" w:color="auto" w:sz="4" w:space="0"/>
              <w:left w:val="single" w:color="000000" w:sz="8" w:space="0"/>
              <w:bottom w:val="single" w:color="auto" w:sz="4" w:space="0"/>
              <w:right w:val="single" w:color="000000" w:sz="2" w:space="0"/>
            </w:tcBorders>
          </w:tcPr>
          <w:p>
            <w:pPr>
              <w:snapToGrid w:val="0"/>
              <w:spacing w:line="400" w:lineRule="exact"/>
              <w:jc w:val="center"/>
              <w:rPr>
                <w:rFonts w:ascii="仿宋_GB2312" w:hAnsi="仿宋" w:eastAsia="仿宋_GB2312" w:cs="仿宋_GB2312"/>
                <w:sz w:val="24"/>
              </w:rPr>
            </w:pPr>
          </w:p>
          <w:p>
            <w:pPr>
              <w:snapToGrid w:val="0"/>
              <w:spacing w:line="400" w:lineRule="exact"/>
              <w:jc w:val="center"/>
              <w:rPr>
                <w:rFonts w:ascii="仿宋_GB2312" w:hAnsi="仿宋" w:eastAsia="仿宋_GB2312" w:cs="仿宋_GB2312"/>
                <w:sz w:val="24"/>
              </w:rPr>
            </w:pPr>
            <w:r>
              <w:rPr>
                <w:rFonts w:ascii="仿宋_GB2312" w:hAnsi="仿宋" w:eastAsia="仿宋_GB2312" w:cs="仿宋_GB2312"/>
                <w:sz w:val="24"/>
              </w:rPr>
              <w:t>8</w:t>
            </w:r>
          </w:p>
        </w:tc>
        <w:tc>
          <w:tcPr>
            <w:tcW w:w="212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7029"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仿宋_GB2312" w:hAnsi="仿宋" w:eastAsia="仿宋_GB2312"/>
                <w:sz w:val="24"/>
              </w:rPr>
            </w:pPr>
            <w:sdt>
              <w:sdtPr>
                <w:rPr>
                  <w:rFonts w:hint="eastAsia" w:ascii="仿宋_GB2312" w:hAnsi="仿宋" w:eastAsia="仿宋_GB2312" w:cs="Arial"/>
                  <w:kern w:val="0"/>
                  <w:sz w:val="24"/>
                </w:rPr>
                <w:id w:val="118727868"/>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hint="eastAsia" w:ascii="MS Gothic" w:hAnsi="MS Gothic" w:eastAsia="MS Gothic" w:cs="Arial"/>
                    <w:kern w:val="0"/>
                    <w:sz w:val="24"/>
                  </w:rPr>
                  <w:t>☐</w:t>
                </w:r>
              </w:sdtContent>
            </w:sdt>
            <w:r>
              <w:rPr>
                <w:rFonts w:ascii="仿宋_GB2312" w:hAnsi="仿宋" w:eastAsia="仿宋_GB2312" w:cs="Arial"/>
                <w:kern w:val="0"/>
                <w:sz w:val="24"/>
              </w:rPr>
              <w:t>A</w:t>
            </w:r>
            <w:r>
              <w:rPr>
                <w:rFonts w:hint="eastAsia" w:ascii="仿宋_GB2312" w:hAnsi="仿宋" w:eastAsia="仿宋_GB2312"/>
                <w:sz w:val="24"/>
              </w:rPr>
              <w:t>货物类，单一产品或</w:t>
            </w:r>
            <w:r>
              <w:rPr>
                <w:rFonts w:hint="eastAsia" w:ascii="仿宋_GB2312" w:hAnsi="仿宋" w:eastAsia="仿宋_GB2312"/>
                <w:kern w:val="0"/>
                <w:sz w:val="24"/>
              </w:rPr>
              <w:t>核心产品为：</w:t>
            </w:r>
            <w:r>
              <w:rPr>
                <w:rFonts w:hint="eastAsia" w:ascii="仿宋_GB2312" w:hAnsi="仿宋" w:eastAsia="仿宋_GB2312"/>
                <w:sz w:val="24"/>
                <w:u w:val="single"/>
              </w:rPr>
              <w:t xml:space="preserve">    </w:t>
            </w:r>
            <w:r>
              <w:rPr>
                <w:rFonts w:hint="eastAsia" w:ascii="仿宋_GB2312" w:hAnsi="仿宋" w:eastAsia="仿宋_GB2312"/>
                <w:sz w:val="24"/>
              </w:rPr>
              <w:t>。</w:t>
            </w:r>
          </w:p>
          <w:p>
            <w:pPr>
              <w:spacing w:line="400" w:lineRule="exact"/>
              <w:rPr>
                <w:rFonts w:ascii="仿宋_GB2312" w:hAnsi="仿宋" w:eastAsia="仿宋_GB2312"/>
                <w:sz w:val="24"/>
              </w:rPr>
            </w:pPr>
            <w:sdt>
              <w:sdtPr>
                <w:rPr>
                  <w:rFonts w:hint="eastAsia" w:ascii="仿宋_GB2312" w:hAnsi="仿宋" w:eastAsia="仿宋_GB2312" w:cs="Arial"/>
                  <w:kern w:val="0"/>
                  <w:sz w:val="24"/>
                </w:rPr>
                <w:id w:val="474885559"/>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ascii="仿宋_GB2312" w:hAnsi="仿宋" w:eastAsia="仿宋_GB2312" w:cs="Arial"/>
                <w:kern w:val="0"/>
                <w:sz w:val="24"/>
              </w:rPr>
              <w:t>B</w:t>
            </w:r>
            <w:r>
              <w:rPr>
                <w:rFonts w:hint="eastAsia" w:ascii="仿宋_GB2312" w:hAnsi="仿宋" w:eastAsia="仿宋_GB2312"/>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73" w:hRule="atLeast"/>
          <w:tblHeader/>
        </w:trPr>
        <w:tc>
          <w:tcPr>
            <w:tcW w:w="725" w:type="dxa"/>
            <w:tcBorders>
              <w:top w:val="single" w:color="auto" w:sz="4" w:space="0"/>
              <w:left w:val="single" w:color="000000" w:sz="8" w:space="0"/>
              <w:bottom w:val="single" w:color="auto" w:sz="4" w:space="0"/>
              <w:right w:val="single" w:color="000000" w:sz="2" w:space="0"/>
            </w:tcBorders>
          </w:tcPr>
          <w:p>
            <w:pPr>
              <w:snapToGrid w:val="0"/>
              <w:spacing w:line="400" w:lineRule="exact"/>
              <w:jc w:val="center"/>
              <w:rPr>
                <w:rFonts w:ascii="仿宋_GB2312" w:hAnsi="仿宋" w:eastAsia="仿宋_GB2312" w:cs="仿宋_GB2312"/>
                <w:sz w:val="24"/>
              </w:rPr>
            </w:pPr>
          </w:p>
          <w:p>
            <w:pPr>
              <w:snapToGrid w:val="0"/>
              <w:spacing w:line="400" w:lineRule="exact"/>
              <w:jc w:val="center"/>
              <w:rPr>
                <w:rFonts w:ascii="仿宋_GB2312" w:hAnsi="仿宋" w:eastAsia="仿宋_GB2312" w:cs="仿宋_GB2312"/>
                <w:sz w:val="24"/>
              </w:rPr>
            </w:pPr>
          </w:p>
          <w:p>
            <w:pPr>
              <w:snapToGrid w:val="0"/>
              <w:spacing w:line="400" w:lineRule="exact"/>
              <w:jc w:val="center"/>
              <w:rPr>
                <w:rFonts w:ascii="仿宋_GB2312" w:hAnsi="仿宋" w:eastAsia="仿宋_GB2312" w:cs="仿宋_GB2312"/>
                <w:sz w:val="24"/>
              </w:rPr>
            </w:pPr>
            <w:r>
              <w:rPr>
                <w:rFonts w:ascii="仿宋_GB2312" w:hAnsi="仿宋" w:eastAsia="仿宋_GB2312" w:cs="仿宋_GB2312"/>
                <w:sz w:val="24"/>
              </w:rPr>
              <w:t>9</w:t>
            </w:r>
          </w:p>
        </w:tc>
        <w:tc>
          <w:tcPr>
            <w:tcW w:w="212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
                <w:sz w:val="24"/>
              </w:rPr>
            </w:pPr>
            <w:r>
              <w:rPr>
                <w:rFonts w:hint="eastAsia" w:ascii="仿宋_GB2312" w:hAnsi="仿宋" w:eastAsia="仿宋_GB2312" w:cs="仿宋_GB2312"/>
                <w:b/>
                <w:sz w:val="24"/>
              </w:rPr>
              <w:t>采购标的对应的中小企业划分标准所属行业</w:t>
            </w:r>
          </w:p>
        </w:tc>
        <w:tc>
          <w:tcPr>
            <w:tcW w:w="7029" w:type="dxa"/>
            <w:tcBorders>
              <w:top w:val="single" w:color="000000" w:sz="8" w:space="0"/>
              <w:left w:val="single" w:color="000000" w:sz="2" w:space="0"/>
              <w:bottom w:val="single" w:color="000000" w:sz="8" w:space="0"/>
              <w:right w:val="single" w:color="000000" w:sz="8" w:space="0"/>
            </w:tcBorders>
            <w:vAlign w:val="center"/>
          </w:tcPr>
          <w:p>
            <w:pPr>
              <w:pStyle w:val="4"/>
              <w:numPr>
                <w:ilvl w:val="0"/>
                <w:numId w:val="3"/>
              </w:numPr>
              <w:spacing w:line="400" w:lineRule="exact"/>
              <w:rPr>
                <w:rFonts w:ascii="仿宋" w:eastAsia="仿宋" w:cs="仿宋"/>
                <w:kern w:val="0"/>
                <w:sz w:val="24"/>
              </w:rPr>
            </w:pPr>
            <w:r>
              <w:rPr>
                <w:rFonts w:hint="eastAsia" w:cs="Arial"/>
                <w:kern w:val="0"/>
                <w:sz w:val="24"/>
              </w:rPr>
              <w:t>标的：</w:t>
            </w:r>
            <w:r>
              <w:rPr>
                <w:rFonts w:hint="eastAsia" w:ascii="仿宋" w:eastAsia="仿宋" w:cs="仿宋"/>
                <w:sz w:val="24"/>
                <w:u w:val="single"/>
                <w:lang w:val="en-US"/>
              </w:rPr>
              <w:t>拱墅区智慧工地监管平台项目</w:t>
            </w:r>
            <w:r>
              <w:rPr>
                <w:rFonts w:hint="eastAsia" w:ascii="仿宋" w:eastAsia="仿宋" w:cs="仿宋"/>
                <w:kern w:val="0"/>
                <w:sz w:val="24"/>
              </w:rPr>
              <w:t>，属于</w:t>
            </w:r>
            <w:r>
              <w:rPr>
                <w:rFonts w:hint="eastAsia" w:ascii="仿宋" w:eastAsia="仿宋" w:cs="仿宋"/>
                <w:sz w:val="24"/>
                <w:u w:val="single"/>
                <w:lang w:val="en-US"/>
              </w:rPr>
              <w:t>软件和信息技术服务业</w:t>
            </w:r>
            <w:r>
              <w:rPr>
                <w:rFonts w:hint="eastAsia" w:ascii="仿宋" w:eastAsia="仿宋" w:cs="仿宋"/>
                <w:kern w:val="0"/>
                <w:sz w:val="24"/>
              </w:rPr>
              <w:t>行业；</w:t>
            </w:r>
          </w:p>
          <w:p>
            <w:pPr>
              <w:pStyle w:val="4"/>
              <w:spacing w:line="400" w:lineRule="exact"/>
              <w:ind w:left="0" w:firstLine="422" w:firstLineChars="200"/>
              <w:rPr>
                <w:lang w:val="en-US"/>
              </w:rPr>
            </w:pPr>
            <w:r>
              <w:rPr>
                <w:rFonts w:hint="eastAsia" w:ascii="仿宋" w:eastAsia="仿宋" w:cs="仿宋"/>
                <w:kern w:val="0"/>
                <w:sz w:val="21"/>
                <w:szCs w:val="21"/>
              </w:rPr>
              <w:t>软件和信息技术服务业：从业人员300人以下或营业收入1000</w:t>
            </w:r>
            <w:r>
              <w:rPr>
                <w:rFonts w:hint="eastAsia" w:ascii="仿宋" w:eastAsia="仿宋" w:cs="仿宋"/>
                <w:kern w:val="0"/>
                <w:sz w:val="21"/>
                <w:szCs w:val="21"/>
                <w:lang w:val="en-US"/>
              </w:rPr>
              <w:t>0</w:t>
            </w:r>
            <w:r>
              <w:rPr>
                <w:rFonts w:hint="eastAsia" w:ascii="仿宋" w:eastAsia="仿宋" w:cs="仿宋"/>
                <w:kern w:val="0"/>
                <w:sz w:val="21"/>
                <w:szCs w:val="21"/>
              </w:rPr>
              <w:t>万元以下的为中小微型企业。其中，从业人员100人及以上，且营业收入1000万元及以上的为中型企业；从业人员10人及以上，且营业收入50万元及以上的为小型企业；从业人员10人以下或营业收入50万元以下的为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95" w:hRule="atLeast"/>
          <w:tblHeader/>
        </w:trPr>
        <w:tc>
          <w:tcPr>
            <w:tcW w:w="725" w:type="dxa"/>
            <w:tcBorders>
              <w:top w:val="single" w:color="auto" w:sz="4" w:space="0"/>
              <w:left w:val="single" w:color="000000" w:sz="8" w:space="0"/>
              <w:bottom w:val="single" w:color="auto" w:sz="4" w:space="0"/>
              <w:right w:val="single" w:color="000000" w:sz="2" w:space="0"/>
            </w:tcBorders>
          </w:tcPr>
          <w:p>
            <w:pPr>
              <w:snapToGrid w:val="0"/>
              <w:spacing w:line="400" w:lineRule="exact"/>
              <w:jc w:val="center"/>
              <w:rPr>
                <w:rFonts w:ascii="仿宋_GB2312" w:hAnsi="仿宋" w:eastAsia="仿宋_GB2312" w:cs="仿宋_GB2312"/>
                <w:sz w:val="24"/>
              </w:rPr>
            </w:pPr>
          </w:p>
          <w:p>
            <w:pPr>
              <w:snapToGrid w:val="0"/>
              <w:spacing w:line="400" w:lineRule="exact"/>
              <w:jc w:val="center"/>
              <w:rPr>
                <w:rFonts w:ascii="仿宋_GB2312" w:hAnsi="仿宋" w:eastAsia="仿宋_GB2312" w:cs="仿宋_GB2312"/>
                <w:sz w:val="24"/>
              </w:rPr>
            </w:pPr>
          </w:p>
          <w:p>
            <w:pPr>
              <w:snapToGrid w:val="0"/>
              <w:spacing w:line="400" w:lineRule="exact"/>
              <w:jc w:val="center"/>
              <w:rPr>
                <w:rFonts w:ascii="仿宋_GB2312" w:hAnsi="仿宋" w:eastAsia="仿宋_GB2312" w:cs="仿宋_GB2312"/>
                <w:sz w:val="24"/>
              </w:rPr>
            </w:pPr>
          </w:p>
          <w:p>
            <w:pPr>
              <w:snapToGrid w:val="0"/>
              <w:spacing w:line="400" w:lineRule="exact"/>
              <w:jc w:val="center"/>
              <w:rPr>
                <w:rFonts w:ascii="仿宋_GB2312" w:hAnsi="仿宋" w:eastAsia="仿宋_GB2312" w:cs="仿宋_GB2312"/>
                <w:sz w:val="24"/>
              </w:rPr>
            </w:pPr>
            <w:r>
              <w:rPr>
                <w:rFonts w:ascii="仿宋_GB2312" w:hAnsi="仿宋" w:eastAsia="仿宋_GB2312" w:cs="仿宋_GB2312"/>
                <w:sz w:val="24"/>
              </w:rPr>
              <w:t>10</w:t>
            </w:r>
          </w:p>
        </w:tc>
        <w:tc>
          <w:tcPr>
            <w:tcW w:w="212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
                <w:sz w:val="24"/>
              </w:rPr>
            </w:pPr>
            <w:r>
              <w:rPr>
                <w:rFonts w:hint="eastAsia" w:ascii="仿宋_GB2312" w:hAnsi="仿宋" w:eastAsia="仿宋_GB2312" w:cs="仿宋_GB2312"/>
                <w:b/>
                <w:sz w:val="24"/>
              </w:rPr>
              <w:t>节能产品、环境标志产品</w:t>
            </w:r>
          </w:p>
        </w:tc>
        <w:tc>
          <w:tcPr>
            <w:tcW w:w="7029" w:type="dxa"/>
            <w:tcBorders>
              <w:top w:val="single" w:color="000000" w:sz="8" w:space="0"/>
              <w:left w:val="single" w:color="000000" w:sz="2" w:space="0"/>
              <w:bottom w:val="single" w:color="000000" w:sz="8" w:space="0"/>
              <w:right w:val="single" w:color="000000" w:sz="8" w:space="0"/>
            </w:tcBorders>
            <w:vAlign w:val="center"/>
          </w:tcPr>
          <w:p>
            <w:pPr>
              <w:pStyle w:val="21"/>
              <w:spacing w:line="400" w:lineRule="exact"/>
              <w:ind w:firstLine="480" w:firstLineChars="200"/>
              <w:rPr>
                <w:rFonts w:eastAsia="仿宋"/>
              </w:rPr>
            </w:pPr>
            <w:r>
              <w:rPr>
                <w:rFonts w:hint="eastAsia" w:ascii="仿宋_GB2312" w:hAnsi="仿宋" w:eastAsia="仿宋_GB2312"/>
                <w:sz w:val="24"/>
              </w:rPr>
              <w:t>采购人拟采购的产品属于品目清单范围的，采购人应列明本项目强制节能产品清单、优先节能产品清单、优先环保产品清单。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21" w:hRule="atLeast"/>
          <w:tblHeader/>
        </w:trPr>
        <w:tc>
          <w:tcPr>
            <w:tcW w:w="725" w:type="dxa"/>
            <w:vMerge w:val="restart"/>
            <w:tcBorders>
              <w:top w:val="single" w:color="auto" w:sz="4" w:space="0"/>
              <w:left w:val="single" w:color="000000" w:sz="8" w:space="0"/>
              <w:right w:val="single" w:color="000000" w:sz="2" w:space="0"/>
            </w:tcBorders>
          </w:tcPr>
          <w:p>
            <w:pPr>
              <w:snapToGrid w:val="0"/>
              <w:spacing w:line="400" w:lineRule="exact"/>
              <w:jc w:val="center"/>
              <w:rPr>
                <w:rFonts w:ascii="仿宋_GB2312" w:hAnsi="仿宋" w:eastAsia="仿宋_GB2312" w:cs="仿宋_GB2312"/>
                <w:sz w:val="24"/>
              </w:rPr>
            </w:pPr>
          </w:p>
          <w:p>
            <w:pPr>
              <w:snapToGrid w:val="0"/>
              <w:spacing w:line="400" w:lineRule="exact"/>
              <w:jc w:val="center"/>
              <w:rPr>
                <w:rFonts w:ascii="仿宋_GB2312" w:hAnsi="仿宋" w:eastAsia="仿宋_GB2312" w:cs="仿宋_GB2312"/>
                <w:sz w:val="24"/>
              </w:rPr>
            </w:pPr>
            <w:r>
              <w:rPr>
                <w:rFonts w:ascii="仿宋_GB2312" w:hAnsi="仿宋" w:eastAsia="仿宋_GB2312" w:cs="仿宋_GB2312"/>
                <w:sz w:val="24"/>
              </w:rPr>
              <w:t>11</w:t>
            </w:r>
          </w:p>
        </w:tc>
        <w:tc>
          <w:tcPr>
            <w:tcW w:w="2125" w:type="dxa"/>
            <w:vMerge w:val="restart"/>
            <w:tcBorders>
              <w:top w:val="single" w:color="000000" w:sz="8" w:space="0"/>
              <w:left w:val="single" w:color="000000" w:sz="2" w:space="0"/>
              <w:right w:val="single" w:color="000000" w:sz="8" w:space="0"/>
            </w:tcBorders>
            <w:vAlign w:val="center"/>
          </w:tcPr>
          <w:p>
            <w:pPr>
              <w:widowControl/>
              <w:snapToGrid w:val="0"/>
              <w:spacing w:line="400" w:lineRule="exact"/>
              <w:jc w:val="center"/>
              <w:rPr>
                <w:rFonts w:ascii="仿宋_GB2312" w:hAnsi="仿宋" w:eastAsia="仿宋_GB2312" w:cs="仿宋_GB2312"/>
                <w:b/>
                <w:sz w:val="24"/>
              </w:rPr>
            </w:pPr>
            <w:r>
              <w:rPr>
                <w:rFonts w:hint="eastAsia" w:ascii="仿宋_GB2312" w:hAnsi="仿宋" w:eastAsia="仿宋_GB2312" w:cs="仿宋_GB2312"/>
                <w:b/>
                <w:sz w:val="24"/>
              </w:rPr>
              <w:t>中小企业信用融资</w:t>
            </w:r>
          </w:p>
        </w:tc>
        <w:tc>
          <w:tcPr>
            <w:tcW w:w="7029" w:type="dxa"/>
            <w:tcBorders>
              <w:top w:val="single" w:color="000000" w:sz="8" w:space="0"/>
              <w:left w:val="single" w:color="000000" w:sz="2" w:space="0"/>
              <w:bottom w:val="single" w:color="000000" w:sz="8" w:space="0"/>
              <w:right w:val="single" w:color="000000" w:sz="8" w:space="0"/>
            </w:tcBorders>
            <w:vAlign w:val="center"/>
          </w:tcPr>
          <w:p>
            <w:pPr>
              <w:wordWrap w:val="0"/>
              <w:spacing w:line="400" w:lineRule="exact"/>
              <w:ind w:firstLine="480" w:firstLineChars="200"/>
              <w:rPr>
                <w:rFonts w:ascii="仿宋_GB2312" w:hAnsi="仿宋" w:eastAsia="仿宋_GB2312"/>
                <w:sz w:val="24"/>
              </w:rPr>
            </w:pPr>
            <w:r>
              <w:rPr>
                <w:rFonts w:hint="eastAsia" w:ascii="仿宋" w:hAnsi="仿宋" w:eastAsia="仿宋" w:cs="仿宋"/>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92" w:hRule="atLeast"/>
          <w:tblHeader/>
        </w:trPr>
        <w:tc>
          <w:tcPr>
            <w:tcW w:w="725" w:type="dxa"/>
            <w:vMerge w:val="continue"/>
            <w:tcBorders>
              <w:left w:val="single" w:color="000000" w:sz="8" w:space="0"/>
              <w:right w:val="single" w:color="000000" w:sz="2" w:space="0"/>
            </w:tcBorders>
          </w:tcPr>
          <w:p>
            <w:pPr>
              <w:spacing w:line="400" w:lineRule="exact"/>
              <w:ind w:firstLine="420" w:firstLineChars="200"/>
            </w:pPr>
          </w:p>
        </w:tc>
        <w:tc>
          <w:tcPr>
            <w:tcW w:w="2125" w:type="dxa"/>
            <w:vMerge w:val="continue"/>
            <w:tcBorders>
              <w:left w:val="single" w:color="000000" w:sz="2" w:space="0"/>
              <w:right w:val="single" w:color="000000" w:sz="8" w:space="0"/>
            </w:tcBorders>
            <w:vAlign w:val="center"/>
          </w:tcPr>
          <w:p>
            <w:pPr>
              <w:spacing w:line="400" w:lineRule="exact"/>
              <w:ind w:firstLine="420" w:firstLineChars="200"/>
            </w:pPr>
          </w:p>
        </w:tc>
        <w:tc>
          <w:tcPr>
            <w:tcW w:w="7029" w:type="dxa"/>
            <w:tcBorders>
              <w:top w:val="single" w:color="000000" w:sz="8" w:space="0"/>
              <w:left w:val="single" w:color="000000" w:sz="2" w:space="0"/>
              <w:bottom w:val="single" w:color="000000" w:sz="8" w:space="0"/>
              <w:right w:val="single" w:color="000000" w:sz="8" w:space="0"/>
            </w:tcBorders>
            <w:vAlign w:val="center"/>
          </w:tcPr>
          <w:p>
            <w:pPr>
              <w:spacing w:line="400" w:lineRule="exact"/>
              <w:ind w:firstLine="480" w:firstLineChars="200"/>
              <w:rPr>
                <w:rFonts w:ascii="仿宋_GB2312" w:hAnsi="仿宋" w:eastAsia="仿宋_GB2312"/>
                <w:snapToGrid w:val="0"/>
                <w:kern w:val="28"/>
                <w:sz w:val="24"/>
              </w:rPr>
            </w:pPr>
            <w:r>
              <w:rPr>
                <w:rFonts w:hint="eastAsia" w:ascii="仿宋_GB2312" w:hAnsi="仿宋" w:eastAsia="仿宋_GB2312"/>
                <w:snapToGrid w:val="0"/>
                <w:kern w:val="28"/>
                <w:sz w:val="24"/>
              </w:rPr>
              <w:t>供应商中标后也可在“政采云”平台申请政采贷：操作路径：登录政采云平台-金融服务中心-【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830" w:hRule="atLeast"/>
          <w:tblHeader/>
        </w:trPr>
        <w:tc>
          <w:tcPr>
            <w:tcW w:w="725" w:type="dxa"/>
            <w:tcBorders>
              <w:top w:val="single" w:color="auto" w:sz="4" w:space="0"/>
              <w:left w:val="single" w:color="000000" w:sz="8" w:space="0"/>
              <w:bottom w:val="single" w:color="auto" w:sz="4" w:space="0"/>
              <w:right w:val="single" w:color="000000" w:sz="2" w:space="0"/>
            </w:tcBorders>
          </w:tcPr>
          <w:p>
            <w:pPr>
              <w:snapToGrid w:val="0"/>
              <w:spacing w:line="400" w:lineRule="exact"/>
              <w:jc w:val="center"/>
              <w:rPr>
                <w:rFonts w:ascii="仿宋_GB2312" w:hAnsi="仿宋" w:eastAsia="仿宋_GB2312" w:cs="仿宋_GB2312"/>
                <w:sz w:val="24"/>
              </w:rPr>
            </w:pPr>
            <w:r>
              <w:rPr>
                <w:rFonts w:ascii="仿宋_GB2312" w:hAnsi="仿宋" w:eastAsia="仿宋_GB2312" w:cs="仿宋_GB2312"/>
                <w:sz w:val="24"/>
              </w:rPr>
              <w:t>12</w:t>
            </w:r>
          </w:p>
        </w:tc>
        <w:tc>
          <w:tcPr>
            <w:tcW w:w="212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
                <w:sz w:val="24"/>
              </w:rPr>
            </w:pPr>
            <w:r>
              <w:rPr>
                <w:rFonts w:hint="eastAsia" w:ascii="仿宋" w:hAnsi="仿宋" w:eastAsia="仿宋" w:cs="仿宋"/>
                <w:b/>
                <w:sz w:val="24"/>
              </w:rPr>
              <w:t>备份投标文件送达地点和签收人员</w:t>
            </w:r>
          </w:p>
        </w:tc>
        <w:tc>
          <w:tcPr>
            <w:tcW w:w="7029" w:type="dxa"/>
            <w:tcBorders>
              <w:top w:val="single" w:color="000000" w:sz="8" w:space="0"/>
              <w:left w:val="single" w:color="000000" w:sz="2" w:space="0"/>
              <w:bottom w:val="single" w:color="000000" w:sz="8" w:space="0"/>
              <w:right w:val="single" w:color="000000" w:sz="8" w:space="0"/>
            </w:tcBorders>
            <w:vAlign w:val="center"/>
          </w:tcPr>
          <w:p>
            <w:pPr>
              <w:pStyle w:val="34"/>
              <w:spacing w:line="400" w:lineRule="exact"/>
              <w:ind w:firstLine="480" w:firstLineChars="200"/>
              <w:rPr>
                <w:rFonts w:ascii="仿宋_GB2312" w:hAnsi="仿宋" w:eastAsia="仿宋_GB2312"/>
                <w:kern w:val="28"/>
                <w:sz w:val="24"/>
              </w:rPr>
            </w:pPr>
            <w:r>
              <w:rPr>
                <w:rFonts w:hint="eastAsia" w:ascii="仿宋" w:hAnsi="仿宋" w:eastAsia="仿宋" w:cs="仿宋"/>
                <w:kern w:val="28"/>
                <w:sz w:val="24"/>
                <w:szCs w:val="24"/>
              </w:rPr>
              <w:t>备份投标文件送达地点：</w:t>
            </w:r>
            <w:r>
              <w:rPr>
                <w:rFonts w:hint="eastAsia" w:ascii="仿宋" w:hAnsi="仿宋" w:eastAsia="仿宋" w:cs="仿宋"/>
                <w:b/>
                <w:bCs/>
                <w:kern w:val="28"/>
                <w:sz w:val="24"/>
                <w:szCs w:val="24"/>
                <w:u w:val="single"/>
              </w:rPr>
              <w:t>杭州市西湖区古墩路701号紫金广场A座1208室</w:t>
            </w:r>
            <w:r>
              <w:rPr>
                <w:rFonts w:hint="eastAsia" w:ascii="仿宋" w:hAnsi="仿宋" w:eastAsia="仿宋" w:cs="仿宋"/>
                <w:kern w:val="28"/>
                <w:sz w:val="24"/>
                <w:szCs w:val="24"/>
              </w:rPr>
              <w:t>；备份投标文件签收人员联系电话：</w:t>
            </w:r>
            <w:r>
              <w:rPr>
                <w:rFonts w:hint="eastAsia" w:ascii="仿宋" w:hAnsi="仿宋" w:eastAsia="仿宋" w:cs="仿宋"/>
                <w:b/>
                <w:bCs/>
                <w:kern w:val="28"/>
                <w:sz w:val="24"/>
                <w:szCs w:val="24"/>
                <w:u w:val="single"/>
              </w:rPr>
              <w:t>项启航，17858500723</w:t>
            </w:r>
            <w:r>
              <w:rPr>
                <w:rFonts w:hint="eastAsia" w:ascii="仿宋" w:hAnsi="仿宋" w:eastAsia="仿宋" w:cs="仿宋"/>
                <w:sz w:val="24"/>
                <w:szCs w:val="24"/>
              </w:rPr>
              <w:t>。</w:t>
            </w:r>
            <w:r>
              <w:rPr>
                <w:rFonts w:hint="eastAsia" w:ascii="仿宋" w:hAnsi="仿宋" w:eastAsia="仿宋" w:cs="仿宋"/>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006" w:hRule="atLeast"/>
          <w:tblHeader/>
        </w:trPr>
        <w:tc>
          <w:tcPr>
            <w:tcW w:w="725"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仿宋_GB2312" w:hAnsi="仿宋" w:eastAsia="仿宋_GB2312" w:cs="仿宋_GB2312"/>
                <w:sz w:val="24"/>
              </w:rPr>
            </w:pPr>
            <w:r>
              <w:rPr>
                <w:rFonts w:hint="eastAsia" w:ascii="仿宋" w:hAnsi="仿宋" w:eastAsia="仿宋" w:cs="仿宋"/>
                <w:sz w:val="24"/>
              </w:rPr>
              <w:t>13</w:t>
            </w:r>
          </w:p>
        </w:tc>
        <w:tc>
          <w:tcPr>
            <w:tcW w:w="2125" w:type="dxa"/>
            <w:tcBorders>
              <w:top w:val="single" w:color="000000" w:sz="8" w:space="0"/>
              <w:left w:val="single" w:color="000000" w:sz="2" w:space="0"/>
              <w:bottom w:val="single" w:color="000000" w:sz="8" w:space="0"/>
              <w:right w:val="single" w:color="000000" w:sz="8" w:space="0"/>
            </w:tcBorders>
            <w:vAlign w:val="center"/>
          </w:tcPr>
          <w:p>
            <w:pPr>
              <w:pStyle w:val="724"/>
              <w:spacing w:line="400" w:lineRule="exact"/>
              <w:ind w:firstLine="0"/>
              <w:jc w:val="center"/>
              <w:rPr>
                <w:rFonts w:ascii="仿宋_GB2312" w:hAnsi="仿宋" w:eastAsia="仿宋_GB2312" w:cs="仿宋_GB2312"/>
                <w:b/>
              </w:rPr>
            </w:pPr>
            <w:r>
              <w:rPr>
                <w:rFonts w:hint="eastAsia" w:ascii="仿宋" w:hAnsi="仿宋" w:eastAsia="仿宋" w:cs="仿宋"/>
                <w:b/>
                <w:bCs/>
                <w:sz w:val="21"/>
                <w:szCs w:val="24"/>
              </w:rPr>
              <w:t>采购代理服务费</w:t>
            </w:r>
          </w:p>
        </w:tc>
        <w:tc>
          <w:tcPr>
            <w:tcW w:w="7029" w:type="dxa"/>
            <w:tcBorders>
              <w:top w:val="single" w:color="000000" w:sz="8" w:space="0"/>
              <w:left w:val="single" w:color="000000" w:sz="2" w:space="0"/>
              <w:bottom w:val="single" w:color="000000" w:sz="8" w:space="0"/>
              <w:right w:val="single" w:color="000000" w:sz="8" w:space="0"/>
            </w:tcBorders>
            <w:vAlign w:val="center"/>
          </w:tcPr>
          <w:p>
            <w:pPr>
              <w:pStyle w:val="877"/>
              <w:adjustRightInd w:val="0"/>
              <w:spacing w:line="400" w:lineRule="exact"/>
              <w:rPr>
                <w:rFonts w:ascii="仿宋" w:hAnsi="仿宋" w:eastAsia="仿宋" w:cs="仿宋"/>
                <w:color w:val="auto"/>
                <w:szCs w:val="24"/>
              </w:rPr>
            </w:pPr>
            <w:r>
              <w:rPr>
                <w:rFonts w:hint="eastAsia" w:ascii="仿宋" w:hAnsi="仿宋" w:eastAsia="仿宋" w:cs="仿宋"/>
                <w:color w:val="auto"/>
                <w:szCs w:val="24"/>
              </w:rPr>
              <w:t>采购代理服务费金额：以中标金额为计算基数，</w:t>
            </w:r>
            <w:r>
              <w:rPr>
                <w:rFonts w:hint="eastAsia" w:ascii="仿宋" w:hAnsi="仿宋" w:eastAsia="仿宋" w:cs="仿宋"/>
                <w:color w:val="auto"/>
                <w:sz w:val="24"/>
              </w:rPr>
              <w:t>招标代理费按计价格〔2002〕1980号文件收费标准计取，按以下标准费率计算值收取（少于8000元，按8000元收取）。费率标准如下：</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1"/>
              <w:gridCol w:w="2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2941" w:type="dxa"/>
                  <w:vAlign w:val="center"/>
                </w:tcPr>
                <w:p>
                  <w:pPr>
                    <w:pStyle w:val="877"/>
                    <w:adjustRightInd w:val="0"/>
                    <w:spacing w:line="400" w:lineRule="exact"/>
                    <w:rPr>
                      <w:rFonts w:ascii="仿宋" w:hAnsi="仿宋" w:eastAsia="仿宋" w:cs="仿宋"/>
                      <w:color w:val="auto"/>
                    </w:rPr>
                  </w:pPr>
                  <w:r>
                    <w:rPr>
                      <w:rFonts w:hint="eastAsia" w:ascii="仿宋" w:hAnsi="仿宋" w:eastAsia="仿宋" w:cs="仿宋"/>
                      <w:color w:val="auto"/>
                    </w:rPr>
                    <w:t>金额（万元）</w:t>
                  </w:r>
                </w:p>
              </w:tc>
              <w:tc>
                <w:tcPr>
                  <w:tcW w:w="2638" w:type="dxa"/>
                  <w:vAlign w:val="center"/>
                </w:tcPr>
                <w:p>
                  <w:pPr>
                    <w:pStyle w:val="877"/>
                    <w:adjustRightInd w:val="0"/>
                    <w:spacing w:line="400" w:lineRule="exact"/>
                    <w:rPr>
                      <w:rFonts w:ascii="仿宋" w:hAnsi="仿宋" w:eastAsia="仿宋" w:cs="仿宋"/>
                      <w:color w:val="auto"/>
                    </w:rPr>
                  </w:pPr>
                  <w:r>
                    <w:rPr>
                      <w:rFonts w:hint="eastAsia" w:ascii="仿宋" w:hAnsi="仿宋" w:eastAsia="仿宋" w:cs="仿宋"/>
                      <w:color w:val="auto"/>
                    </w:rPr>
                    <w:t>服务类费率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941" w:type="dxa"/>
                  <w:vAlign w:val="center"/>
                </w:tcPr>
                <w:p>
                  <w:pPr>
                    <w:pStyle w:val="877"/>
                    <w:adjustRightInd w:val="0"/>
                    <w:spacing w:line="400" w:lineRule="exact"/>
                    <w:rPr>
                      <w:rFonts w:ascii="仿宋" w:hAnsi="仿宋" w:eastAsia="仿宋" w:cs="仿宋"/>
                      <w:color w:val="auto"/>
                    </w:rPr>
                  </w:pPr>
                  <w:r>
                    <w:rPr>
                      <w:rFonts w:hint="eastAsia" w:ascii="仿宋" w:hAnsi="仿宋" w:eastAsia="仿宋" w:cs="仿宋"/>
                      <w:color w:val="auto"/>
                    </w:rPr>
                    <w:t>100以下部分</w:t>
                  </w:r>
                </w:p>
              </w:tc>
              <w:tc>
                <w:tcPr>
                  <w:tcW w:w="2638" w:type="dxa"/>
                  <w:vAlign w:val="center"/>
                </w:tcPr>
                <w:p>
                  <w:pPr>
                    <w:pStyle w:val="877"/>
                    <w:adjustRightInd w:val="0"/>
                    <w:spacing w:line="400" w:lineRule="exact"/>
                    <w:ind w:firstLine="420" w:firstLineChars="200"/>
                    <w:rPr>
                      <w:rFonts w:ascii="仿宋" w:hAnsi="仿宋" w:eastAsia="仿宋" w:cs="仿宋"/>
                      <w:color w:val="auto"/>
                    </w:rPr>
                  </w:pPr>
                  <w:r>
                    <w:rPr>
                      <w:rFonts w:hint="eastAsia" w:ascii="仿宋" w:hAnsi="仿宋" w:eastAsia="仿宋" w:cs="仿宋"/>
                      <w:color w:val="auto"/>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941" w:type="dxa"/>
                  <w:vAlign w:val="center"/>
                </w:tcPr>
                <w:p>
                  <w:pPr>
                    <w:pStyle w:val="877"/>
                    <w:adjustRightInd w:val="0"/>
                    <w:spacing w:line="400" w:lineRule="exact"/>
                    <w:rPr>
                      <w:rFonts w:ascii="仿宋" w:hAnsi="仿宋" w:eastAsia="仿宋" w:cs="仿宋"/>
                      <w:color w:val="auto"/>
                    </w:rPr>
                  </w:pPr>
                  <w:r>
                    <w:rPr>
                      <w:rFonts w:hint="eastAsia" w:ascii="仿宋" w:hAnsi="仿宋" w:eastAsia="仿宋" w:cs="仿宋"/>
                      <w:color w:val="auto"/>
                    </w:rPr>
                    <w:t>100~500之间部分</w:t>
                  </w:r>
                </w:p>
              </w:tc>
              <w:tc>
                <w:tcPr>
                  <w:tcW w:w="2638" w:type="dxa"/>
                  <w:vAlign w:val="center"/>
                </w:tcPr>
                <w:p>
                  <w:pPr>
                    <w:pStyle w:val="877"/>
                    <w:adjustRightInd w:val="0"/>
                    <w:spacing w:line="400" w:lineRule="exact"/>
                    <w:ind w:firstLine="420" w:firstLineChars="200"/>
                    <w:rPr>
                      <w:rFonts w:ascii="仿宋" w:hAnsi="仿宋" w:eastAsia="仿宋" w:cs="仿宋"/>
                      <w:color w:val="auto"/>
                    </w:rPr>
                  </w:pPr>
                  <w:r>
                    <w:rPr>
                      <w:rFonts w:hint="eastAsia" w:ascii="仿宋" w:hAnsi="仿宋" w:eastAsia="仿宋" w:cs="仿宋"/>
                      <w:color w:val="auto"/>
                    </w:rPr>
                    <w:t>0.8%</w:t>
                  </w:r>
                </w:p>
              </w:tc>
            </w:tr>
          </w:tbl>
          <w:p>
            <w:pPr>
              <w:pStyle w:val="877"/>
              <w:adjustRightInd w:val="0"/>
              <w:snapToGrid w:val="0"/>
              <w:spacing w:line="400" w:lineRule="exact"/>
              <w:rPr>
                <w:rFonts w:ascii="仿宋" w:hAnsi="仿宋" w:eastAsia="仿宋" w:cs="仿宋"/>
                <w:color w:val="auto"/>
              </w:rPr>
            </w:pPr>
            <w:r>
              <w:rPr>
                <w:rFonts w:hint="eastAsia" w:ascii="仿宋" w:hAnsi="仿宋" w:eastAsia="仿宋" w:cs="仿宋"/>
                <w:color w:val="auto"/>
              </w:rPr>
              <w:t>采购代理服务费缴纳形式：网银/电汇/转账</w:t>
            </w:r>
          </w:p>
          <w:p>
            <w:pPr>
              <w:snapToGrid w:val="0"/>
              <w:spacing w:line="400" w:lineRule="exact"/>
              <w:rPr>
                <w:rFonts w:ascii="仿宋" w:hAnsi="仿宋" w:eastAsia="仿宋" w:cs="仿宋"/>
                <w:kern w:val="0"/>
              </w:rPr>
            </w:pPr>
            <w:r>
              <w:rPr>
                <w:rFonts w:hint="eastAsia" w:ascii="仿宋" w:hAnsi="仿宋" w:eastAsia="仿宋" w:cs="仿宋"/>
              </w:rPr>
              <w:t>采购代理服务费由</w:t>
            </w:r>
            <w:r>
              <w:rPr>
                <w:rFonts w:hint="eastAsia" w:ascii="仿宋" w:hAnsi="仿宋" w:eastAsia="仿宋" w:cs="仿宋"/>
                <w:b/>
                <w:u w:val="single"/>
              </w:rPr>
              <w:t>中标人</w:t>
            </w:r>
            <w:r>
              <w:rPr>
                <w:rFonts w:hint="eastAsia" w:ascii="仿宋" w:hAnsi="仿宋" w:eastAsia="仿宋" w:cs="仿宋"/>
              </w:rPr>
              <w:t>在</w:t>
            </w:r>
            <w:r>
              <w:rPr>
                <w:rFonts w:hint="eastAsia" w:ascii="仿宋" w:hAnsi="仿宋" w:eastAsia="仿宋" w:cs="仿宋"/>
                <w:kern w:val="0"/>
                <w:lang w:bidi="ar"/>
              </w:rPr>
              <w:t>领取中标通知书时</w:t>
            </w:r>
            <w:r>
              <w:rPr>
                <w:rFonts w:hint="eastAsia" w:ascii="仿宋" w:hAnsi="仿宋" w:eastAsia="仿宋" w:cs="仿宋"/>
              </w:rPr>
              <w:t>向采购代理机构</w:t>
            </w:r>
            <w:r>
              <w:rPr>
                <w:rFonts w:hint="eastAsia" w:ascii="仿宋" w:hAnsi="仿宋" w:eastAsia="仿宋" w:cs="仿宋"/>
                <w:kern w:val="0"/>
                <w:lang w:bidi="ar"/>
              </w:rPr>
              <w:t>一次性</w:t>
            </w:r>
            <w:r>
              <w:rPr>
                <w:rFonts w:hint="eastAsia" w:ascii="仿宋" w:hAnsi="仿宋" w:eastAsia="仿宋" w:cs="仿宋"/>
              </w:rPr>
              <w:t>支付。</w:t>
            </w:r>
            <w:r>
              <w:rPr>
                <w:rFonts w:hint="eastAsia" w:ascii="仿宋" w:hAnsi="仿宋" w:eastAsia="仿宋" w:cs="仿宋"/>
                <w:kern w:val="0"/>
                <w:lang w:bidi="ar"/>
              </w:rPr>
              <w:t>采购代理费收费按照差额定率累进法计取。</w:t>
            </w:r>
          </w:p>
          <w:p>
            <w:pPr>
              <w:snapToGrid w:val="0"/>
              <w:spacing w:line="400" w:lineRule="exact"/>
              <w:rPr>
                <w:rFonts w:ascii="仿宋" w:hAnsi="仿宋" w:eastAsia="仿宋" w:cs="仿宋"/>
                <w:kern w:val="0"/>
              </w:rPr>
            </w:pPr>
            <w:r>
              <w:rPr>
                <w:rFonts w:hint="eastAsia" w:ascii="仿宋" w:hAnsi="仿宋" w:eastAsia="仿宋" w:cs="仿宋"/>
                <w:kern w:val="0"/>
                <w:lang w:bidi="ar"/>
              </w:rPr>
              <w:t>结算方式及时间为：在领取中标通知书时由中标人一次性向采购代理机构付清。</w:t>
            </w:r>
          </w:p>
          <w:p>
            <w:pPr>
              <w:pStyle w:val="58"/>
              <w:widowControl w:val="0"/>
              <w:spacing w:before="0" w:beforeAutospacing="0" w:after="0" w:afterAutospacing="0" w:line="400" w:lineRule="exact"/>
              <w:rPr>
                <w:rFonts w:ascii="仿宋" w:hAnsi="仿宋" w:eastAsia="仿宋" w:cs="仿宋"/>
                <w:b/>
                <w:bCs/>
              </w:rPr>
            </w:pPr>
            <w:r>
              <w:rPr>
                <w:rFonts w:hint="eastAsia" w:ascii="仿宋" w:hAnsi="仿宋" w:eastAsia="仿宋" w:cs="仿宋"/>
                <w:b/>
                <w:bCs/>
                <w:kern w:val="2"/>
                <w:sz w:val="21"/>
                <w:szCs w:val="21"/>
                <w:lang w:bidi="ar"/>
              </w:rPr>
              <w:t>账户 ：</w:t>
            </w:r>
          </w:p>
          <w:p>
            <w:pPr>
              <w:spacing w:line="400" w:lineRule="exact"/>
              <w:rPr>
                <w:rFonts w:ascii="仿宋" w:hAnsi="仿宋" w:eastAsia="仿宋" w:cs="仿宋"/>
                <w:b/>
                <w:bCs/>
                <w:szCs w:val="21"/>
              </w:rPr>
            </w:pPr>
            <w:r>
              <w:rPr>
                <w:rFonts w:hint="eastAsia" w:ascii="仿宋" w:hAnsi="仿宋" w:eastAsia="仿宋" w:cs="仿宋"/>
                <w:b/>
                <w:bCs/>
                <w:szCs w:val="21"/>
                <w:lang w:bidi="ar"/>
              </w:rPr>
              <w:t>收款单位（户名）:浙江省成套工程有限公司</w:t>
            </w:r>
          </w:p>
          <w:p>
            <w:pPr>
              <w:spacing w:line="400" w:lineRule="exact"/>
              <w:rPr>
                <w:rFonts w:ascii="仿宋" w:hAnsi="仿宋" w:eastAsia="仿宋" w:cs="仿宋"/>
                <w:b/>
                <w:bCs/>
                <w:szCs w:val="21"/>
              </w:rPr>
            </w:pPr>
            <w:r>
              <w:rPr>
                <w:rFonts w:hint="eastAsia" w:ascii="仿宋" w:hAnsi="仿宋" w:eastAsia="仿宋" w:cs="仿宋"/>
                <w:b/>
                <w:bCs/>
                <w:szCs w:val="21"/>
                <w:lang w:bidi="ar"/>
              </w:rPr>
              <w:t>开户银行：杭州联合农村商业银行三墩支行</w:t>
            </w:r>
          </w:p>
          <w:p>
            <w:pPr>
              <w:widowControl/>
              <w:spacing w:line="400" w:lineRule="exact"/>
              <w:jc w:val="left"/>
              <w:rPr>
                <w:rFonts w:ascii="仿宋_GB2312" w:hAnsi="仿宋" w:eastAsia="仿宋_GB2312"/>
                <w:snapToGrid w:val="0"/>
                <w:kern w:val="28"/>
                <w:sz w:val="24"/>
              </w:rPr>
            </w:pPr>
            <w:r>
              <w:rPr>
                <w:rFonts w:hint="eastAsia" w:ascii="仿宋" w:hAnsi="仿宋" w:eastAsia="仿宋" w:cs="仿宋"/>
                <w:b/>
                <w:bCs/>
                <w:lang w:bidi="ar"/>
              </w:rPr>
              <w:t>银行账号：201000065548152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36" w:hRule="atLeast"/>
          <w:tblHeader/>
        </w:trPr>
        <w:tc>
          <w:tcPr>
            <w:tcW w:w="725" w:type="dxa"/>
            <w:tcBorders>
              <w:top w:val="single" w:color="auto" w:sz="4" w:space="0"/>
              <w:left w:val="single" w:color="000000" w:sz="8" w:space="0"/>
              <w:bottom w:val="single" w:color="auto" w:sz="4" w:space="0"/>
              <w:right w:val="single" w:color="000000" w:sz="2" w:space="0"/>
            </w:tcBorders>
          </w:tcPr>
          <w:p>
            <w:pPr>
              <w:snapToGrid w:val="0"/>
              <w:spacing w:line="400" w:lineRule="exact"/>
              <w:jc w:val="center"/>
              <w:rPr>
                <w:rFonts w:ascii="仿宋_GB2312" w:hAnsi="仿宋" w:eastAsia="仿宋_GB2312" w:cs="仿宋_GB2312"/>
                <w:sz w:val="24"/>
              </w:rPr>
            </w:pPr>
            <w:r>
              <w:rPr>
                <w:rFonts w:hint="eastAsia" w:ascii="仿宋" w:hAnsi="仿宋" w:eastAsia="仿宋" w:cs="仿宋"/>
                <w:sz w:val="24"/>
              </w:rPr>
              <w:t>14</w:t>
            </w:r>
          </w:p>
        </w:tc>
        <w:tc>
          <w:tcPr>
            <w:tcW w:w="212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
                <w:sz w:val="24"/>
              </w:rPr>
            </w:pPr>
            <w:r>
              <w:rPr>
                <w:rFonts w:hint="eastAsia" w:ascii="仿宋" w:hAnsi="仿宋" w:eastAsia="仿宋" w:cs="仿宋"/>
                <w:b/>
                <w:sz w:val="24"/>
              </w:rPr>
              <w:t>特别说明</w:t>
            </w:r>
          </w:p>
        </w:tc>
        <w:tc>
          <w:tcPr>
            <w:tcW w:w="7029" w:type="dxa"/>
            <w:tcBorders>
              <w:top w:val="single" w:color="000000" w:sz="8" w:space="0"/>
              <w:left w:val="single" w:color="000000" w:sz="2" w:space="0"/>
              <w:bottom w:val="single" w:color="000000" w:sz="8" w:space="0"/>
              <w:right w:val="single" w:color="000000" w:sz="8" w:space="0"/>
            </w:tcBorders>
            <w:vAlign w:val="center"/>
          </w:tcPr>
          <w:p>
            <w:pPr>
              <w:pStyle w:val="25"/>
              <w:autoSpaceDE/>
              <w:autoSpaceDN/>
              <w:spacing w:line="380" w:lineRule="exact"/>
              <w:rPr>
                <w:rFonts w:ascii="仿宋" w:hAnsi="仿宋" w:eastAsia="仿宋" w:cs="仿宋"/>
                <w:kern w:val="28"/>
                <w:szCs w:val="24"/>
                <w:lang w:val="en-US"/>
              </w:rPr>
            </w:pPr>
            <w:r>
              <w:rPr>
                <w:rFonts w:hint="eastAsia" w:ascii="仿宋" w:hAnsi="仿宋" w:eastAsia="仿宋" w:cs="仿宋"/>
                <w:kern w:val="28"/>
                <w:szCs w:val="24"/>
                <w:lang w:val="en-US"/>
              </w:rPr>
              <w:t>1.如遇“政府采购云平台”电子化开标或评审程序调整的，按调整后程序执行。</w:t>
            </w:r>
          </w:p>
          <w:p>
            <w:pPr>
              <w:spacing w:line="400" w:lineRule="exact"/>
              <w:rPr>
                <w:rFonts w:ascii="仿宋_GB2312" w:hAnsi="仿宋" w:eastAsia="仿宋_GB2312"/>
                <w:snapToGrid w:val="0"/>
                <w:kern w:val="28"/>
                <w:sz w:val="24"/>
              </w:rPr>
            </w:pPr>
            <w:r>
              <w:rPr>
                <w:rFonts w:hint="eastAsia" w:ascii="仿宋" w:hAnsi="仿宋" w:eastAsia="仿宋" w:cs="仿宋"/>
                <w:snapToGrid w:val="0"/>
                <w:kern w:val="28"/>
                <w:sz w:val="24"/>
              </w:rPr>
              <w:t>2.通过“政府采购云平台”公布开标一览表有关内容后，供应商应通过“政府采购云平台”进行确认，在收到采购人或采购代理机构的电子邮件或语音电话或短信后仍不予确认的应说明理由，否则视为无异议。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546" w:hRule="atLeast"/>
          <w:tblHeader/>
        </w:trPr>
        <w:tc>
          <w:tcPr>
            <w:tcW w:w="725"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仿宋_GB2312" w:hAnsi="仿宋" w:eastAsia="仿宋_GB2312" w:cs="仿宋_GB2312"/>
                <w:sz w:val="24"/>
              </w:rPr>
            </w:pPr>
            <w:r>
              <w:rPr>
                <w:rFonts w:hint="eastAsia" w:ascii="仿宋" w:hAnsi="仿宋" w:eastAsia="仿宋" w:cs="仿宋"/>
                <w:b/>
                <w:sz w:val="24"/>
              </w:rPr>
              <w:t>15</w:t>
            </w:r>
          </w:p>
        </w:tc>
        <w:tc>
          <w:tcPr>
            <w:tcW w:w="212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
                <w:sz w:val="24"/>
              </w:rPr>
            </w:pPr>
            <w:r>
              <w:rPr>
                <w:rFonts w:hint="eastAsia" w:ascii="仿宋" w:hAnsi="仿宋" w:eastAsia="仿宋" w:cs="仿宋"/>
                <w:b/>
                <w:szCs w:val="21"/>
              </w:rPr>
              <w:t>备注</w:t>
            </w:r>
          </w:p>
        </w:tc>
        <w:tc>
          <w:tcPr>
            <w:tcW w:w="7029"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rPr>
                <w:rFonts w:ascii="仿宋" w:hAnsi="仿宋" w:eastAsia="仿宋" w:cs="仿宋"/>
                <w:snapToGrid w:val="0"/>
                <w:kern w:val="28"/>
                <w:sz w:val="24"/>
              </w:rPr>
            </w:pPr>
            <w:r>
              <w:rPr>
                <w:rFonts w:hint="eastAsia" w:ascii="仿宋" w:hAnsi="仿宋" w:eastAsia="仿宋" w:cs="仿宋"/>
                <w:snapToGrid w:val="0"/>
                <w:kern w:val="28"/>
                <w:sz w:val="24"/>
              </w:rPr>
              <w:t>中标人应在中标公告发出后领取中标通知书前提供与电子投标文件内容一致的纸质投标文件一正二副，装订成册，采用胶订或线订，不得采用活页夹等可随时拆换的方式装订。（胶订或线订以外装订形式视为活页装订），邮寄至招标代理机构。</w:t>
            </w:r>
          </w:p>
          <w:p>
            <w:pPr>
              <w:snapToGrid w:val="0"/>
              <w:spacing w:line="400" w:lineRule="exact"/>
              <w:rPr>
                <w:rFonts w:ascii="仿宋_GB2312" w:hAnsi="仿宋" w:eastAsia="仿宋_GB2312"/>
                <w:snapToGrid w:val="0"/>
                <w:kern w:val="28"/>
                <w:sz w:val="24"/>
              </w:rPr>
            </w:pPr>
            <w:r>
              <w:rPr>
                <w:rFonts w:hint="eastAsia" w:ascii="仿宋" w:hAnsi="仿宋" w:eastAsia="仿宋" w:cs="仿宋"/>
                <w:snapToGrid w:val="0"/>
                <w:kern w:val="28"/>
                <w:sz w:val="24"/>
              </w:rPr>
              <w:t>邮寄地址：杭州市西湖区古墩路701号紫金广场A座12楼1208室， 接收人：李梦圆，电话：17858500723，电子邮箱：362272630@qq.com）</w:t>
            </w:r>
          </w:p>
        </w:tc>
      </w:tr>
    </w:tbl>
    <w:p>
      <w:pPr>
        <w:rPr>
          <w:rFonts w:ascii="仿宋" w:hAnsi="仿宋" w:eastAsia="仿宋" w:cs="仿宋_GB2312"/>
          <w:b/>
          <w:sz w:val="32"/>
          <w:szCs w:val="20"/>
        </w:rPr>
      </w:pPr>
      <w:r>
        <w:rPr>
          <w:rFonts w:hint="eastAsia" w:ascii="仿宋" w:hAnsi="仿宋" w:eastAsia="仿宋" w:cs="仿宋_GB2312"/>
          <w:b/>
          <w:sz w:val="32"/>
          <w:szCs w:val="20"/>
        </w:rPr>
        <w:br w:type="page"/>
      </w:r>
    </w:p>
    <w:p>
      <w:pPr>
        <w:snapToGrid w:val="0"/>
        <w:spacing w:line="400" w:lineRule="exact"/>
        <w:jc w:val="center"/>
        <w:rPr>
          <w:rFonts w:ascii="仿宋" w:hAnsi="仿宋" w:eastAsia="仿宋" w:cs="仿宋_GB2312"/>
          <w:b/>
          <w:sz w:val="32"/>
          <w:szCs w:val="20"/>
        </w:rPr>
      </w:pPr>
      <w:r>
        <w:rPr>
          <w:rFonts w:hint="eastAsia" w:ascii="仿宋" w:hAnsi="仿宋" w:eastAsia="仿宋" w:cs="仿宋_GB2312"/>
          <w:b/>
          <w:sz w:val="32"/>
          <w:szCs w:val="20"/>
        </w:rPr>
        <w:t>前附表</w:t>
      </w:r>
    </w:p>
    <w:bookmarkEnd w:id="10"/>
    <w:p>
      <w:pPr>
        <w:adjustRightInd/>
        <w:spacing w:line="400" w:lineRule="exact"/>
        <w:ind w:firstLine="3845" w:firstLineChars="1197"/>
        <w:outlineLvl w:val="0"/>
        <w:rPr>
          <w:rFonts w:ascii="仿宋_GB2312" w:hAnsi="仿宋" w:eastAsia="仿宋_GB2312" w:cs="仿宋_GB2312"/>
          <w:b/>
          <w:sz w:val="32"/>
          <w:szCs w:val="20"/>
        </w:rPr>
      </w:pPr>
      <w:bookmarkStart w:id="11" w:name="_Toc164416483"/>
      <w:bookmarkStart w:id="12" w:name="第三部分"/>
      <w:r>
        <w:rPr>
          <w:rFonts w:hint="eastAsia" w:ascii="仿宋_GB2312" w:hAnsi="仿宋" w:eastAsia="仿宋_GB2312" w:cs="仿宋_GB2312"/>
          <w:b/>
          <w:sz w:val="32"/>
          <w:szCs w:val="20"/>
        </w:rPr>
        <w:t>一、总则</w:t>
      </w:r>
    </w:p>
    <w:p>
      <w:pPr>
        <w:snapToGrid w:val="0"/>
        <w:spacing w:line="400" w:lineRule="exact"/>
        <w:jc w:val="left"/>
        <w:outlineLvl w:val="1"/>
        <w:rPr>
          <w:rFonts w:ascii="仿宋_GB2312" w:hAnsi="仿宋" w:eastAsia="仿宋_GB2312"/>
          <w:b/>
          <w:sz w:val="24"/>
        </w:rPr>
      </w:pPr>
      <w:r>
        <w:rPr>
          <w:rFonts w:ascii="仿宋_GB2312" w:hAnsi="仿宋" w:eastAsia="仿宋_GB2312"/>
          <w:b/>
          <w:sz w:val="24"/>
        </w:rPr>
        <w:t>1.</w:t>
      </w:r>
      <w:r>
        <w:rPr>
          <w:rFonts w:hint="eastAsia" w:ascii="仿宋_GB2312" w:hAnsi="仿宋" w:eastAsia="仿宋_GB2312"/>
          <w:b/>
          <w:sz w:val="24"/>
        </w:rPr>
        <w:t>适用范围</w:t>
      </w:r>
    </w:p>
    <w:p>
      <w:pPr>
        <w:snapToGrid w:val="0"/>
        <w:spacing w:line="400" w:lineRule="exact"/>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2.定义</w:t>
      </w:r>
    </w:p>
    <w:p>
      <w:pPr>
        <w:spacing w:line="360" w:lineRule="auto"/>
        <w:ind w:firstLine="480" w:firstLineChars="200"/>
        <w:rPr>
          <w:rFonts w:ascii="仿宋_GB2312" w:hAnsi="仿宋" w:eastAsia="仿宋_GB2312"/>
          <w:sz w:val="24"/>
        </w:rPr>
      </w:pPr>
      <w:r>
        <w:rPr>
          <w:rFonts w:ascii="仿宋_GB2312" w:hAnsi="仿宋" w:eastAsia="仿宋_GB2312"/>
          <w:sz w:val="24"/>
        </w:rPr>
        <w:t>2.1</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2.2</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2.3</w:t>
      </w:r>
      <w:r>
        <w:rPr>
          <w:rFonts w:hint="eastAsia" w:ascii="仿宋_GB2312" w:hAnsi="仿宋" w:eastAsia="仿宋_GB2312"/>
          <w:sz w:val="24"/>
        </w:rPr>
        <w:t>“投标人”系指响应招标、参加投标竞争的法人、其他组织或者自然人。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2.4</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_GB2312" w:hAnsi="仿宋" w:eastAsia="仿宋_GB2312"/>
          <w:sz w:val="24"/>
        </w:rPr>
        <w:t>“公章”系指单位法定名称章。因特殊原因需要使用冠以法定名称的业务专用章的，投标时须提供《业务专用章使用说明函》（附件</w:t>
      </w:r>
      <w:r>
        <w:rPr>
          <w:rFonts w:ascii="仿宋_GB2312" w:hAnsi="仿宋" w:eastAsia="仿宋_GB2312"/>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2.7</w:t>
      </w:r>
      <w:r>
        <w:rPr>
          <w:rFonts w:hint="eastAsia" w:ascii="仿宋_GB2312" w:hAnsi="仿宋" w:eastAsia="仿宋_GB2312"/>
          <w:sz w:val="24"/>
        </w:rPr>
        <w:t>“▲”系指实质性要求条款，“★”系产品采购项目中单一产品或核心产品，“</w:t>
      </w:r>
      <w:sdt>
        <w:sdtPr>
          <w:rPr>
            <w:rFonts w:hint="eastAsia" w:ascii="仿宋_GB2312" w:hAnsi="仿宋" w:eastAsia="仿宋_GB2312" w:cs="Arial"/>
            <w:kern w:val="0"/>
            <w:sz w:val="24"/>
          </w:rPr>
          <w:id w:val="512970236"/>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MS Gothic" w:cs="Arial"/>
              <w:kern w:val="0"/>
              <w:sz w:val="24"/>
            </w:rPr>
            <w:t></w:t>
          </w:r>
        </w:sdtContent>
      </w:sdt>
      <w:r>
        <w:rPr>
          <w:rFonts w:hint="eastAsia" w:ascii="仿宋_GB2312" w:hAnsi="仿宋" w:eastAsia="仿宋_GB2312"/>
          <w:sz w:val="24"/>
        </w:rPr>
        <w:t>”系指适用本项目的要求，“</w:t>
      </w:r>
      <w:sdt>
        <w:sdtPr>
          <w:rPr>
            <w:rFonts w:hint="eastAsia" w:ascii="仿宋_GB2312" w:hAnsi="仿宋" w:eastAsia="仿宋_GB2312" w:cs="Arial"/>
            <w:kern w:val="0"/>
            <w:sz w:val="24"/>
          </w:rPr>
          <w:id w:val="404888855"/>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hint="eastAsia" w:ascii="仿宋_GB2312" w:hAnsi="仿宋" w:eastAsia="仿宋_GB2312"/>
          <w:sz w:val="24"/>
        </w:rPr>
        <w:t>”系指不适用本项目的要求。</w:t>
      </w:r>
    </w:p>
    <w:p>
      <w:pPr>
        <w:spacing w:line="360" w:lineRule="auto"/>
        <w:rPr>
          <w:rFonts w:ascii="仿宋_GB2312" w:hAnsi="仿宋" w:eastAsia="仿宋_GB2312"/>
          <w:b/>
          <w:sz w:val="24"/>
        </w:rPr>
      </w:pPr>
      <w:r>
        <w:rPr>
          <w:rFonts w:ascii="仿宋_GB2312" w:hAnsi="仿宋" w:eastAsia="仿宋_GB2312"/>
          <w:b/>
          <w:sz w:val="24"/>
        </w:rPr>
        <w:t>3.</w:t>
      </w:r>
      <w:r>
        <w:rPr>
          <w:rFonts w:hint="eastAsia" w:ascii="仿宋_GB2312" w:hAnsi="仿宋" w:eastAsia="仿宋_GB2312"/>
          <w:b/>
          <w:sz w:val="24"/>
        </w:rPr>
        <w:t>采购项目需要落实的政府采购政策</w:t>
      </w:r>
    </w:p>
    <w:p>
      <w:pPr>
        <w:spacing w:line="360" w:lineRule="auto"/>
        <w:ind w:firstLine="480" w:firstLineChars="200"/>
        <w:rPr>
          <w:rFonts w:ascii="仿宋_GB2312" w:hAnsi="仿宋" w:eastAsia="仿宋_GB2312"/>
          <w:sz w:val="24"/>
        </w:rPr>
      </w:pPr>
      <w:r>
        <w:rPr>
          <w:rFonts w:ascii="仿宋_GB2312" w:hAnsi="仿宋" w:eastAsia="仿宋_GB2312"/>
          <w:sz w:val="24"/>
        </w:rPr>
        <w:t>3.1</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480" w:firstLineChars="200"/>
        <w:rPr>
          <w:rFonts w:ascii="仿宋_GB2312" w:hAnsi="仿宋" w:eastAsia="仿宋_GB2312"/>
          <w:sz w:val="24"/>
        </w:rPr>
      </w:pPr>
      <w:r>
        <w:rPr>
          <w:rFonts w:ascii="仿宋_GB2312" w:hAnsi="仿宋" w:eastAsia="仿宋_GB2312"/>
          <w:sz w:val="24"/>
        </w:rPr>
        <w:t>3.2</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3.2.2</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w:t>
      </w:r>
      <w:r>
        <w:rPr>
          <w:rFonts w:hint="eastAsia" w:ascii="仿宋_GB2312" w:hAnsi="仿宋" w:eastAsia="仿宋_GB2312"/>
          <w:color w:val="000000" w:themeColor="text1"/>
          <w:sz w:val="24"/>
          <w14:textFill>
            <w14:solidFill>
              <w14:schemeClr w14:val="tx1"/>
            </w14:solidFill>
          </w14:textFill>
        </w:rPr>
        <w:t>对小型和微型企业的投标报价给予</w:t>
      </w:r>
      <w:r>
        <w:rPr>
          <w:rFonts w:hint="eastAsia" w:ascii="仿宋_GB2312" w:hAnsi="仿宋" w:eastAsia="仿宋_GB2312"/>
          <w:sz w:val="24"/>
        </w:rPr>
        <w:t>20</w:t>
      </w:r>
      <w:r>
        <w:rPr>
          <w:rFonts w:ascii="仿宋_GB2312" w:hAnsi="仿宋" w:eastAsia="仿宋_GB2312"/>
          <w:sz w:val="24"/>
        </w:rPr>
        <w:t>%</w:t>
      </w:r>
      <w:r>
        <w:rPr>
          <w:rFonts w:ascii="仿宋_GB2312" w:hAnsi="仿宋" w:eastAsia="仿宋_GB2312"/>
          <w:color w:val="000000" w:themeColor="text1"/>
          <w:sz w:val="24"/>
          <w14:textFill>
            <w14:solidFill>
              <w14:schemeClr w14:val="tx1"/>
            </w14:solidFill>
          </w14:textFill>
        </w:rPr>
        <w:t>的扣除，用扣除后的价格参与评审。接受大中型企业与小微企业组成联合体或者允许大中型企业向一家或者多家小微企业分包的</w:t>
      </w:r>
      <w:r>
        <w:rPr>
          <w:rFonts w:hint="eastAsia" w:ascii="仿宋_GB2312" w:hAnsi="仿宋" w:eastAsia="仿宋_GB2312"/>
          <w:color w:val="000000" w:themeColor="text1"/>
          <w:sz w:val="24"/>
          <w14:textFill>
            <w14:solidFill>
              <w14:schemeClr w14:val="tx1"/>
            </w14:solidFill>
          </w14:textFill>
        </w:rPr>
        <w:t>政府</w:t>
      </w:r>
      <w:r>
        <w:rPr>
          <w:rFonts w:ascii="仿宋_GB2312" w:hAnsi="仿宋" w:eastAsia="仿宋_GB2312"/>
          <w:color w:val="000000" w:themeColor="text1"/>
          <w:sz w:val="24"/>
          <w14:textFill>
            <w14:solidFill>
              <w14:schemeClr w14:val="tx1"/>
            </w14:solidFill>
          </w14:textFill>
        </w:rPr>
        <w:t>采购</w:t>
      </w:r>
      <w:r>
        <w:rPr>
          <w:rFonts w:hint="eastAsia" w:ascii="仿宋_GB2312" w:hAnsi="仿宋" w:eastAsia="仿宋_GB2312"/>
          <w:color w:val="000000" w:themeColor="text1"/>
          <w:sz w:val="24"/>
          <w14:textFill>
            <w14:solidFill>
              <w14:schemeClr w14:val="tx1"/>
            </w14:solidFill>
          </w14:textFill>
        </w:rPr>
        <w:t>货物或服务</w:t>
      </w:r>
      <w:r>
        <w:rPr>
          <w:rFonts w:ascii="仿宋_GB2312" w:hAnsi="仿宋" w:eastAsia="仿宋_GB2312"/>
          <w:color w:val="000000" w:themeColor="text1"/>
          <w:sz w:val="24"/>
          <w14:textFill>
            <w14:solidFill>
              <w14:schemeClr w14:val="tx1"/>
            </w14:solidFill>
          </w14:textFill>
        </w:rPr>
        <w:t>项目，对于联合协议或者分包意向协议约定小微企业的合同份额占到合同总金额30%以上的，对联合体或者大中型企业的报价给</w:t>
      </w:r>
      <w:r>
        <w:rPr>
          <w:rFonts w:ascii="仿宋_GB2312" w:hAnsi="仿宋" w:eastAsia="仿宋_GB2312"/>
          <w:sz w:val="24"/>
        </w:rPr>
        <w:t>予</w:t>
      </w:r>
      <w:r>
        <w:rPr>
          <w:rFonts w:hint="eastAsia" w:ascii="仿宋_GB2312" w:hAnsi="仿宋" w:eastAsia="仿宋_GB2312"/>
          <w:sz w:val="24"/>
        </w:rPr>
        <w:t>6</w:t>
      </w:r>
      <w:r>
        <w:rPr>
          <w:rFonts w:ascii="仿宋_GB2312" w:hAnsi="仿宋" w:eastAsia="仿宋_GB2312"/>
          <w:sz w:val="24"/>
        </w:rPr>
        <w:t>%</w:t>
      </w:r>
      <w:r>
        <w:rPr>
          <w:rFonts w:ascii="仿宋_GB2312" w:hAnsi="仿宋" w:eastAsia="仿宋_GB2312"/>
          <w:color w:val="000000" w:themeColor="text1"/>
          <w:sz w:val="24"/>
          <w14:textFill>
            <w14:solidFill>
              <w14:schemeClr w14:val="tx1"/>
            </w14:solidFill>
          </w14:textFill>
        </w:rPr>
        <w:t>的扣除，用扣除后的价格</w:t>
      </w:r>
      <w:r>
        <w:rPr>
          <w:rFonts w:ascii="仿宋_GB2312" w:hAnsi="仿宋" w:eastAsia="仿宋_GB2312"/>
          <w:sz w:val="24"/>
        </w:rPr>
        <w:t>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w:t>
      </w:r>
      <w:r>
        <w:rPr>
          <w:rFonts w:ascii="仿宋_GB2312" w:hAnsi="仿宋" w:eastAsia="仿宋_GB2312"/>
          <w:sz w:val="24"/>
        </w:rPr>
        <w:t>2年内，以及产品核心技术高于国内领先水平，并具有明晰自主知识产权的“制造精品”产品，</w:t>
      </w:r>
      <w:r>
        <w:rPr>
          <w:rFonts w:hint="eastAsia" w:ascii="仿宋_GB2312" w:hAnsi="仿宋" w:eastAsia="仿宋_GB2312"/>
          <w:sz w:val="24"/>
        </w:rPr>
        <w:t>自认定之日起</w:t>
      </w:r>
      <w:r>
        <w:rPr>
          <w:rFonts w:ascii="仿宋_GB2312" w:hAnsi="仿宋" w:eastAsia="仿宋_GB2312"/>
          <w:sz w:val="24"/>
        </w:rPr>
        <w:t>2年内视同已具备相应销售业绩，参加政府采购活动</w:t>
      </w:r>
      <w:r>
        <w:rPr>
          <w:rFonts w:hint="eastAsia" w:ascii="仿宋_GB2312" w:hAnsi="仿宋" w:eastAsia="仿宋_GB2312"/>
          <w:sz w:val="24"/>
        </w:rPr>
        <w:t>时业绩分值为满分。</w:t>
      </w:r>
    </w:p>
    <w:p>
      <w:pPr>
        <w:wordWrap w:val="0"/>
        <w:spacing w:line="360" w:lineRule="auto"/>
        <w:ind w:firstLine="480" w:firstLineChars="200"/>
        <w:jc w:val="left"/>
        <w:rPr>
          <w:rFonts w:ascii="仿宋_GB2312" w:hAnsi="仿宋" w:eastAsia="仿宋_GB2312"/>
          <w:snapToGrid w:val="0"/>
          <w:kern w:val="28"/>
          <w:sz w:val="24"/>
        </w:rPr>
      </w:pPr>
      <w:r>
        <w:rPr>
          <w:rFonts w:ascii="仿宋_GB2312" w:hAnsi="仿宋" w:eastAsia="仿宋_GB2312"/>
          <w:sz w:val="24"/>
        </w:rPr>
        <w:t>3.5</w:t>
      </w:r>
      <w:r>
        <w:rPr>
          <w:rFonts w:hint="eastAsia" w:ascii="仿宋" w:hAnsi="仿宋" w:eastAsia="仿宋" w:cs="仿宋"/>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pacing w:line="360" w:lineRule="auto"/>
        <w:jc w:val="left"/>
        <w:rPr>
          <w:rFonts w:ascii="仿宋_GB2312" w:hAnsi="仿宋" w:eastAsia="仿宋_GB2312"/>
          <w:color w:val="FF0000"/>
          <w:sz w:val="24"/>
        </w:rPr>
      </w:pPr>
      <w:r>
        <w:rPr>
          <w:rFonts w:ascii="仿宋_GB2312" w:hAnsi="仿宋" w:eastAsia="仿宋_GB2312"/>
          <w:b/>
          <w:sz w:val="24"/>
        </w:rPr>
        <w:t>4.</w:t>
      </w:r>
      <w:r>
        <w:rPr>
          <w:rFonts w:hint="eastAsia" w:ascii="仿宋_GB2312" w:hAnsi="仿宋" w:eastAsia="仿宋_GB2312"/>
          <w:b/>
          <w:sz w:val="24"/>
        </w:rPr>
        <w:t>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4"/>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.2供应商认为招标文件、采购过程和中标结果使自己的权益受到损害的，可以在知道或者应知其权益受到损害之日起七个工作日内，以书面形式向采购人、采购机构提出质疑，否则，采购人、采购机构不予受理。</w:t>
      </w:r>
    </w:p>
    <w:p>
      <w:pPr>
        <w:pStyle w:val="16"/>
        <w:spacing w:line="360" w:lineRule="auto"/>
        <w:ind w:firstLine="720" w:firstLineChars="300"/>
        <w:rPr>
          <w:rFonts w:ascii="仿宋_GB2312" w:hAnsi="仿宋" w:eastAsia="仿宋_GB2312"/>
          <w:snapToGrid/>
          <w:color w:val="auto"/>
          <w:kern w:val="2"/>
          <w:sz w:val="24"/>
        </w:rPr>
      </w:pPr>
      <w:r>
        <w:rPr>
          <w:rFonts w:ascii="仿宋_GB2312" w:hAnsi="仿宋" w:eastAsia="仿宋_GB2312"/>
          <w:snapToGrid/>
          <w:color w:val="auto"/>
          <w:kern w:val="2"/>
          <w:sz w:val="24"/>
        </w:rPr>
        <w:t>4.2.2.1对招标文件提出质疑的，质疑期限为供应商获得招标文件之日或者招标文件公告期限届满之日起计算。</w:t>
      </w:r>
    </w:p>
    <w:p>
      <w:pPr>
        <w:pStyle w:val="34"/>
        <w:spacing w:line="360" w:lineRule="auto"/>
        <w:ind w:firstLine="720" w:firstLineChars="3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4"/>
        <w:spacing w:line="360" w:lineRule="auto"/>
        <w:ind w:firstLine="720" w:firstLineChars="3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4"/>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4"/>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4"/>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888"/>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color w:val="000000" w:themeColor="text1"/>
          <w14:textFill>
            <w14:solidFill>
              <w14:schemeClr w14:val="tx1"/>
            </w14:solidFill>
          </w14:textFill>
        </w:rPr>
        <w:t>供应商提交的质疑函需一式三份。</w:t>
      </w:r>
      <w:r>
        <w:rPr>
          <w:rFonts w:hint="eastAsia" w:ascii="仿宋_GB2312" w:hAnsi="仿宋" w:eastAsia="仿宋_GB2312"/>
        </w:rPr>
        <w:t>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888"/>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.4</w:t>
      </w:r>
      <w:r>
        <w:rPr>
          <w:rFonts w:hint="eastAsia" w:ascii="仿宋_GB2312" w:hAnsi="仿宋" w:eastAsia="仿宋_GB2312"/>
        </w:rPr>
        <w:t>采购人、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rPr>
        <w:t>2021〕17号）,</w:t>
      </w:r>
      <w:r>
        <w:rPr>
          <w:rFonts w:hint="eastAsia" w:ascii="仿宋_GB2312" w:hAnsi="仿宋" w:eastAsia="仿宋_GB2312"/>
        </w:rPr>
        <w:t>采购人、采购机构在质疑回复后</w:t>
      </w:r>
      <w:r>
        <w:rPr>
          <w:rFonts w:ascii="仿宋_GB2312" w:hAnsi="仿宋" w:eastAsia="仿宋_GB2312"/>
        </w:rPr>
        <w:t>5个工作日内，在浙江政府采购网的“其他公告”栏目公开质疑答复，答复内容应当完整。</w:t>
      </w:r>
      <w:r>
        <w:rPr>
          <w:rFonts w:hint="eastAsia" w:ascii="仿宋_GB2312" w:hAnsi="仿宋" w:eastAsia="仿宋_GB2312"/>
        </w:rPr>
        <w:t>质疑答复公告时，如对采购文件质疑的，不公布质疑单位名称。涉及国家秘密、个人隐私、商业秘密以及法律法规规定应予保密的信息不公开。</w:t>
      </w:r>
      <w:r>
        <w:rPr>
          <w:rFonts w:ascii="仿宋_GB2312" w:hAnsi="仿宋" w:eastAsia="仿宋_GB2312"/>
        </w:rPr>
        <w:t>质疑</w:t>
      </w:r>
      <w:r>
        <w:rPr>
          <w:rFonts w:hint="eastAsia" w:ascii="仿宋_GB2312" w:hAnsi="仿宋" w:eastAsia="仿宋_GB2312"/>
        </w:rPr>
        <w:t>函作为附件上传。</w:t>
      </w:r>
    </w:p>
    <w:p>
      <w:pPr>
        <w:pStyle w:val="888"/>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.5询问或者质疑事项可能影响采购结果的，采购人应当暂停签订合同，已经签订合同的，应当中止履行合同。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240" w:firstLineChars="1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888"/>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888"/>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888"/>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hint="eastAsia" w:ascii="仿宋_GB2312" w:hAnsi="仿宋" w:eastAsia="仿宋_GB2312"/>
        </w:rPr>
        <w:t>4以联合体形式参加政府采购活动的，其投诉应当由组成联合体的所有供应商共同提出。</w:t>
      </w:r>
    </w:p>
    <w:p>
      <w:pPr>
        <w:pStyle w:val="888"/>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131"/>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二、招标文件的构成、澄清、修改</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w:t>
      </w:r>
      <w:r>
        <w:rPr>
          <w:rFonts w:hint="eastAsia" w:ascii="仿宋_GB2312" w:hAnsi="仿宋" w:eastAsia="仿宋_GB2312" w:cs="仿宋_GB2312"/>
          <w:sz w:val="24"/>
          <w:szCs w:val="24"/>
        </w:rPr>
        <w:t>招标文件包括下列文件及附件：</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6.</w:t>
      </w:r>
      <w:r>
        <w:rPr>
          <w:rFonts w:hint="eastAsia" w:ascii="仿宋_GB2312" w:hAnsi="仿宋" w:eastAsia="仿宋_GB2312" w:cs="仿宋_GB2312"/>
          <w:b/>
          <w:sz w:val="24"/>
          <w:szCs w:val="24"/>
        </w:rPr>
        <w:t>招标文件的澄清、修改</w:t>
      </w:r>
    </w:p>
    <w:p>
      <w:pPr>
        <w:pStyle w:val="131"/>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131"/>
        <w:snapToGrid w:val="0"/>
        <w:spacing w:before="0"/>
        <w:ind w:firstLine="480"/>
        <w:rPr>
          <w:rFonts w:ascii="仿宋_GB2312" w:hAnsi="仿宋" w:eastAsia="仿宋_GB2312"/>
        </w:rPr>
      </w:pPr>
      <w:r>
        <w:rPr>
          <w:rFonts w:ascii="仿宋_GB2312" w:hAnsi="仿宋" w:eastAsia="仿宋_GB2312"/>
        </w:rPr>
        <w:t>6.2</w:t>
      </w:r>
      <w:r>
        <w:rPr>
          <w:rFonts w:hint="eastAsia" w:ascii="仿宋_GB2312" w:hAnsi="仿宋" w:eastAsia="仿宋_GB2312"/>
          <w:color w:val="000000" w:themeColor="text1"/>
          <w14:textFill>
            <w14:solidFill>
              <w14:schemeClr w14:val="tx1"/>
            </w14:solidFill>
          </w14:textFill>
        </w:rPr>
        <w:t>采购机构</w:t>
      </w:r>
      <w:r>
        <w:rPr>
          <w:rFonts w:hint="eastAsia" w:ascii="仿宋_GB2312" w:hAnsi="仿宋" w:eastAsia="仿宋_GB2312"/>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ascii="仿宋_GB2312" w:hAnsi="仿宋" w:eastAsia="仿宋_GB2312" w:cs="仿宋_GB2312"/>
          <w:sz w:val="18"/>
          <w:szCs w:val="18"/>
          <w:lang w:val="en-US"/>
        </w:rPr>
      </w:pP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7.</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4"/>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16"/>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10.</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11.</w:t>
      </w:r>
      <w:r>
        <w:rPr>
          <w:rFonts w:hint="eastAsia" w:ascii="仿宋_GB2312" w:hAnsi="仿宋" w:eastAsia="仿宋_GB2312" w:cs="仿宋_GB2312"/>
          <w:b/>
          <w:sz w:val="24"/>
          <w:szCs w:val="24"/>
        </w:rPr>
        <w:t>投标文件的组成</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b/>
          <w:sz w:val="24"/>
        </w:rPr>
        <w:t>资格文件</w:t>
      </w:r>
      <w:r>
        <w:rPr>
          <w:rFonts w:hint="eastAsia"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11.1.1符合参加政府采购活动应当具备的一般条件的承诺函；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11.1.2落实政府采购政策需满足的资格要求；</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11.1.3本项目的特定资格要求。</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11.2.1投标函；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11.2.2授权委托书或法定代表人（单位负责人、自然人本人）身份证明；</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11.2.3联合协议；</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11.2.4分包意向协议；</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11.2.5符合性审查资料；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11.2.6评标标准相应的商务技术资料；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11.2.7商务技术偏离表；</w:t>
      </w:r>
    </w:p>
    <w:p>
      <w:pPr>
        <w:snapToGrid w:val="0"/>
        <w:spacing w:line="360" w:lineRule="auto"/>
        <w:ind w:firstLine="960" w:firstLineChars="4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firstLine="480" w:firstLineChars="200"/>
        <w:rPr>
          <w:rFonts w:ascii="仿宋_GB2312" w:hAnsi="仿宋" w:eastAsia="仿宋_GB2312" w:cs="仿宋_GB2312"/>
          <w:sz w:val="24"/>
          <w:u w:val="single"/>
          <w:lang w:val="zh-CN"/>
        </w:rPr>
      </w:pPr>
      <w:r>
        <w:rPr>
          <w:rFonts w:ascii="仿宋_GB2312" w:hAnsi="仿宋" w:eastAsia="仿宋_GB2312" w:cs="仿宋_GB2312"/>
          <w:kern w:val="0"/>
          <w:sz w:val="24"/>
          <w:lang w:val="zh-CN"/>
        </w:rPr>
        <w:t>11.</w:t>
      </w:r>
      <w:r>
        <w:rPr>
          <w:rFonts w:ascii="仿宋_GB2312" w:hAnsi="仿宋" w:eastAsia="仿宋_GB2312" w:cs="仿宋_GB2312"/>
          <w:kern w:val="0"/>
          <w:sz w:val="24"/>
        </w:rPr>
        <w:t>3</w:t>
      </w:r>
      <w:r>
        <w:rPr>
          <w:rFonts w:hint="eastAsia" w:ascii="仿宋_GB2312" w:hAnsi="仿宋" w:eastAsia="仿宋_GB2312" w:cs="仿宋_GB2312"/>
          <w:b/>
          <w:sz w:val="24"/>
        </w:rPr>
        <w:t>报价文件：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11.3.1开标一览表（报价表）；</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11.3.2中小企业声明函。</w:t>
      </w:r>
    </w:p>
    <w:p>
      <w:pPr>
        <w:spacing w:line="360" w:lineRule="auto"/>
        <w:ind w:firstLine="723" w:firstLineChars="300"/>
        <w:rPr>
          <w:rFonts w:ascii="仿宋_GB2312" w:hAnsi="仿宋" w:eastAsia="仿宋_GB2312"/>
          <w:b/>
          <w:sz w:val="24"/>
        </w:rPr>
      </w:pPr>
      <w:r>
        <w:rPr>
          <w:rFonts w:hint="eastAsia" w:ascii="仿宋_GB2312" w:hAnsi="仿宋" w:eastAsia="仿宋_GB2312"/>
          <w:b/>
          <w:sz w:val="24"/>
        </w:rPr>
        <w:t>投标文件含有采购人不能接受的附加条件的，投标无效；</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131"/>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131"/>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131"/>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131"/>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131"/>
        <w:spacing w:before="0"/>
        <w:ind w:firstLine="0" w:firstLineChars="0"/>
        <w:rPr>
          <w:rFonts w:ascii="仿宋_GB2312" w:hAnsi="仿宋" w:eastAsia="仿宋_GB2312" w:cs="仿宋_GB2312"/>
          <w:b/>
          <w:szCs w:val="24"/>
        </w:rPr>
      </w:pPr>
      <w:r>
        <w:rPr>
          <w:rFonts w:ascii="仿宋_GB2312" w:hAnsi="仿宋" w:eastAsia="仿宋_GB2312" w:cs="仿宋_GB2312"/>
          <w:b/>
          <w:szCs w:val="24"/>
        </w:rPr>
        <w:t>14.</w:t>
      </w:r>
      <w:r>
        <w:rPr>
          <w:rFonts w:hint="eastAsia" w:ascii="仿宋_GB2312" w:hAnsi="仿宋" w:eastAsia="仿宋_GB2312" w:cs="仿宋_GB2312"/>
          <w:b/>
          <w:szCs w:val="24"/>
        </w:rPr>
        <w:t>投标文件的提交、补充、修改、撤回</w:t>
      </w:r>
    </w:p>
    <w:p>
      <w:pPr>
        <w:pStyle w:val="131"/>
        <w:ind w:firstLine="480"/>
        <w:rPr>
          <w:rFonts w:ascii="仿宋_GB2312" w:hAnsi="仿宋" w:eastAsia="仿宋_GB2312" w:cs="仿宋_GB2312"/>
          <w:szCs w:val="24"/>
        </w:rPr>
      </w:pPr>
      <w:r>
        <w:rPr>
          <w:rFonts w:ascii="仿宋_GB2312" w:hAnsi="仿宋" w:eastAsia="仿宋_GB2312" w:cs="仿宋_GB2312"/>
          <w:szCs w:val="24"/>
        </w:rPr>
        <w:t>14.1</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1"/>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1"/>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4"/>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rPr>
        <w:t>但采购人、采购机构不强制或变相强制投标人提交备份投标文件。</w:t>
      </w:r>
      <w:r>
        <w:rPr>
          <w:rFonts w:hint="eastAsia" w:ascii="仿宋" w:hAnsi="仿宋" w:eastAsia="仿宋" w:cs="仿宋"/>
          <w:b/>
          <w:color w:val="0000FF"/>
          <w:sz w:val="24"/>
          <w:szCs w:val="24"/>
        </w:rPr>
        <w:t>快递到付或包裹破损拒绝接收。</w:t>
      </w:r>
    </w:p>
    <w:p>
      <w:pPr>
        <w:pStyle w:val="34"/>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w:t>
      </w:r>
      <w:r>
        <w:rPr>
          <w:rFonts w:hint="eastAsia" w:ascii="仿宋" w:hAnsi="仿宋" w:eastAsia="仿宋" w:cs="仿宋"/>
          <w:b/>
          <w:color w:val="0000FF"/>
          <w:sz w:val="24"/>
          <w:szCs w:val="24"/>
        </w:rPr>
        <w:t>并储存在</w:t>
      </w:r>
      <w:r>
        <w:rPr>
          <w:rFonts w:hint="eastAsia" w:ascii="仿宋" w:hAnsi="仿宋" w:eastAsia="仿宋" w:cs="仿宋"/>
          <w:b/>
          <w:color w:val="0000FF"/>
          <w:sz w:val="24"/>
          <w:szCs w:val="24"/>
          <w:lang w:eastAsia="zh-Hans"/>
        </w:rPr>
        <w:t>U</w:t>
      </w:r>
      <w:r>
        <w:rPr>
          <w:rFonts w:hint="eastAsia" w:ascii="仿宋" w:hAnsi="仿宋" w:eastAsia="仿宋" w:cs="仿宋"/>
          <w:b/>
          <w:color w:val="0000FF"/>
          <w:sz w:val="24"/>
          <w:szCs w:val="24"/>
        </w:rPr>
        <w:t>盘等存储载体中。</w:t>
      </w:r>
      <w:r>
        <w:rPr>
          <w:rFonts w:hint="eastAsia" w:ascii="仿宋_GB2312" w:hAnsi="仿宋" w:eastAsia="仿宋_GB2312" w:cs="仿宋_GB2312"/>
          <w:sz w:val="24"/>
          <w:szCs w:val="24"/>
        </w:rPr>
        <w:t>备份投标文件应当密封包装并在包装上加盖公章并注明投标项目名称，投标人名称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sz w:val="24"/>
          <w:szCs w:val="24"/>
        </w:rPr>
        <w:t>招标文件第二部分投标人须知前附表规定的备份投标文件送达地点；</w:t>
      </w:r>
      <w:r>
        <w:rPr>
          <w:rFonts w:hint="eastAsia" w:ascii="仿宋_GB2312" w:hAnsi="仿宋" w:eastAsia="仿宋_GB2312" w:cs="仿宋_GB2312"/>
          <w:sz w:val="24"/>
          <w:szCs w:val="24"/>
        </w:rPr>
        <w:t>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15.5投标人仅提交备份投标文件，没有在电子交易平台传输递交投标文件的，投标无效。</w:t>
      </w:r>
    </w:p>
    <w:p>
      <w:pPr>
        <w:pStyle w:val="131"/>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17"/>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b/>
          <w:bCs/>
          <w:color w:val="0000FF"/>
        </w:rPr>
        <w:t>第4.2</w:t>
      </w:r>
      <w:r>
        <w:rPr>
          <w:rFonts w:ascii="仿宋_GB2312" w:hAnsi="仿宋" w:eastAsia="仿宋_GB2312"/>
          <w:b/>
          <w:bCs/>
          <w:color w:val="0000FF"/>
        </w:rPr>
        <w:t>项</w:t>
      </w:r>
      <w:r>
        <w:rPr>
          <w:rFonts w:ascii="仿宋_GB2312" w:hAnsi="仿宋" w:eastAsia="仿宋_GB2312"/>
        </w:rPr>
        <w:t>规定</w:t>
      </w:r>
      <w:r>
        <w:rPr>
          <w:rFonts w:hint="eastAsia" w:ascii="仿宋_GB2312" w:hAnsi="仿宋" w:eastAsia="仿宋_GB2312" w:cs="仿宋_GB2312"/>
          <w:szCs w:val="21"/>
        </w:rPr>
        <w:t>的情形之一的，投标无效。</w:t>
      </w:r>
    </w:p>
    <w:p>
      <w:pPr>
        <w:pStyle w:val="131"/>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131"/>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131"/>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131"/>
        <w:spacing w:before="0"/>
        <w:ind w:firstLine="643"/>
        <w:rPr>
          <w:rFonts w:ascii="仿宋_GB2312" w:hAnsi="仿宋" w:eastAsia="仿宋_GB2312" w:cs="仿宋_GB2312"/>
          <w:b/>
          <w:sz w:val="32"/>
        </w:rPr>
      </w:pPr>
    </w:p>
    <w:p>
      <w:pPr>
        <w:pStyle w:val="131"/>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557"/>
        <w:spacing w:before="0" w:line="360" w:lineRule="auto"/>
        <w:ind w:left="0" w:firstLine="0"/>
        <w:contextualSpacing/>
        <w:rPr>
          <w:rFonts w:ascii="仿宋_GB2312" w:eastAsia="仿宋_GB2312"/>
          <w:sz w:val="24"/>
        </w:rPr>
      </w:pPr>
      <w:r>
        <w:rPr>
          <w:rFonts w:ascii="仿宋_GB2312" w:hAnsi="仿宋" w:eastAsia="仿宋_GB2312" w:cs="仿宋_GB2312"/>
          <w:b/>
          <w:sz w:val="24"/>
          <w:szCs w:val="24"/>
        </w:rPr>
        <w:t>18.开标</w:t>
      </w:r>
    </w:p>
    <w:p>
      <w:pPr>
        <w:pStyle w:val="557"/>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557"/>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557"/>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pStyle w:val="131"/>
        <w:spacing w:before="0"/>
        <w:ind w:firstLine="0" w:firstLineChars="0"/>
        <w:rPr>
          <w:rFonts w:ascii="仿宋_GB2312" w:hAnsi="仿宋" w:eastAsia="仿宋_GB2312" w:cs="仿宋_GB2312"/>
          <w:b/>
          <w:szCs w:val="24"/>
        </w:rPr>
      </w:pPr>
      <w:r>
        <w:rPr>
          <w:rFonts w:ascii="仿宋_GB2312" w:hAnsi="仿宋" w:eastAsia="仿宋_GB2312" w:cs="仿宋_GB2312"/>
          <w:b/>
          <w:szCs w:val="24"/>
        </w:rPr>
        <w:t>19</w:t>
      </w:r>
      <w:r>
        <w:rPr>
          <w:rFonts w:hint="eastAsia" w:ascii="仿宋_GB2312" w:hAnsi="仿宋" w:eastAsia="仿宋_GB2312" w:cs="仿宋_GB2312"/>
          <w:b/>
          <w:szCs w:val="24"/>
        </w:rPr>
        <w:t>.</w:t>
      </w:r>
      <w:r>
        <w:rPr>
          <w:rFonts w:ascii="仿宋_GB2312" w:hAnsi="仿宋" w:eastAsia="仿宋_GB2312" w:cs="仿宋_GB2312"/>
          <w:b/>
          <w:szCs w:val="24"/>
        </w:rPr>
        <w:t>资格审查</w:t>
      </w:r>
    </w:p>
    <w:p>
      <w:pPr>
        <w:pStyle w:val="131"/>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131"/>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131"/>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131"/>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131"/>
        <w:spacing w:before="0"/>
        <w:ind w:firstLine="0" w:firstLineChars="0"/>
        <w:rPr>
          <w:rFonts w:ascii="仿宋_GB2312" w:hAnsi="仿宋" w:eastAsia="仿宋_GB2312" w:cs="仿宋_GB2312"/>
          <w:b/>
          <w:szCs w:val="24"/>
        </w:rPr>
      </w:pPr>
      <w:r>
        <w:rPr>
          <w:rFonts w:ascii="仿宋_GB2312" w:hAnsi="仿宋" w:eastAsia="仿宋_GB2312" w:cs="仿宋_GB2312"/>
          <w:b/>
          <w:szCs w:val="24"/>
        </w:rPr>
        <w:t>20</w:t>
      </w:r>
      <w:r>
        <w:rPr>
          <w:rFonts w:hint="eastAsia" w:ascii="仿宋_GB2312" w:hAnsi="仿宋" w:eastAsia="仿宋_GB2312" w:cs="仿宋_GB2312"/>
          <w:b/>
          <w:szCs w:val="24"/>
        </w:rPr>
        <w:t>.</w:t>
      </w:r>
      <w:r>
        <w:rPr>
          <w:rFonts w:ascii="仿宋_GB2312" w:hAnsi="仿宋" w:eastAsia="仿宋_GB2312" w:cs="仿宋_GB2312"/>
          <w:b/>
          <w:szCs w:val="24"/>
        </w:rPr>
        <w:t>信用信息查询</w:t>
      </w:r>
    </w:p>
    <w:p>
      <w:pPr>
        <w:pStyle w:val="131"/>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20.1信用信息查询渠道及截止时间：采购机构将通过“信用中国”网站(www.creditchina.gov.cn)、中国政府采购网(www.ccgp.gov.cn)渠道查询投标人投标截止时间当天的信用记录。</w:t>
      </w:r>
    </w:p>
    <w:p>
      <w:pPr>
        <w:pStyle w:val="131"/>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131"/>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131"/>
        <w:spacing w:before="0"/>
        <w:ind w:firstLine="480"/>
        <w:rPr>
          <w:rFonts w:ascii="仿宋_GB2312" w:hAnsi="仿宋" w:eastAsia="仿宋_GB2312" w:cs="仿宋_GB2312"/>
        </w:rPr>
      </w:pPr>
      <w:r>
        <w:rPr>
          <w:rFonts w:ascii="仿宋_GB2312" w:hAnsi="仿宋" w:eastAsia="仿宋_GB2312" w:cs="Arial"/>
          <w:kern w:val="0"/>
          <w:szCs w:val="24"/>
        </w:rPr>
        <w:t>20.</w:t>
      </w:r>
      <w:r>
        <w:rPr>
          <w:rFonts w:hint="eastAsia" w:ascii="仿宋_GB2312" w:hAnsi="仿宋" w:eastAsia="仿宋_GB2312" w:cs="Arial"/>
          <w:kern w:val="0"/>
          <w:szCs w:val="24"/>
        </w:rPr>
        <w:t>4</w:t>
      </w:r>
      <w:r>
        <w:rPr>
          <w:rFonts w:ascii="仿宋_GB2312" w:hAnsi="仿宋" w:eastAsia="仿宋_GB2312" w:cs="Arial"/>
          <w:kern w:val="0"/>
          <w:szCs w:val="24"/>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131"/>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六、定标</w:t>
      </w:r>
    </w:p>
    <w:p>
      <w:pPr>
        <w:pStyle w:val="17"/>
        <w:spacing w:line="360" w:lineRule="auto"/>
        <w:ind w:left="479" w:hanging="479" w:hangingChars="199"/>
        <w:rPr>
          <w:rFonts w:ascii="仿宋_GB2312" w:hAnsi="仿宋" w:eastAsia="仿宋_GB2312" w:cs="仿宋_GB2312"/>
          <w:b/>
        </w:rPr>
      </w:pPr>
      <w:r>
        <w:rPr>
          <w:rFonts w:ascii="仿宋_GB2312" w:hAnsi="仿宋" w:eastAsia="仿宋_GB2312" w:cs="仿宋_GB2312"/>
          <w:b/>
        </w:rPr>
        <w:t>22.</w:t>
      </w:r>
      <w:r>
        <w:rPr>
          <w:rFonts w:hint="eastAsia" w:ascii="仿宋_GB2312" w:hAnsi="仿宋" w:eastAsia="仿宋_GB2312" w:cs="仿宋_GB2312"/>
          <w:b/>
        </w:rPr>
        <w:t>确定中标供应商</w:t>
      </w:r>
    </w:p>
    <w:p>
      <w:pPr>
        <w:pStyle w:val="131"/>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5个工作日内通过电子交易平台在评审报告推荐的中标候选人中按顺序确定中标供应商。</w:t>
      </w:r>
    </w:p>
    <w:p>
      <w:pPr>
        <w:pStyle w:val="131"/>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23.</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17"/>
        <w:spacing w:line="360" w:lineRule="auto"/>
        <w:ind w:left="479" w:hanging="479" w:hangingChars="199"/>
        <w:rPr>
          <w:rFonts w:ascii="仿宋_GB2312" w:hAnsi="仿宋" w:eastAsia="仿宋_GB2312" w:cs="仿宋_GB2312"/>
          <w:b/>
        </w:rPr>
      </w:pPr>
      <w:r>
        <w:rPr>
          <w:rFonts w:ascii="仿宋_GB2312" w:hAnsi="仿宋" w:eastAsia="仿宋_GB2312" w:cs="仿宋_GB2312"/>
          <w:b/>
        </w:rPr>
        <w:t>24.</w:t>
      </w:r>
      <w:r>
        <w:rPr>
          <w:rFonts w:hint="eastAsia" w:ascii="仿宋_GB2312" w:hAnsi="仿宋" w:eastAsia="仿宋_GB2312" w:cs="仿宋_GB2312"/>
        </w:rPr>
        <w:t>合同主要条款详见第五部分拟签订的合同文本。</w:t>
      </w:r>
    </w:p>
    <w:p>
      <w:pPr>
        <w:pStyle w:val="17"/>
        <w:spacing w:line="360" w:lineRule="auto"/>
        <w:ind w:left="479" w:hanging="479" w:hangingChars="199"/>
        <w:rPr>
          <w:rFonts w:ascii="仿宋_GB2312" w:hAnsi="仿宋" w:eastAsia="仿宋_GB2312" w:cs="仿宋_GB2312"/>
          <w:b/>
        </w:rPr>
      </w:pPr>
      <w:r>
        <w:rPr>
          <w:rFonts w:ascii="仿宋_GB2312" w:hAnsi="仿宋" w:eastAsia="仿宋_GB2312" w:cs="仿宋_GB2312"/>
          <w:b/>
        </w:rPr>
        <w:t>25.</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采购人与中标人应当通过电子交易平台在中标通知书发出之日起三十日内，按照招标文件确定的事项签订政府采购合同，并在</w:t>
      </w:r>
      <w:r>
        <w:rPr>
          <w:rFonts w:hint="eastAsia" w:ascii="仿宋_GB2312" w:hAnsi="仿宋" w:eastAsia="仿宋_GB2312" w:cs="Arial"/>
          <w:kern w:val="0"/>
          <w:sz w:val="24"/>
        </w:rPr>
        <w:t>合同签订</w:t>
      </w:r>
      <w:r>
        <w:rPr>
          <w:rFonts w:hint="eastAsia" w:ascii="仿宋_GB2312" w:hAnsi="仿宋" w:eastAsia="仿宋_GB2312" w:cs="Arial"/>
          <w:color w:val="000000" w:themeColor="text1"/>
          <w:kern w:val="0"/>
          <w:sz w:val="24"/>
          <w14:textFill>
            <w14:solidFill>
              <w14:schemeClr w14:val="tx1"/>
            </w14:solidFill>
          </w14:textFill>
        </w:rPr>
        <w:t>（或变更）</w:t>
      </w:r>
      <w:r>
        <w:rPr>
          <w:rFonts w:hint="eastAsia" w:ascii="仿宋_GB2312" w:hAnsi="仿宋" w:eastAsia="仿宋_GB2312" w:cs="Arial"/>
          <w:kern w:val="0"/>
          <w:sz w:val="24"/>
        </w:rPr>
        <w:t>之日起2个工作日</w:t>
      </w:r>
      <w:r>
        <w:rPr>
          <w:rFonts w:ascii="仿宋_GB2312" w:hAnsi="仿宋" w:eastAsia="仿宋_GB2312" w:cs="Arial"/>
          <w:kern w:val="0"/>
          <w:sz w:val="24"/>
        </w:rPr>
        <w:t>内依法发布合同公告。</w:t>
      </w:r>
    </w:p>
    <w:p>
      <w:pPr>
        <w:pStyle w:val="131"/>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31"/>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131"/>
        <w:snapToGrid w:val="0"/>
        <w:spacing w:before="0"/>
        <w:ind w:firstLine="480"/>
        <w:rPr>
          <w:rFonts w:ascii="仿宋_GB2312" w:hAnsi="仿宋" w:eastAsia="仿宋_GB2312" w:cs="仿宋_GB2312"/>
        </w:rPr>
      </w:pPr>
      <w:r>
        <w:rPr>
          <w:rFonts w:ascii="仿宋_GB2312" w:hAnsi="仿宋" w:eastAsia="仿宋_GB2312" w:cs="仿宋_GB2312"/>
        </w:rPr>
        <w:t>25.4中标供应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131"/>
        <w:snapToGrid w:val="0"/>
        <w:spacing w:before="0" w:after="120"/>
        <w:ind w:firstLine="480"/>
        <w:rPr>
          <w:rFonts w:ascii="仿宋_GB2312" w:hAnsi="仿宋" w:eastAsia="仿宋_GB2312" w:cs="仿宋_GB2312"/>
        </w:rPr>
      </w:pPr>
      <w:r>
        <w:rPr>
          <w:rFonts w:ascii="仿宋_GB2312" w:hAnsi="仿宋" w:eastAsia="仿宋_GB2312" w:cs="仿宋_GB2312"/>
        </w:rPr>
        <w:t>25.5采购合同由采购人与中标供应商根据</w:t>
      </w:r>
      <w:r>
        <w:rPr>
          <w:rFonts w:hint="eastAsia" w:ascii="仿宋_GB2312" w:hAnsi="仿宋" w:eastAsia="仿宋_GB2312" w:cs="仿宋_GB2312"/>
        </w:rPr>
        <w:t>招标文件、投标文件等内容通过政府采购电子交易平台在线签订，自动备案。</w:t>
      </w:r>
    </w:p>
    <w:p>
      <w:pPr>
        <w:pStyle w:val="17"/>
        <w:spacing w:line="360" w:lineRule="auto"/>
        <w:ind w:left="479" w:hanging="479" w:hangingChars="199"/>
        <w:rPr>
          <w:rFonts w:ascii="仿宋_GB2312" w:hAnsi="仿宋" w:eastAsia="仿宋_GB2312" w:cs="仿宋_GB2312"/>
          <w:b/>
        </w:rPr>
      </w:pPr>
      <w:r>
        <w:rPr>
          <w:rFonts w:ascii="仿宋_GB2312" w:hAnsi="仿宋" w:eastAsia="仿宋_GB2312" w:cs="仿宋_GB2312"/>
          <w:b/>
        </w:rPr>
        <w:t>26.</w:t>
      </w:r>
      <w:r>
        <w:rPr>
          <w:rFonts w:hint="eastAsia" w:ascii="仿宋_GB2312" w:hAnsi="仿宋" w:eastAsia="仿宋_GB2312" w:cs="仿宋_GB2312"/>
          <w:b/>
        </w:rPr>
        <w:t>履约保证金</w:t>
      </w:r>
    </w:p>
    <w:p>
      <w:pPr>
        <w:tabs>
          <w:tab w:val="left" w:pos="0"/>
        </w:tabs>
        <w:spacing w:line="360" w:lineRule="auto"/>
        <w:ind w:firstLine="482"/>
        <w:rPr>
          <w:rFonts w:ascii="仿宋" w:hAnsi="仿宋" w:eastAsia="仿宋" w:cs="仿宋"/>
          <w:b/>
          <w:bCs/>
          <w:sz w:val="24"/>
        </w:rPr>
      </w:pPr>
      <w:r>
        <w:rPr>
          <w:rFonts w:hint="eastAsia" w:ascii="仿宋" w:hAnsi="仿宋" w:eastAsia="仿宋" w:cs="仿宋"/>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rPr>
        <w:t>。履约保证金的数额不得超过政府采购合同金额的1%。鼓励和支持供应商以银行、保险公司出具的保函形式提供履约保证金。</w:t>
      </w:r>
      <w:r>
        <w:rPr>
          <w:rFonts w:hint="eastAsia" w:ascii="仿宋" w:hAnsi="仿宋" w:eastAsia="仿宋" w:cs="仿宋"/>
          <w:b/>
          <w:bCs/>
          <w:sz w:val="24"/>
        </w:rPr>
        <w:t>采购人不得拒收履约保函。</w:t>
      </w:r>
    </w:p>
    <w:p>
      <w:pPr>
        <w:tabs>
          <w:tab w:val="left" w:pos="0"/>
        </w:tabs>
        <w:spacing w:line="360" w:lineRule="auto"/>
        <w:ind w:firstLine="482"/>
        <w:rPr>
          <w:rFonts w:ascii="仿宋" w:hAnsi="仿宋" w:eastAsia="仿宋" w:cs="仿宋"/>
          <w:sz w:val="24"/>
        </w:rPr>
      </w:pPr>
      <w:r>
        <w:rPr>
          <w:rFonts w:hint="eastAsia" w:ascii="仿宋" w:hAnsi="仿宋" w:eastAsia="仿宋" w:cs="仿宋"/>
          <w:sz w:val="24"/>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0.5%；评价总分在90分以下或者暂无评分的，收取履约保证金不得高于合同金额1%。</w:t>
      </w:r>
    </w:p>
    <w:p>
      <w:pPr>
        <w:snapToGrid w:val="0"/>
        <w:spacing w:line="360" w:lineRule="auto"/>
        <w:ind w:firstLine="480" w:firstLineChars="200"/>
        <w:rPr>
          <w:rFonts w:ascii="仿宋_GB2312" w:hAnsi="仿宋" w:eastAsia="仿宋_GB2312" w:cs="仿宋_GB2312"/>
          <w:b/>
          <w:sz w:val="32"/>
        </w:rPr>
      </w:pPr>
      <w:r>
        <w:rPr>
          <w:rFonts w:hint="eastAsia" w:ascii="仿宋" w:hAnsi="仿宋" w:eastAsia="仿宋" w:cs="仿宋"/>
          <w:snapToGrid w:val="0"/>
          <w:kern w:val="28"/>
          <w:sz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131"/>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b/>
          <w:szCs w:val="24"/>
        </w:rPr>
        <w:t>7.</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131"/>
        <w:snapToGrid w:val="0"/>
        <w:spacing w:before="0"/>
        <w:ind w:firstLine="480"/>
        <w:rPr>
          <w:rFonts w:ascii="仿宋_GB2312" w:hAnsi="仿宋" w:eastAsia="仿宋_GB2312" w:cs="仿宋_GB2312"/>
        </w:rPr>
      </w:pPr>
      <w:r>
        <w:rPr>
          <w:rFonts w:ascii="仿宋_GB2312" w:hAnsi="仿宋" w:eastAsia="仿宋_GB2312" w:cs="仿宋_GB2312"/>
        </w:rPr>
        <w:t>27.1电子交易平台发生故障而无法登录访问的；</w:t>
      </w:r>
    </w:p>
    <w:p>
      <w:pPr>
        <w:pStyle w:val="131"/>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131"/>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131"/>
        <w:snapToGrid w:val="0"/>
        <w:spacing w:before="0"/>
        <w:ind w:firstLine="480"/>
        <w:rPr>
          <w:rFonts w:ascii="仿宋_GB2312" w:hAnsi="仿宋" w:eastAsia="仿宋_GB2312" w:cs="仿宋_GB2312"/>
        </w:rPr>
      </w:pPr>
      <w:r>
        <w:rPr>
          <w:rFonts w:ascii="仿宋_GB2312" w:hAnsi="仿宋" w:eastAsia="仿宋_GB2312" w:cs="仿宋_GB2312"/>
        </w:rPr>
        <w:t>27.4病毒发作导致不能进行正常操作的；</w:t>
      </w:r>
    </w:p>
    <w:p>
      <w:pPr>
        <w:pStyle w:val="131"/>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131"/>
        <w:snapToGrid w:val="0"/>
        <w:spacing w:before="0"/>
        <w:ind w:firstLine="0" w:firstLineChars="0"/>
        <w:rPr>
          <w:rFonts w:ascii="仿宋_GB2312" w:hAnsi="仿宋" w:eastAsia="仿宋_GB2312" w:cs="仿宋_GB2312"/>
        </w:rPr>
      </w:pPr>
      <w:r>
        <w:rPr>
          <w:rFonts w:ascii="仿宋_GB2312" w:hAnsi="仿宋" w:eastAsia="仿宋_GB2312" w:cs="仿宋_GB2312"/>
          <w:b/>
        </w:rPr>
        <w:t>28.</w:t>
      </w:r>
      <w:r>
        <w:rPr>
          <w:rFonts w:ascii="仿宋_GB2312" w:hAnsi="仿宋" w:eastAsia="仿宋_GB2312" w:cs="仿宋_GB2312"/>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17"/>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w:t>
      </w:r>
      <w:r>
        <w:rPr>
          <w:rFonts w:ascii="仿宋_GB2312" w:hAnsi="仿宋" w:eastAsia="仿宋_GB2312" w:cs="Helvetica"/>
          <w:color w:val="000000" w:themeColor="text1"/>
          <w:kern w:val="0"/>
          <w:sz w:val="24"/>
          <w14:textFill>
            <w14:solidFill>
              <w14:schemeClr w14:val="tx1"/>
            </w14:solidFill>
          </w14:textFill>
        </w:rPr>
        <w:t>采购人应在浙江政府采购网上及时进行履约验收结果公示，</w:t>
      </w:r>
      <w:r>
        <w:rPr>
          <w:rFonts w:ascii="仿宋_GB2312" w:hAnsi="仿宋" w:eastAsia="仿宋_GB2312" w:cs="Helvetica"/>
          <w:kern w:val="0"/>
          <w:sz w:val="24"/>
        </w:rPr>
        <w:t>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rPr>
        <w:sectPr>
          <w:headerReference r:id="rId4" w:type="first"/>
          <w:footerReference r:id="rId7" w:type="first"/>
          <w:headerReference r:id="rId3" w:type="default"/>
          <w:footerReference r:id="rId5" w:type="default"/>
          <w:footerReference r:id="rId6" w:type="even"/>
          <w:pgSz w:w="11906" w:h="16838"/>
          <w:pgMar w:top="1361" w:right="1361" w:bottom="1361" w:left="1361" w:header="851" w:footer="992" w:gutter="0"/>
          <w:cols w:space="720" w:num="1"/>
          <w:titlePg/>
          <w:docGrid w:linePitch="312" w:charSpace="0"/>
        </w:sectPr>
      </w:pPr>
      <w:bookmarkStart w:id="14" w:name="_Hlt68072998"/>
      <w:bookmarkEnd w:id="14"/>
      <w:bookmarkStart w:id="15" w:name="_Hlt75236011"/>
      <w:bookmarkEnd w:id="15"/>
      <w:bookmarkStart w:id="16" w:name="_Hlt68073093"/>
      <w:bookmarkEnd w:id="16"/>
      <w:bookmarkStart w:id="17" w:name="_Hlt75236290"/>
      <w:bookmarkEnd w:id="17"/>
      <w:bookmarkStart w:id="18" w:name="_Hlt75236101"/>
      <w:bookmarkEnd w:id="18"/>
      <w:bookmarkStart w:id="19" w:name="_Hlt74729768"/>
      <w:bookmarkEnd w:id="19"/>
      <w:bookmarkStart w:id="20" w:name="_Hlt68403820"/>
      <w:bookmarkEnd w:id="20"/>
      <w:bookmarkStart w:id="21" w:name="_Hlt74730295"/>
      <w:bookmarkEnd w:id="21"/>
      <w:bookmarkStart w:id="22" w:name="_Hlt74707468"/>
      <w:bookmarkEnd w:id="22"/>
      <w:bookmarkStart w:id="23" w:name="_Hlt68072990"/>
      <w:bookmarkEnd w:id="23"/>
      <w:bookmarkStart w:id="24" w:name="_Hlt74714665"/>
      <w:bookmarkEnd w:id="24"/>
      <w:bookmarkStart w:id="25" w:name="_Hlt68057669"/>
      <w:bookmarkEnd w:id="25"/>
    </w:p>
    <w:bookmarkEnd w:id="11"/>
    <w:bookmarkEnd w:id="12"/>
    <w:p>
      <w:pPr>
        <w:spacing w:line="360" w:lineRule="auto"/>
        <w:jc w:val="center"/>
        <w:outlineLvl w:val="0"/>
        <w:rPr>
          <w:rFonts w:ascii="仿宋_GB2312" w:hAnsi="仿宋" w:eastAsia="仿宋_GB2312" w:cs="仿宋_GB2312"/>
          <w:b/>
          <w:sz w:val="36"/>
          <w:szCs w:val="36"/>
        </w:rPr>
      </w:pPr>
      <w:bookmarkStart w:id="26" w:name="第四部分"/>
      <w:r>
        <w:rPr>
          <w:rFonts w:hint="eastAsia" w:ascii="仿宋_GB2312" w:hAnsi="仿宋" w:eastAsia="仿宋_GB2312" w:cs="仿宋_GB2312"/>
          <w:b/>
          <w:sz w:val="36"/>
          <w:szCs w:val="36"/>
        </w:rPr>
        <w:t>第三部分 采购需求</w:t>
      </w:r>
    </w:p>
    <w:p>
      <w:pPr>
        <w:pStyle w:val="4"/>
        <w:tabs>
          <w:tab w:val="left" w:pos="0"/>
          <w:tab w:val="clear" w:pos="432"/>
        </w:tabs>
        <w:rPr>
          <w:rFonts w:ascii="仿宋" w:eastAsia="仿宋" w:cs="仿宋"/>
          <w:snapToGrid w:val="0"/>
          <w:sz w:val="30"/>
          <w:szCs w:val="30"/>
          <w:lang w:val="en-US"/>
        </w:rPr>
      </w:pPr>
      <w:bookmarkStart w:id="27" w:name="_Toc264015796"/>
      <w:bookmarkStart w:id="28" w:name="_Toc1282293822"/>
      <w:bookmarkStart w:id="29" w:name="_Toc20384570"/>
      <w:r>
        <w:rPr>
          <w:rFonts w:hint="eastAsia" w:ascii="仿宋" w:eastAsia="仿宋" w:cs="仿宋"/>
          <w:snapToGrid w:val="0"/>
          <w:sz w:val="30"/>
          <w:szCs w:val="30"/>
          <w:lang w:val="en-US"/>
        </w:rPr>
        <w:t>一、项目概况</w:t>
      </w:r>
      <w:bookmarkEnd w:id="27"/>
      <w:bookmarkEnd w:id="28"/>
    </w:p>
    <w:p>
      <w:pPr>
        <w:pStyle w:val="4"/>
        <w:tabs>
          <w:tab w:val="left" w:pos="0"/>
          <w:tab w:val="clear" w:pos="432"/>
        </w:tabs>
        <w:rPr>
          <w:rFonts w:ascii="仿宋" w:eastAsia="仿宋" w:cs="仿宋"/>
          <w:snapToGrid w:val="0"/>
          <w:sz w:val="24"/>
          <w:szCs w:val="24"/>
          <w:lang w:val="en-US"/>
        </w:rPr>
      </w:pPr>
      <w:bookmarkStart w:id="30" w:name="_Toc612268670"/>
      <w:bookmarkStart w:id="31" w:name="_Toc1513868709"/>
      <w:r>
        <w:rPr>
          <w:rFonts w:hint="eastAsia" w:ascii="仿宋" w:eastAsia="仿宋" w:cs="仿宋"/>
          <w:snapToGrid w:val="0"/>
          <w:sz w:val="24"/>
          <w:szCs w:val="24"/>
          <w:lang w:val="en-US"/>
        </w:rPr>
        <w:t>1、项目名称</w:t>
      </w:r>
      <w:bookmarkEnd w:id="30"/>
      <w:bookmarkEnd w:id="31"/>
    </w:p>
    <w:p>
      <w:pPr>
        <w:pStyle w:val="4"/>
        <w:tabs>
          <w:tab w:val="left" w:pos="0"/>
          <w:tab w:val="clear" w:pos="432"/>
        </w:tabs>
        <w:rPr>
          <w:rFonts w:ascii="仿宋" w:eastAsia="仿宋" w:cs="仿宋"/>
          <w:b w:val="0"/>
          <w:bCs w:val="0"/>
          <w:snapToGrid w:val="0"/>
          <w:sz w:val="24"/>
          <w:szCs w:val="24"/>
          <w:lang w:val="en-US"/>
        </w:rPr>
      </w:pPr>
      <w:bookmarkStart w:id="32" w:name="_Toc205142507"/>
      <w:bookmarkStart w:id="33" w:name="_Toc1805383913"/>
      <w:r>
        <w:rPr>
          <w:rFonts w:hint="eastAsia" w:ascii="仿宋" w:eastAsia="仿宋" w:cs="仿宋"/>
          <w:b w:val="0"/>
          <w:bCs w:val="0"/>
          <w:snapToGrid w:val="0"/>
          <w:sz w:val="24"/>
          <w:szCs w:val="24"/>
          <w:lang w:val="en-US"/>
        </w:rPr>
        <w:t xml:space="preserve">拱墅区智慧工地监管平台项目 </w:t>
      </w:r>
    </w:p>
    <w:p>
      <w:pPr>
        <w:pStyle w:val="4"/>
        <w:tabs>
          <w:tab w:val="left" w:pos="0"/>
          <w:tab w:val="clear" w:pos="432"/>
        </w:tabs>
        <w:rPr>
          <w:rFonts w:ascii="仿宋" w:eastAsia="仿宋" w:cs="仿宋"/>
          <w:snapToGrid w:val="0"/>
          <w:sz w:val="24"/>
          <w:szCs w:val="24"/>
          <w:lang w:val="en-US"/>
        </w:rPr>
      </w:pPr>
      <w:r>
        <w:rPr>
          <w:rFonts w:hint="eastAsia" w:ascii="仿宋" w:eastAsia="仿宋" w:cs="仿宋"/>
          <w:snapToGrid w:val="0"/>
          <w:sz w:val="24"/>
          <w:szCs w:val="24"/>
          <w:lang w:val="en-US"/>
        </w:rPr>
        <w:t>2、项目性质</w:t>
      </w:r>
      <w:bookmarkEnd w:id="32"/>
      <w:bookmarkEnd w:id="33"/>
    </w:p>
    <w:p>
      <w:pPr>
        <w:rPr>
          <w:rFonts w:ascii="仿宋" w:hAnsi="仿宋" w:eastAsia="仿宋" w:cs="仿宋"/>
          <w:snapToGrid w:val="0"/>
          <w:sz w:val="24"/>
        </w:rPr>
      </w:pPr>
      <w:r>
        <w:rPr>
          <w:rFonts w:hint="eastAsia" w:ascii="仿宋" w:hAnsi="仿宋" w:eastAsia="仿宋" w:cs="仿宋"/>
          <w:snapToGrid w:val="0"/>
          <w:sz w:val="24"/>
        </w:rPr>
        <w:t>新建</w:t>
      </w:r>
    </w:p>
    <w:p>
      <w:pPr>
        <w:pStyle w:val="25"/>
        <w:numPr>
          <w:ilvl w:val="255"/>
          <w:numId w:val="0"/>
        </w:numPr>
        <w:rPr>
          <w:rFonts w:ascii="仿宋" w:hAnsi="仿宋" w:eastAsia="仿宋" w:cs="仿宋"/>
          <w:b/>
          <w:bCs/>
          <w:szCs w:val="24"/>
          <w:lang w:val="en-US"/>
        </w:rPr>
      </w:pPr>
      <w:r>
        <w:rPr>
          <w:rFonts w:hint="eastAsia" w:ascii="仿宋" w:hAnsi="仿宋" w:eastAsia="仿宋" w:cs="仿宋"/>
          <w:b/>
          <w:bCs/>
          <w:szCs w:val="24"/>
          <w:lang w:val="en-US"/>
        </w:rPr>
        <w:t>3、系统交付、质保期</w:t>
      </w:r>
    </w:p>
    <w:p>
      <w:pPr>
        <w:pStyle w:val="4"/>
        <w:tabs>
          <w:tab w:val="left" w:pos="0"/>
          <w:tab w:val="clear" w:pos="432"/>
        </w:tabs>
        <w:rPr>
          <w:rFonts w:ascii="仿宋" w:eastAsia="仿宋" w:cs="仿宋"/>
          <w:b w:val="0"/>
          <w:bCs w:val="0"/>
          <w:snapToGrid w:val="0"/>
          <w:sz w:val="24"/>
          <w:szCs w:val="24"/>
          <w:highlight w:val="yellow"/>
          <w:lang w:val="en-US"/>
        </w:rPr>
      </w:pPr>
      <w:bookmarkStart w:id="34" w:name="_Toc209662821"/>
      <w:bookmarkStart w:id="35" w:name="_Toc575729278"/>
      <w:bookmarkStart w:id="36" w:name="_Hlk85104359"/>
      <w:r>
        <w:rPr>
          <w:rFonts w:hint="eastAsia" w:ascii="仿宋" w:eastAsia="仿宋" w:cs="仿宋"/>
          <w:snapToGrid w:val="0"/>
          <w:sz w:val="24"/>
          <w:szCs w:val="24"/>
          <w:highlight w:val="yellow"/>
          <w:lang w:val="en-US"/>
        </w:rPr>
        <w:t>系统交付</w:t>
      </w:r>
      <w:r>
        <w:rPr>
          <w:rFonts w:hint="eastAsia" w:ascii="仿宋" w:eastAsia="仿宋" w:cs="仿宋"/>
          <w:b w:val="0"/>
          <w:bCs w:val="0"/>
          <w:snapToGrid w:val="0"/>
          <w:sz w:val="24"/>
          <w:szCs w:val="24"/>
          <w:highlight w:val="yellow"/>
          <w:lang w:val="en-US"/>
        </w:rPr>
        <w:t>：合同签订后30天内完成系统开发及应用部署。</w:t>
      </w:r>
    </w:p>
    <w:p>
      <w:pPr>
        <w:rPr>
          <w:rFonts w:ascii="仿宋" w:hAnsi="仿宋" w:eastAsia="仿宋" w:cs="仿宋"/>
          <w:snapToGrid w:val="0"/>
          <w:sz w:val="24"/>
          <w:highlight w:val="yellow"/>
        </w:rPr>
      </w:pPr>
      <w:r>
        <w:rPr>
          <w:rFonts w:hint="eastAsia" w:ascii="仿宋" w:hAnsi="仿宋" w:eastAsia="仿宋" w:cs="仿宋"/>
          <w:b/>
          <w:bCs/>
          <w:snapToGrid w:val="0"/>
          <w:sz w:val="24"/>
          <w:highlight w:val="yellow"/>
        </w:rPr>
        <w:t>质保期：</w:t>
      </w:r>
      <w:r>
        <w:rPr>
          <w:rFonts w:hint="eastAsia" w:ascii="仿宋" w:hAnsi="仿宋" w:eastAsia="仿宋" w:cs="仿宋"/>
          <w:snapToGrid w:val="0"/>
          <w:sz w:val="24"/>
          <w:highlight w:val="yellow"/>
        </w:rPr>
        <w:t>1年。</w:t>
      </w:r>
    </w:p>
    <w:p>
      <w:pPr>
        <w:pStyle w:val="4"/>
        <w:tabs>
          <w:tab w:val="left" w:pos="0"/>
          <w:tab w:val="clear" w:pos="432"/>
        </w:tabs>
        <w:rPr>
          <w:rFonts w:ascii="仿宋" w:eastAsia="仿宋" w:cs="仿宋"/>
          <w:snapToGrid w:val="0"/>
          <w:sz w:val="30"/>
          <w:szCs w:val="30"/>
          <w:lang w:val="en-US"/>
        </w:rPr>
      </w:pPr>
      <w:r>
        <w:rPr>
          <w:rFonts w:hint="eastAsia" w:ascii="仿宋" w:eastAsia="仿宋" w:cs="仿宋"/>
          <w:snapToGrid w:val="0"/>
          <w:sz w:val="30"/>
          <w:szCs w:val="30"/>
          <w:lang w:val="en-US"/>
        </w:rPr>
        <w:t>二、项目主要建设内容和建设目标</w:t>
      </w:r>
      <w:bookmarkEnd w:id="34"/>
      <w:bookmarkEnd w:id="35"/>
      <w:bookmarkEnd w:id="36"/>
    </w:p>
    <w:p>
      <w:pPr>
        <w:pStyle w:val="4"/>
        <w:tabs>
          <w:tab w:val="left" w:pos="0"/>
          <w:tab w:val="clear" w:pos="432"/>
        </w:tabs>
        <w:rPr>
          <w:rFonts w:ascii="仿宋" w:eastAsia="仿宋" w:cs="仿宋"/>
          <w:b w:val="0"/>
          <w:bCs w:val="0"/>
          <w:snapToGrid w:val="0"/>
          <w:sz w:val="24"/>
          <w:szCs w:val="24"/>
          <w:lang w:val="en-US"/>
        </w:rPr>
      </w:pPr>
      <w:bookmarkStart w:id="37" w:name="_Toc1929851467"/>
      <w:bookmarkStart w:id="38" w:name="_Toc1868145611"/>
      <w:r>
        <w:rPr>
          <w:rFonts w:hint="eastAsia" w:ascii="仿宋" w:eastAsia="仿宋" w:cs="仿宋"/>
          <w:snapToGrid w:val="0"/>
          <w:sz w:val="24"/>
          <w:szCs w:val="24"/>
          <w:lang w:val="en-US"/>
        </w:rPr>
        <w:t>1、</w:t>
      </w:r>
      <w:r>
        <w:rPr>
          <w:rFonts w:hint="eastAsia" w:ascii="仿宋" w:eastAsia="仿宋" w:cs="仿宋"/>
          <w:snapToGrid w:val="0"/>
          <w:sz w:val="24"/>
          <w:szCs w:val="24"/>
          <w:lang w:val="en-US" w:eastAsia="zh-Hans"/>
        </w:rPr>
        <w:t>项目建设内容</w:t>
      </w:r>
      <w:bookmarkEnd w:id="37"/>
      <w:bookmarkEnd w:id="38"/>
    </w:p>
    <w:p>
      <w:pPr>
        <w:pStyle w:val="58"/>
        <w:spacing w:before="120" w:beforeLines="50" w:after="120" w:afterLines="50" w:line="520" w:lineRule="exact"/>
        <w:ind w:firstLine="480" w:firstLineChars="200"/>
        <w:rPr>
          <w:rFonts w:ascii="仿宋" w:hAnsi="仿宋" w:eastAsia="仿宋" w:cs="仿宋"/>
          <w:snapToGrid w:val="0"/>
          <w:kern w:val="2"/>
        </w:rPr>
      </w:pPr>
      <w:r>
        <w:rPr>
          <w:rFonts w:hint="eastAsia" w:ascii="仿宋" w:hAnsi="仿宋" w:eastAsia="仿宋" w:cs="仿宋"/>
          <w:snapToGrid w:val="0"/>
          <w:kern w:val="2"/>
        </w:rPr>
        <w:t>2021年以来，杭州市区划调整成立新拱墅区，全区建设规模进一步扩大，总建筑面积超过2100万平方米，工程建设体量在五个主城区居于首位，质量安全监管压力剧增。为切实提升项目精细化、标准化、规范化管理水平，解决基层一线“人少活多、力不从心”的难题，区住建局拟建设拱墅区智慧工地监管平台，聚焦当前阶段安全监管痛点，以智慧监管需求为导向，综合运用信息化管理、移动互联、物联网、AI智能分析等先进技术，打造数字化场景下“区住建局+街道+城投+企业”多端“共建共管”的智慧监管新生态，以智慧化赋能工地监管、创新监管模式、提升管理效能，为全区建设行业高质量发展赋能增效。</w:t>
      </w:r>
    </w:p>
    <w:p>
      <w:pPr>
        <w:numPr>
          <w:ilvl w:val="0"/>
          <w:numId w:val="4"/>
        </w:numPr>
        <w:rPr>
          <w:rFonts w:ascii="仿宋" w:hAnsi="仿宋" w:eastAsia="仿宋" w:cs="仿宋"/>
          <w:b/>
          <w:bCs/>
          <w:snapToGrid w:val="0"/>
          <w:sz w:val="24"/>
          <w:lang w:eastAsia="zh-Hans"/>
        </w:rPr>
      </w:pPr>
      <w:bookmarkStart w:id="39" w:name="_Toc1712364937"/>
      <w:bookmarkStart w:id="40" w:name="_Toc1568085228"/>
      <w:r>
        <w:rPr>
          <w:rFonts w:hint="eastAsia" w:ascii="仿宋" w:hAnsi="仿宋" w:eastAsia="仿宋" w:cs="仿宋"/>
          <w:b/>
          <w:bCs/>
          <w:snapToGrid w:val="0"/>
          <w:sz w:val="24"/>
          <w:lang w:eastAsia="zh-Hans"/>
        </w:rPr>
        <w:t>项目建设目标</w:t>
      </w:r>
      <w:bookmarkEnd w:id="39"/>
      <w:bookmarkEnd w:id="40"/>
    </w:p>
    <w:p>
      <w:pPr>
        <w:pStyle w:val="58"/>
        <w:spacing w:before="120" w:beforeLines="50" w:beforeAutospacing="0" w:after="120" w:afterLines="50" w:afterAutospacing="0" w:line="520" w:lineRule="exact"/>
        <w:ind w:firstLine="480" w:firstLineChars="200"/>
        <w:jc w:val="both"/>
        <w:rPr>
          <w:rFonts w:ascii="仿宋" w:hAnsi="仿宋" w:eastAsia="仿宋" w:cs="仿宋"/>
          <w:snapToGrid w:val="0"/>
        </w:rPr>
      </w:pPr>
      <w:r>
        <w:rPr>
          <w:rFonts w:hint="eastAsia" w:ascii="仿宋" w:hAnsi="仿宋" w:eastAsia="仿宋" w:cs="仿宋"/>
          <w:snapToGrid w:val="0"/>
        </w:rPr>
        <w:t>重点打造“数据中心、现场管理、危大工程管理、AI智能预警、应急管理、人员管理、驾驶舱、移动应用”等应用（根据浙里建应用建设情况适当调整，避免重复建设），构建工程项目全过程、全方位智慧监管体系，建立施工现场标准化管理体系，切实压实企业主体责任，提升建设工程质量安全监管效能，主要目标如下：</w:t>
      </w:r>
    </w:p>
    <w:p>
      <w:pPr>
        <w:pStyle w:val="58"/>
        <w:spacing w:before="120" w:beforeLines="50" w:beforeAutospacing="0" w:after="120" w:afterLines="50" w:afterAutospacing="0" w:line="520" w:lineRule="exact"/>
        <w:ind w:firstLine="482" w:firstLineChars="200"/>
        <w:jc w:val="both"/>
        <w:rPr>
          <w:rFonts w:ascii="仿宋" w:hAnsi="仿宋" w:eastAsia="仿宋" w:cs="仿宋"/>
          <w:b/>
          <w:bCs/>
          <w:snapToGrid w:val="0"/>
        </w:rPr>
      </w:pPr>
      <w:r>
        <w:rPr>
          <w:rFonts w:hint="eastAsia" w:ascii="仿宋" w:hAnsi="仿宋" w:eastAsia="仿宋" w:cs="仿宋"/>
          <w:b/>
          <w:bCs/>
          <w:snapToGrid w:val="0"/>
        </w:rPr>
        <w:t>（一）提高监管效率效能</w:t>
      </w:r>
    </w:p>
    <w:p>
      <w:pPr>
        <w:pStyle w:val="58"/>
        <w:spacing w:before="120" w:beforeLines="50" w:after="120" w:afterLines="50" w:line="520" w:lineRule="exact"/>
        <w:ind w:firstLine="480" w:firstLineChars="200"/>
        <w:rPr>
          <w:rFonts w:ascii="仿宋" w:hAnsi="仿宋" w:eastAsia="仿宋" w:cs="仿宋"/>
          <w:snapToGrid w:val="0"/>
        </w:rPr>
      </w:pPr>
      <w:r>
        <w:rPr>
          <w:rFonts w:hint="eastAsia" w:ascii="仿宋" w:hAnsi="仿宋" w:eastAsia="仿宋" w:cs="仿宋"/>
          <w:snapToGrid w:val="0"/>
        </w:rPr>
        <w:t>通过实时汇集建设工程的人员、机械、现场等所有核心要素数据，并通过大数据分析和数联系统，方便行业监管部门、属地街道和指挥部实时掌控工地的真实情况，同时，通过施工现场的一球三枪视频监控设备、AI智能分析系统、基坑监测系统等实时感知监测施工现场人的不安全行为和物的不安全状态，实现预警处置闭环，提升监管效能。其次，通过搭建三色治理驾驶舱，利用数据赋能，实现对拱墅区内所有建设工程的分级评价，并用三个不同颜色区分工程的风险等级，辅助分级分层风险管控决策。针对风险性高的工程项目，根据实际情况，下发预警通知单，加密监督检查频次，同时与第三方巡查进行联动，对风险性低的工程项目，合理分配资源适当减少人力巡查，实现分级化精准治理。</w:t>
      </w:r>
    </w:p>
    <w:p>
      <w:pPr>
        <w:pStyle w:val="58"/>
        <w:spacing w:before="120" w:beforeLines="50" w:beforeAutospacing="0" w:after="120" w:afterLines="50" w:afterAutospacing="0" w:line="520" w:lineRule="exact"/>
        <w:ind w:firstLine="482" w:firstLineChars="200"/>
        <w:jc w:val="both"/>
        <w:rPr>
          <w:rFonts w:ascii="仿宋" w:hAnsi="仿宋" w:eastAsia="仿宋" w:cs="仿宋"/>
          <w:b/>
          <w:bCs/>
          <w:snapToGrid w:val="0"/>
        </w:rPr>
      </w:pPr>
      <w:r>
        <w:rPr>
          <w:rFonts w:hint="eastAsia" w:ascii="仿宋" w:hAnsi="仿宋" w:eastAsia="仿宋" w:cs="仿宋"/>
          <w:b/>
          <w:bCs/>
          <w:snapToGrid w:val="0"/>
        </w:rPr>
        <w:t>（二）减轻一线人员负担</w:t>
      </w:r>
    </w:p>
    <w:p>
      <w:pPr>
        <w:pStyle w:val="58"/>
        <w:spacing w:before="120" w:beforeLines="50" w:after="120" w:afterLines="50" w:line="520" w:lineRule="exact"/>
        <w:ind w:firstLine="480" w:firstLineChars="200"/>
        <w:rPr>
          <w:rFonts w:ascii="仿宋" w:hAnsi="仿宋" w:eastAsia="仿宋" w:cs="仿宋"/>
          <w:snapToGrid w:val="0"/>
        </w:rPr>
      </w:pPr>
      <w:r>
        <w:rPr>
          <w:rFonts w:hint="eastAsia" w:ascii="仿宋" w:hAnsi="仿宋" w:eastAsia="仿宋" w:cs="仿宋"/>
          <w:snapToGrid w:val="0"/>
        </w:rPr>
        <w:t>行业管理部门、安全生产第三方服务单位以及属地街道可通过手机端小程序或网页端，实时上传工地现场问题照片，并生成整改意见，反馈给项目参建各责任主体，实现工程质量安全监管移动办公、移动监督、实时通信、整改推送，减轻一线工作人员负担。同时，平台同步为属地街道、指挥部、城投等单位提供综合驾驶舱，方便各相关单位管理工作人员对现场工程建设情况、企业履职情况、关键部位、要素等进行直观查看，辅助安全生产与文明施工管理决策。</w:t>
      </w:r>
    </w:p>
    <w:p>
      <w:pPr>
        <w:pStyle w:val="58"/>
        <w:spacing w:before="120" w:beforeLines="50" w:beforeAutospacing="0" w:after="120" w:afterLines="50" w:afterAutospacing="0" w:line="520" w:lineRule="exact"/>
        <w:ind w:firstLine="482" w:firstLineChars="200"/>
        <w:jc w:val="both"/>
        <w:rPr>
          <w:rFonts w:ascii="仿宋" w:hAnsi="仿宋" w:eastAsia="仿宋" w:cs="仿宋"/>
          <w:b/>
          <w:bCs/>
          <w:snapToGrid w:val="0"/>
        </w:rPr>
      </w:pPr>
      <w:r>
        <w:rPr>
          <w:rFonts w:hint="eastAsia" w:ascii="仿宋" w:hAnsi="仿宋" w:eastAsia="仿宋" w:cs="仿宋"/>
          <w:b/>
          <w:bCs/>
          <w:snapToGrid w:val="0"/>
        </w:rPr>
        <w:t>（三）规范现场安全管理</w:t>
      </w:r>
    </w:p>
    <w:p>
      <w:pPr>
        <w:pStyle w:val="58"/>
        <w:spacing w:before="120" w:beforeLines="50" w:after="120" w:afterLines="50" w:line="520" w:lineRule="exact"/>
        <w:ind w:firstLine="480" w:firstLineChars="200"/>
        <w:rPr>
          <w:rFonts w:ascii="仿宋" w:hAnsi="仿宋" w:eastAsia="仿宋" w:cs="仿宋"/>
          <w:snapToGrid w:val="0"/>
        </w:rPr>
      </w:pPr>
      <w:r>
        <w:rPr>
          <w:rFonts w:hint="eastAsia" w:ascii="仿宋" w:hAnsi="仿宋" w:eastAsia="仿宋" w:cs="仿宋"/>
          <w:snapToGrid w:val="0"/>
        </w:rPr>
        <w:t>搭建危险性较大的分部分项（简称：危大）工程管管理模块，以数字化模式实现危大工程全流程监管，通过与省厅浙里建系统获取项目关联的企业库、项目库、人员库、设备库以及实时监测数据，结合住建部37号令与省建设厅施工现场常见风险分级和防范应对措施要求，对危大工程专项方案编制审批论证程序、人员安排、技术交底、施工监测、安全巡视、工程验收及整改等环节，根据进度实施信息化管理，实现危大工程全生命周期管控，规范施工现场安全管理。</w:t>
      </w:r>
    </w:p>
    <w:p>
      <w:pPr>
        <w:pStyle w:val="58"/>
        <w:spacing w:before="120" w:beforeLines="50" w:beforeAutospacing="0" w:after="120" w:afterLines="50" w:afterAutospacing="0" w:line="520" w:lineRule="exact"/>
        <w:ind w:firstLine="482" w:firstLineChars="200"/>
        <w:jc w:val="both"/>
        <w:rPr>
          <w:rFonts w:ascii="仿宋" w:hAnsi="仿宋" w:eastAsia="仿宋" w:cs="仿宋"/>
          <w:b/>
          <w:bCs/>
          <w:snapToGrid w:val="0"/>
        </w:rPr>
      </w:pPr>
      <w:r>
        <w:rPr>
          <w:rFonts w:hint="eastAsia" w:ascii="仿宋" w:hAnsi="仿宋" w:eastAsia="仿宋" w:cs="仿宋"/>
          <w:b/>
          <w:bCs/>
          <w:snapToGrid w:val="0"/>
        </w:rPr>
        <w:t>（四）强化应急处置能力</w:t>
      </w:r>
    </w:p>
    <w:p>
      <w:pPr>
        <w:pStyle w:val="58"/>
        <w:spacing w:before="120" w:beforeLines="50" w:after="120" w:afterLines="50" w:line="520" w:lineRule="exact"/>
        <w:ind w:firstLine="480" w:firstLineChars="200"/>
        <w:rPr>
          <w:rFonts w:ascii="仿宋" w:hAnsi="仿宋" w:eastAsia="仿宋" w:cs="仿宋"/>
          <w:snapToGrid w:val="0"/>
        </w:rPr>
      </w:pPr>
      <w:r>
        <w:rPr>
          <w:rFonts w:hint="eastAsia" w:ascii="仿宋" w:hAnsi="仿宋" w:eastAsia="仿宋" w:cs="仿宋"/>
          <w:snapToGrid w:val="0"/>
        </w:rPr>
        <w:t>通过设立应急管理模块，实现对应急队伍、应急避难点和应急指令的数字化管理，提升极端情况下的应急处置能力。其中应急队伍由企业申报，实时更新队伍人员、物资、车辆等关键信息，方便行业管理部门、街道社区进行决策调用，为应急提供可靠支持。其次，应急避难场所容纳能力、现场条件实现项目线上申报、属地街道审批，实时展示避险场所位置与项目位置，在下发应急指令后，第一时间进行处置联动，确保人员第一时间撤离至避险场所“打卡”，实现对撤离人员数据的实时掌控。</w:t>
      </w:r>
    </w:p>
    <w:p>
      <w:pPr>
        <w:pStyle w:val="58"/>
        <w:spacing w:before="120" w:beforeLines="50" w:beforeAutospacing="0" w:after="120" w:afterLines="50" w:afterAutospacing="0" w:line="520" w:lineRule="exact"/>
        <w:ind w:firstLine="482" w:firstLineChars="200"/>
        <w:jc w:val="both"/>
        <w:rPr>
          <w:rFonts w:ascii="仿宋" w:hAnsi="仿宋" w:eastAsia="仿宋" w:cs="仿宋"/>
          <w:b/>
          <w:bCs/>
          <w:snapToGrid w:val="0"/>
        </w:rPr>
      </w:pPr>
      <w:r>
        <w:rPr>
          <w:rFonts w:hint="eastAsia" w:ascii="仿宋" w:hAnsi="仿宋" w:eastAsia="仿宋" w:cs="仿宋"/>
          <w:b/>
          <w:bCs/>
          <w:snapToGrid w:val="0"/>
        </w:rPr>
        <w:t>（五）提升企业办事效率</w:t>
      </w:r>
    </w:p>
    <w:p>
      <w:pPr>
        <w:pStyle w:val="58"/>
        <w:spacing w:before="120" w:beforeLines="50" w:after="120" w:afterLines="50" w:line="520" w:lineRule="exact"/>
        <w:ind w:firstLine="480" w:firstLineChars="200"/>
        <w:rPr>
          <w:rFonts w:ascii="仿宋_GB2312" w:eastAsia="仿宋_GB2312" w:cs="仿宋_GB2312"/>
          <w:sz w:val="28"/>
          <w:szCs w:val="28"/>
        </w:rPr>
      </w:pPr>
      <w:r>
        <w:rPr>
          <w:rFonts w:hint="eastAsia" w:ascii="仿宋" w:hAnsi="仿宋" w:eastAsia="仿宋" w:cs="仿宋"/>
          <w:snapToGrid w:val="0"/>
        </w:rPr>
        <w:t>平台为企业便捷办事入口，例如夜间施工申请、结构验收申请等，方便企业随时按需发起申请，监管部门在线联合审批，实现“一次申请、联合办理、高效办结”，极大的节省企业的交通和事件成本，有效的提高企业、群众的满意度和获得感，助推建设领域营商环境创优。</w:t>
      </w:r>
    </w:p>
    <w:p>
      <w:pPr>
        <w:snapToGrid w:val="0"/>
        <w:spacing w:after="120" w:afterLines="50"/>
        <w:ind w:firstLine="482" w:firstLineChars="200"/>
        <w:rPr>
          <w:rFonts w:ascii="仿宋" w:hAnsi="仿宋" w:eastAsia="仿宋" w:cs="仿宋"/>
          <w:b/>
          <w:bCs/>
          <w:snapToGrid w:val="0"/>
          <w:kern w:val="0"/>
          <w:sz w:val="24"/>
        </w:rPr>
      </w:pPr>
      <w:r>
        <w:rPr>
          <w:rFonts w:hint="eastAsia" w:ascii="仿宋" w:hAnsi="仿宋" w:eastAsia="仿宋" w:cs="仿宋"/>
          <w:b/>
          <w:bCs/>
          <w:snapToGrid w:val="0"/>
          <w:kern w:val="0"/>
          <w:sz w:val="24"/>
        </w:rPr>
        <w:t>3、建设思路</w:t>
      </w:r>
    </w:p>
    <w:p>
      <w:pPr>
        <w:pStyle w:val="58"/>
        <w:spacing w:before="120" w:beforeLines="50" w:beforeAutospacing="0" w:after="120" w:afterLines="50" w:afterAutospacing="0" w:line="520" w:lineRule="exact"/>
        <w:ind w:firstLine="480" w:firstLineChars="200"/>
        <w:jc w:val="both"/>
        <w:rPr>
          <w:rFonts w:ascii="仿宋" w:hAnsi="仿宋" w:eastAsia="仿宋" w:cs="仿宋"/>
          <w:snapToGrid w:val="0"/>
        </w:rPr>
      </w:pPr>
      <w:r>
        <w:rPr>
          <w:rFonts w:hint="eastAsia" w:ascii="仿宋" w:hAnsi="仿宋" w:eastAsia="仿宋" w:cs="仿宋"/>
          <w:snapToGrid w:val="0"/>
        </w:rPr>
        <w:t>创新“智慧+互联+科学”的现代管理理念，营造数字化场景下“区住建局+街道+城投+企业”多端“共建共管”的智慧监管新生态，进一步压实主体责任，全面提高施工现场精细化管理水平，为拱墅区建设行业高质量发展赋能增效。</w:t>
      </w:r>
    </w:p>
    <w:p>
      <w:pPr>
        <w:pStyle w:val="58"/>
        <w:spacing w:before="120" w:beforeLines="50" w:beforeAutospacing="0" w:after="120" w:afterLines="50" w:afterAutospacing="0" w:line="520" w:lineRule="exact"/>
        <w:ind w:firstLine="482" w:firstLineChars="200"/>
        <w:jc w:val="both"/>
        <w:rPr>
          <w:rFonts w:ascii="仿宋" w:hAnsi="仿宋" w:eastAsia="仿宋" w:cs="仿宋"/>
          <w:b/>
          <w:bCs/>
          <w:snapToGrid w:val="0"/>
        </w:rPr>
      </w:pPr>
      <w:r>
        <w:rPr>
          <w:rFonts w:hint="eastAsia" w:ascii="仿宋" w:hAnsi="仿宋" w:eastAsia="仿宋" w:cs="仿宋"/>
          <w:b/>
          <w:bCs/>
          <w:snapToGrid w:val="0"/>
        </w:rPr>
        <w:t>（一）</w:t>
      </w:r>
      <w:bookmarkStart w:id="41" w:name="_Toc105519221"/>
      <w:r>
        <w:rPr>
          <w:rFonts w:hint="eastAsia" w:ascii="仿宋" w:hAnsi="仿宋" w:eastAsia="仿宋" w:cs="仿宋"/>
          <w:b/>
          <w:bCs/>
          <w:snapToGrid w:val="0"/>
        </w:rPr>
        <w:t>资源整合</w:t>
      </w:r>
      <w:bookmarkEnd w:id="41"/>
    </w:p>
    <w:p>
      <w:pPr>
        <w:pStyle w:val="58"/>
        <w:spacing w:before="120" w:beforeLines="50" w:beforeAutospacing="0" w:after="120" w:afterLines="50" w:afterAutospacing="0" w:line="520" w:lineRule="exact"/>
        <w:ind w:firstLine="480" w:firstLineChars="200"/>
        <w:jc w:val="both"/>
        <w:rPr>
          <w:rFonts w:ascii="仿宋" w:hAnsi="仿宋" w:eastAsia="仿宋" w:cs="仿宋"/>
          <w:snapToGrid w:val="0"/>
        </w:rPr>
      </w:pPr>
      <w:r>
        <w:rPr>
          <w:rFonts w:hint="eastAsia" w:ascii="仿宋" w:hAnsi="仿宋" w:eastAsia="仿宋" w:cs="仿宋"/>
          <w:snapToGrid w:val="0"/>
        </w:rPr>
        <w:t>本次项目建设将充分利用已有的资源，通过整合省级、市级和区内已有的资源，为本次拱墅区智慧工地监管平台提供基础支持。</w:t>
      </w:r>
    </w:p>
    <w:p>
      <w:pPr>
        <w:pStyle w:val="58"/>
        <w:spacing w:before="120" w:beforeLines="50" w:beforeAutospacing="0" w:after="120" w:afterLines="50" w:afterAutospacing="0" w:line="520" w:lineRule="exact"/>
        <w:ind w:firstLine="480" w:firstLineChars="200"/>
        <w:jc w:val="both"/>
        <w:rPr>
          <w:rFonts w:ascii="仿宋" w:hAnsi="仿宋" w:eastAsia="仿宋" w:cs="仿宋"/>
          <w:snapToGrid w:val="0"/>
        </w:rPr>
      </w:pPr>
      <w:r>
        <w:rPr>
          <w:rFonts w:hint="eastAsia" w:ascii="仿宋" w:hAnsi="仿宋" w:eastAsia="仿宋" w:cs="仿宋"/>
          <w:snapToGrid w:val="0"/>
        </w:rPr>
        <w:t>1、省级资源：通过IRS获取“浙里工程建设现场管控”基础资源数据，并与该平台深度融合，获取拱墅区工程项目、人员、企业的相关数据信息。</w:t>
      </w:r>
    </w:p>
    <w:p>
      <w:pPr>
        <w:pStyle w:val="58"/>
        <w:spacing w:before="120" w:beforeLines="50" w:beforeAutospacing="0" w:after="120" w:afterLines="50" w:afterAutospacing="0" w:line="520" w:lineRule="exact"/>
        <w:ind w:firstLine="480" w:firstLineChars="200"/>
        <w:jc w:val="both"/>
        <w:rPr>
          <w:rFonts w:ascii="仿宋" w:hAnsi="仿宋" w:eastAsia="仿宋" w:cs="仿宋"/>
          <w:snapToGrid w:val="0"/>
        </w:rPr>
      </w:pPr>
      <w:r>
        <w:rPr>
          <w:rFonts w:hint="eastAsia" w:ascii="仿宋" w:hAnsi="仿宋" w:eastAsia="仿宋" w:cs="仿宋"/>
          <w:snapToGrid w:val="0"/>
        </w:rPr>
        <w:t>2、市级资源：通过IRS获取杭州市智慧工地实名制管理平台基础资源数据，并与该平台深度融合，获取拱墅区工程项目人员实名制等相关必要信息，包括人员的基本信息、考勤数据、防欠薪数据等。</w:t>
      </w:r>
    </w:p>
    <w:p>
      <w:pPr>
        <w:pStyle w:val="58"/>
        <w:spacing w:before="120" w:beforeLines="50" w:beforeAutospacing="0" w:after="120" w:afterLines="50" w:afterAutospacing="0" w:line="520" w:lineRule="exact"/>
        <w:ind w:firstLine="480" w:firstLineChars="200"/>
        <w:jc w:val="both"/>
        <w:rPr>
          <w:rFonts w:ascii="仿宋" w:hAnsi="仿宋" w:eastAsia="仿宋" w:cs="仿宋"/>
          <w:snapToGrid w:val="0"/>
        </w:rPr>
      </w:pPr>
      <w:r>
        <w:rPr>
          <w:rFonts w:hint="eastAsia" w:ascii="仿宋" w:hAnsi="仿宋" w:eastAsia="仿宋" w:cs="仿宋"/>
          <w:snapToGrid w:val="0"/>
        </w:rPr>
        <w:t>3、其他需要整合的资源。</w:t>
      </w:r>
    </w:p>
    <w:p>
      <w:pPr>
        <w:pStyle w:val="58"/>
        <w:spacing w:before="120" w:beforeLines="50" w:beforeAutospacing="0" w:after="120" w:afterLines="50" w:afterAutospacing="0" w:line="520" w:lineRule="exact"/>
        <w:ind w:firstLine="482" w:firstLineChars="200"/>
        <w:jc w:val="both"/>
        <w:rPr>
          <w:rFonts w:ascii="仿宋" w:hAnsi="仿宋" w:eastAsia="仿宋" w:cs="仿宋"/>
          <w:b/>
          <w:bCs/>
          <w:snapToGrid w:val="0"/>
        </w:rPr>
      </w:pPr>
      <w:r>
        <w:rPr>
          <w:rFonts w:hint="eastAsia" w:ascii="仿宋" w:hAnsi="仿宋" w:eastAsia="仿宋" w:cs="仿宋"/>
          <w:b/>
          <w:bCs/>
          <w:snapToGrid w:val="0"/>
        </w:rPr>
        <w:t>（二）数据共享</w:t>
      </w:r>
    </w:p>
    <w:p>
      <w:pPr>
        <w:pStyle w:val="58"/>
        <w:spacing w:before="120" w:beforeLines="50" w:beforeAutospacing="0" w:after="120" w:afterLines="50" w:afterAutospacing="0" w:line="520" w:lineRule="exact"/>
        <w:ind w:firstLine="480" w:firstLineChars="200"/>
        <w:jc w:val="both"/>
        <w:rPr>
          <w:rFonts w:ascii="仿宋" w:hAnsi="仿宋" w:eastAsia="仿宋" w:cs="仿宋"/>
          <w:snapToGrid w:val="0"/>
        </w:rPr>
      </w:pPr>
      <w:r>
        <w:rPr>
          <w:rFonts w:hint="eastAsia" w:ascii="仿宋" w:hAnsi="仿宋" w:eastAsia="仿宋" w:cs="仿宋"/>
          <w:snapToGrid w:val="0"/>
        </w:rPr>
        <w:t>共享省、市以及区内现有系统数据，为拱墅区智慧工地监管提供可靠的数据支持和应用保障，存在条件时，将本平台产生的相关数据信息实施共享至省市平台。</w:t>
      </w:r>
    </w:p>
    <w:p>
      <w:pPr>
        <w:pStyle w:val="58"/>
        <w:spacing w:before="120" w:beforeLines="50" w:beforeAutospacing="0" w:after="120" w:afterLines="50" w:afterAutospacing="0" w:line="520" w:lineRule="exact"/>
        <w:ind w:firstLine="482" w:firstLineChars="200"/>
        <w:jc w:val="both"/>
        <w:rPr>
          <w:rFonts w:ascii="仿宋" w:hAnsi="仿宋" w:eastAsia="仿宋" w:cs="仿宋"/>
          <w:b/>
          <w:bCs/>
          <w:snapToGrid w:val="0"/>
        </w:rPr>
      </w:pPr>
      <w:r>
        <w:rPr>
          <w:rFonts w:hint="eastAsia" w:ascii="仿宋" w:hAnsi="仿宋" w:eastAsia="仿宋" w:cs="仿宋"/>
          <w:b/>
          <w:bCs/>
          <w:snapToGrid w:val="0"/>
        </w:rPr>
        <w:t>（三）业务协同</w:t>
      </w:r>
    </w:p>
    <w:p>
      <w:pPr>
        <w:pStyle w:val="58"/>
        <w:spacing w:before="120" w:beforeLines="50" w:beforeAutospacing="0" w:after="120" w:afterLines="50" w:afterAutospacing="0" w:line="520" w:lineRule="exact"/>
        <w:ind w:firstLine="480" w:firstLineChars="200"/>
        <w:jc w:val="both"/>
        <w:rPr>
          <w:rFonts w:ascii="仿宋" w:hAnsi="仿宋" w:eastAsia="仿宋" w:cs="仿宋"/>
          <w:snapToGrid w:val="0"/>
        </w:rPr>
      </w:pPr>
      <w:r>
        <w:rPr>
          <w:rFonts w:hint="eastAsia" w:ascii="仿宋" w:hAnsi="仿宋" w:eastAsia="仿宋" w:cs="仿宋"/>
          <w:snapToGrid w:val="0"/>
        </w:rPr>
        <w:t>针对工地夜间施工，提供夜间施工申请办理入口，支持企业在线办理发起夜间施工申请，经由住建部门进行在线审核、审批后，生成电子许可单（附带二维码）。支持企业查看、下载、打印后到环保部门办理夜间施工证明，实现住建与环保业务协同。</w:t>
      </w:r>
    </w:p>
    <w:p>
      <w:pPr>
        <w:pStyle w:val="58"/>
        <w:spacing w:before="120" w:beforeLines="50" w:beforeAutospacing="0" w:after="120" w:afterLines="50" w:afterAutospacing="0" w:line="520" w:lineRule="exact"/>
        <w:ind w:firstLine="482" w:firstLineChars="200"/>
        <w:jc w:val="both"/>
        <w:rPr>
          <w:rFonts w:ascii="仿宋" w:hAnsi="仿宋" w:eastAsia="仿宋" w:cs="仿宋"/>
          <w:b/>
          <w:bCs/>
          <w:snapToGrid w:val="0"/>
        </w:rPr>
      </w:pPr>
      <w:r>
        <w:rPr>
          <w:rFonts w:hint="eastAsia" w:ascii="仿宋" w:hAnsi="仿宋" w:eastAsia="仿宋" w:cs="仿宋"/>
          <w:b/>
          <w:bCs/>
          <w:snapToGrid w:val="0"/>
        </w:rPr>
        <w:t>4、采购清单</w:t>
      </w:r>
    </w:p>
    <w:tbl>
      <w:tblPr>
        <w:tblStyle w:val="63"/>
        <w:tblW w:w="7938" w:type="dxa"/>
        <w:tblInd w:w="840" w:type="dxa"/>
        <w:tblLayout w:type="autofit"/>
        <w:tblCellMar>
          <w:top w:w="0" w:type="dxa"/>
          <w:left w:w="108" w:type="dxa"/>
          <w:bottom w:w="0" w:type="dxa"/>
          <w:right w:w="108" w:type="dxa"/>
        </w:tblCellMar>
      </w:tblPr>
      <w:tblGrid>
        <w:gridCol w:w="1032"/>
        <w:gridCol w:w="1762"/>
        <w:gridCol w:w="3832"/>
        <w:gridCol w:w="1312"/>
      </w:tblGrid>
      <w:tr>
        <w:tblPrEx>
          <w:tblCellMar>
            <w:top w:w="0" w:type="dxa"/>
            <w:left w:w="108" w:type="dxa"/>
            <w:bottom w:w="0" w:type="dxa"/>
            <w:right w:w="108" w:type="dxa"/>
          </w:tblCellMar>
        </w:tblPrEx>
        <w:trPr>
          <w:trHeight w:val="370" w:hRule="atLeast"/>
        </w:trPr>
        <w:tc>
          <w:tcPr>
            <w:tcW w:w="1032" w:type="dxa"/>
            <w:tcBorders>
              <w:top w:val="single" w:color="auto" w:sz="4" w:space="0"/>
              <w:left w:val="single" w:color="auto" w:sz="4" w:space="0"/>
              <w:bottom w:val="single" w:color="auto" w:sz="4" w:space="0"/>
              <w:right w:val="single" w:color="auto" w:sz="4" w:space="0"/>
            </w:tcBorders>
            <w:shd w:val="clear" w:color="000000" w:fill="E2EFDA"/>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序号</w:t>
            </w:r>
          </w:p>
        </w:tc>
        <w:tc>
          <w:tcPr>
            <w:tcW w:w="1762" w:type="dxa"/>
            <w:tcBorders>
              <w:top w:val="single" w:color="auto" w:sz="4" w:space="0"/>
              <w:left w:val="nil"/>
              <w:bottom w:val="single" w:color="auto" w:sz="4" w:space="0"/>
              <w:right w:val="single" w:color="auto" w:sz="4" w:space="0"/>
            </w:tcBorders>
            <w:shd w:val="clear" w:color="000000" w:fill="E2EFDA"/>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模块名称</w:t>
            </w:r>
          </w:p>
        </w:tc>
        <w:tc>
          <w:tcPr>
            <w:tcW w:w="3832" w:type="dxa"/>
            <w:tcBorders>
              <w:top w:val="single" w:color="auto" w:sz="4" w:space="0"/>
              <w:left w:val="nil"/>
              <w:bottom w:val="single" w:color="auto" w:sz="4" w:space="0"/>
              <w:right w:val="single" w:color="auto" w:sz="4" w:space="0"/>
            </w:tcBorders>
            <w:shd w:val="clear" w:color="000000" w:fill="E2EFDA"/>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子系统名称</w:t>
            </w:r>
          </w:p>
        </w:tc>
        <w:tc>
          <w:tcPr>
            <w:tcW w:w="1312" w:type="dxa"/>
            <w:tcBorders>
              <w:top w:val="single" w:color="auto" w:sz="4" w:space="0"/>
              <w:left w:val="nil"/>
              <w:bottom w:val="single" w:color="auto" w:sz="4" w:space="0"/>
              <w:right w:val="single" w:color="auto" w:sz="4" w:space="0"/>
            </w:tcBorders>
            <w:shd w:val="clear" w:color="000000" w:fill="E2EFDA"/>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数量</w:t>
            </w:r>
          </w:p>
        </w:tc>
      </w:tr>
      <w:tr>
        <w:tblPrEx>
          <w:tblCellMar>
            <w:top w:w="0" w:type="dxa"/>
            <w:left w:w="108" w:type="dxa"/>
            <w:bottom w:w="0" w:type="dxa"/>
            <w:right w:w="108" w:type="dxa"/>
          </w:tblCellMar>
        </w:tblPrEx>
        <w:trPr>
          <w:trHeight w:val="370" w:hRule="atLeast"/>
        </w:trPr>
        <w:tc>
          <w:tcPr>
            <w:tcW w:w="103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1</w:t>
            </w:r>
          </w:p>
        </w:tc>
        <w:tc>
          <w:tcPr>
            <w:tcW w:w="176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数据中心</w:t>
            </w:r>
          </w:p>
        </w:tc>
        <w:tc>
          <w:tcPr>
            <w:tcW w:w="38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协同办公</w:t>
            </w:r>
          </w:p>
        </w:tc>
        <w:tc>
          <w:tcPr>
            <w:tcW w:w="131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1</w:t>
            </w:r>
          </w:p>
        </w:tc>
      </w:tr>
      <w:tr>
        <w:tblPrEx>
          <w:tblCellMar>
            <w:top w:w="0" w:type="dxa"/>
            <w:left w:w="108" w:type="dxa"/>
            <w:bottom w:w="0" w:type="dxa"/>
            <w:right w:w="108" w:type="dxa"/>
          </w:tblCellMar>
        </w:tblPrEx>
        <w:trPr>
          <w:trHeight w:val="370" w:hRule="atLeast"/>
        </w:trPr>
        <w:tc>
          <w:tcPr>
            <w:tcW w:w="10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76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38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基础数据</w:t>
            </w: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r>
      <w:tr>
        <w:tblPrEx>
          <w:tblCellMar>
            <w:top w:w="0" w:type="dxa"/>
            <w:left w:w="108" w:type="dxa"/>
            <w:bottom w:w="0" w:type="dxa"/>
            <w:right w:w="108" w:type="dxa"/>
          </w:tblCellMar>
        </w:tblPrEx>
        <w:trPr>
          <w:trHeight w:val="370" w:hRule="atLeast"/>
        </w:trPr>
        <w:tc>
          <w:tcPr>
            <w:tcW w:w="103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2</w:t>
            </w:r>
          </w:p>
        </w:tc>
        <w:tc>
          <w:tcPr>
            <w:tcW w:w="17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监督管理</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街道检查</w:t>
            </w:r>
          </w:p>
        </w:tc>
        <w:tc>
          <w:tcPr>
            <w:tcW w:w="131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1</w:t>
            </w:r>
          </w:p>
        </w:tc>
      </w:tr>
      <w:tr>
        <w:tblPrEx>
          <w:tblCellMar>
            <w:top w:w="0" w:type="dxa"/>
            <w:left w:w="108" w:type="dxa"/>
            <w:bottom w:w="0" w:type="dxa"/>
            <w:right w:w="108" w:type="dxa"/>
          </w:tblCellMar>
        </w:tblPrEx>
        <w:trPr>
          <w:trHeight w:val="370" w:hRule="atLeast"/>
        </w:trPr>
        <w:tc>
          <w:tcPr>
            <w:tcW w:w="10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76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第三方巡查</w:t>
            </w: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r>
      <w:tr>
        <w:tblPrEx>
          <w:tblCellMar>
            <w:top w:w="0" w:type="dxa"/>
            <w:left w:w="108" w:type="dxa"/>
            <w:bottom w:w="0" w:type="dxa"/>
            <w:right w:w="108" w:type="dxa"/>
          </w:tblCellMar>
        </w:tblPrEx>
        <w:trPr>
          <w:trHeight w:val="370" w:hRule="atLeast"/>
        </w:trPr>
        <w:tc>
          <w:tcPr>
            <w:tcW w:w="10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76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夜间施工申请</w:t>
            </w: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r>
      <w:tr>
        <w:tblPrEx>
          <w:tblCellMar>
            <w:top w:w="0" w:type="dxa"/>
            <w:left w:w="108" w:type="dxa"/>
            <w:bottom w:w="0" w:type="dxa"/>
            <w:right w:w="108" w:type="dxa"/>
          </w:tblCellMar>
        </w:tblPrEx>
        <w:trPr>
          <w:trHeight w:val="370" w:hRule="atLeast"/>
        </w:trPr>
        <w:tc>
          <w:tcPr>
            <w:tcW w:w="10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76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38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危大工程管理</w:t>
            </w: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r>
      <w:tr>
        <w:tblPrEx>
          <w:tblCellMar>
            <w:top w:w="0" w:type="dxa"/>
            <w:left w:w="108" w:type="dxa"/>
            <w:bottom w:w="0" w:type="dxa"/>
            <w:right w:w="108" w:type="dxa"/>
          </w:tblCellMar>
        </w:tblPrEx>
        <w:trPr>
          <w:trHeight w:val="370" w:hRule="atLeast"/>
        </w:trPr>
        <w:tc>
          <w:tcPr>
            <w:tcW w:w="103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3</w:t>
            </w:r>
          </w:p>
        </w:tc>
        <w:tc>
          <w:tcPr>
            <w:tcW w:w="176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现场管理</w:t>
            </w:r>
          </w:p>
        </w:tc>
        <w:tc>
          <w:tcPr>
            <w:tcW w:w="38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项目管理</w:t>
            </w:r>
          </w:p>
        </w:tc>
        <w:tc>
          <w:tcPr>
            <w:tcW w:w="131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1</w:t>
            </w:r>
          </w:p>
        </w:tc>
      </w:tr>
      <w:tr>
        <w:tblPrEx>
          <w:tblCellMar>
            <w:top w:w="0" w:type="dxa"/>
            <w:left w:w="108" w:type="dxa"/>
            <w:bottom w:w="0" w:type="dxa"/>
            <w:right w:w="108" w:type="dxa"/>
          </w:tblCellMar>
        </w:tblPrEx>
        <w:trPr>
          <w:trHeight w:val="370" w:hRule="atLeast"/>
        </w:trPr>
        <w:tc>
          <w:tcPr>
            <w:tcW w:w="10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76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38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应急管理</w:t>
            </w: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r>
      <w:tr>
        <w:tblPrEx>
          <w:tblCellMar>
            <w:top w:w="0" w:type="dxa"/>
            <w:left w:w="108" w:type="dxa"/>
            <w:bottom w:w="0" w:type="dxa"/>
            <w:right w:w="108" w:type="dxa"/>
          </w:tblCellMar>
        </w:tblPrEx>
        <w:trPr>
          <w:trHeight w:val="370" w:hRule="atLeast"/>
        </w:trPr>
        <w:tc>
          <w:tcPr>
            <w:tcW w:w="10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76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38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视频监控</w:t>
            </w: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r>
      <w:tr>
        <w:tblPrEx>
          <w:tblCellMar>
            <w:top w:w="0" w:type="dxa"/>
            <w:left w:w="108" w:type="dxa"/>
            <w:bottom w:w="0" w:type="dxa"/>
            <w:right w:w="108" w:type="dxa"/>
          </w:tblCellMar>
        </w:tblPrEx>
        <w:trPr>
          <w:trHeight w:val="370" w:hRule="atLeast"/>
        </w:trPr>
        <w:tc>
          <w:tcPr>
            <w:tcW w:w="10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4</w:t>
            </w:r>
          </w:p>
        </w:tc>
        <w:tc>
          <w:tcPr>
            <w:tcW w:w="176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人员管理</w:t>
            </w:r>
          </w:p>
        </w:tc>
        <w:tc>
          <w:tcPr>
            <w:tcW w:w="38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人员实名制</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1</w:t>
            </w:r>
          </w:p>
        </w:tc>
      </w:tr>
      <w:tr>
        <w:tblPrEx>
          <w:tblCellMar>
            <w:top w:w="0" w:type="dxa"/>
            <w:left w:w="108" w:type="dxa"/>
            <w:bottom w:w="0" w:type="dxa"/>
            <w:right w:w="108" w:type="dxa"/>
          </w:tblCellMar>
        </w:tblPrEx>
        <w:trPr>
          <w:trHeight w:val="370" w:hRule="atLeast"/>
        </w:trPr>
        <w:tc>
          <w:tcPr>
            <w:tcW w:w="103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5</w:t>
            </w:r>
          </w:p>
        </w:tc>
        <w:tc>
          <w:tcPr>
            <w:tcW w:w="176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机械管理</w:t>
            </w:r>
          </w:p>
        </w:tc>
        <w:tc>
          <w:tcPr>
            <w:tcW w:w="38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塔式起重机监控</w:t>
            </w:r>
          </w:p>
        </w:tc>
        <w:tc>
          <w:tcPr>
            <w:tcW w:w="131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1</w:t>
            </w:r>
          </w:p>
        </w:tc>
      </w:tr>
      <w:tr>
        <w:tblPrEx>
          <w:tblCellMar>
            <w:top w:w="0" w:type="dxa"/>
            <w:left w:w="108" w:type="dxa"/>
            <w:bottom w:w="0" w:type="dxa"/>
            <w:right w:w="108" w:type="dxa"/>
          </w:tblCellMar>
        </w:tblPrEx>
        <w:trPr>
          <w:trHeight w:val="370" w:hRule="atLeast"/>
        </w:trPr>
        <w:tc>
          <w:tcPr>
            <w:tcW w:w="10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76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38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施工升降机监控</w:t>
            </w: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r>
      <w:tr>
        <w:tblPrEx>
          <w:tblCellMar>
            <w:top w:w="0" w:type="dxa"/>
            <w:left w:w="108" w:type="dxa"/>
            <w:bottom w:w="0" w:type="dxa"/>
            <w:right w:w="108" w:type="dxa"/>
          </w:tblCellMar>
        </w:tblPrEx>
        <w:trPr>
          <w:trHeight w:val="370" w:hRule="atLeast"/>
        </w:trPr>
        <w:tc>
          <w:tcPr>
            <w:tcW w:w="10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6</w:t>
            </w:r>
          </w:p>
        </w:tc>
        <w:tc>
          <w:tcPr>
            <w:tcW w:w="55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 xml:space="preserve"> 系统管理</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1</w:t>
            </w:r>
          </w:p>
        </w:tc>
      </w:tr>
      <w:tr>
        <w:tblPrEx>
          <w:tblCellMar>
            <w:top w:w="0" w:type="dxa"/>
            <w:left w:w="108" w:type="dxa"/>
            <w:bottom w:w="0" w:type="dxa"/>
            <w:right w:w="108" w:type="dxa"/>
          </w:tblCellMar>
        </w:tblPrEx>
        <w:trPr>
          <w:trHeight w:val="370" w:hRule="atLeast"/>
        </w:trPr>
        <w:tc>
          <w:tcPr>
            <w:tcW w:w="10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7</w:t>
            </w:r>
          </w:p>
        </w:tc>
        <w:tc>
          <w:tcPr>
            <w:tcW w:w="55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 xml:space="preserve"> 综合驾驶舱</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1</w:t>
            </w:r>
          </w:p>
        </w:tc>
      </w:tr>
      <w:tr>
        <w:tblPrEx>
          <w:tblCellMar>
            <w:top w:w="0" w:type="dxa"/>
            <w:left w:w="108" w:type="dxa"/>
            <w:bottom w:w="0" w:type="dxa"/>
            <w:right w:w="108" w:type="dxa"/>
          </w:tblCellMar>
        </w:tblPrEx>
        <w:trPr>
          <w:trHeight w:val="370" w:hRule="atLeast"/>
        </w:trPr>
        <w:tc>
          <w:tcPr>
            <w:tcW w:w="103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8</w:t>
            </w:r>
          </w:p>
        </w:tc>
        <w:tc>
          <w:tcPr>
            <w:tcW w:w="176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手机移动端</w:t>
            </w:r>
          </w:p>
        </w:tc>
        <w:tc>
          <w:tcPr>
            <w:tcW w:w="38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政府侧应用</w:t>
            </w:r>
          </w:p>
        </w:tc>
        <w:tc>
          <w:tcPr>
            <w:tcW w:w="1312"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1</w:t>
            </w:r>
          </w:p>
        </w:tc>
      </w:tr>
      <w:tr>
        <w:tblPrEx>
          <w:tblCellMar>
            <w:top w:w="0" w:type="dxa"/>
            <w:left w:w="108" w:type="dxa"/>
            <w:bottom w:w="0" w:type="dxa"/>
            <w:right w:w="108" w:type="dxa"/>
          </w:tblCellMar>
        </w:tblPrEx>
        <w:trPr>
          <w:trHeight w:val="370" w:hRule="atLeast"/>
        </w:trPr>
        <w:tc>
          <w:tcPr>
            <w:tcW w:w="103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snapToGrid w:val="0"/>
                <w:kern w:val="0"/>
                <w:sz w:val="24"/>
              </w:rPr>
            </w:pPr>
          </w:p>
        </w:tc>
        <w:tc>
          <w:tcPr>
            <w:tcW w:w="176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snapToGrid w:val="0"/>
                <w:kern w:val="0"/>
                <w:sz w:val="24"/>
              </w:rPr>
            </w:pPr>
          </w:p>
        </w:tc>
        <w:tc>
          <w:tcPr>
            <w:tcW w:w="38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企业侧应用</w:t>
            </w:r>
          </w:p>
        </w:tc>
        <w:tc>
          <w:tcPr>
            <w:tcW w:w="1312"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1</w:t>
            </w:r>
          </w:p>
        </w:tc>
      </w:tr>
    </w:tbl>
    <w:p>
      <w:pPr>
        <w:pStyle w:val="58"/>
        <w:spacing w:before="120" w:beforeLines="50" w:beforeAutospacing="0" w:after="120" w:afterLines="50" w:afterAutospacing="0" w:line="520" w:lineRule="exact"/>
        <w:ind w:firstLine="482" w:firstLineChars="200"/>
        <w:jc w:val="both"/>
        <w:rPr>
          <w:rFonts w:ascii="仿宋" w:hAnsi="仿宋" w:eastAsia="仿宋" w:cs="仿宋"/>
          <w:b/>
          <w:bCs/>
          <w:snapToGrid w:val="0"/>
        </w:rPr>
      </w:pPr>
      <w:r>
        <w:rPr>
          <w:rFonts w:hint="eastAsia" w:ascii="仿宋" w:hAnsi="仿宋" w:eastAsia="仿宋" w:cs="仿宋"/>
          <w:b/>
          <w:bCs/>
          <w:snapToGrid w:val="0"/>
        </w:rPr>
        <w:t>5、功能要求</w:t>
      </w:r>
    </w:p>
    <w:tbl>
      <w:tblPr>
        <w:tblStyle w:val="63"/>
        <w:tblW w:w="0" w:type="auto"/>
        <w:jc w:val="center"/>
        <w:tblLayout w:type="autofit"/>
        <w:tblCellMar>
          <w:top w:w="0" w:type="dxa"/>
          <w:left w:w="108" w:type="dxa"/>
          <w:bottom w:w="0" w:type="dxa"/>
          <w:right w:w="108" w:type="dxa"/>
        </w:tblCellMar>
      </w:tblPr>
      <w:tblGrid>
        <w:gridCol w:w="696"/>
        <w:gridCol w:w="896"/>
        <w:gridCol w:w="992"/>
        <w:gridCol w:w="1166"/>
        <w:gridCol w:w="5012"/>
      </w:tblGrid>
      <w:tr>
        <w:tblPrEx>
          <w:tblCellMar>
            <w:top w:w="0" w:type="dxa"/>
            <w:left w:w="108" w:type="dxa"/>
            <w:bottom w:w="0" w:type="dxa"/>
            <w:right w:w="108" w:type="dxa"/>
          </w:tblCellMar>
        </w:tblPrEx>
        <w:trPr>
          <w:trHeight w:val="390" w:hRule="atLeast"/>
          <w:jc w:val="center"/>
        </w:trPr>
        <w:tc>
          <w:tcPr>
            <w:tcW w:w="0" w:type="auto"/>
            <w:tcBorders>
              <w:top w:val="single" w:color="auto" w:sz="4" w:space="0"/>
              <w:left w:val="single" w:color="auto" w:sz="4" w:space="0"/>
              <w:bottom w:val="single" w:color="auto" w:sz="4" w:space="0"/>
              <w:right w:val="single" w:color="auto" w:sz="4" w:space="0"/>
            </w:tcBorders>
            <w:shd w:val="clear" w:color="000000" w:fill="E2EFDA"/>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序号</w:t>
            </w:r>
          </w:p>
        </w:tc>
        <w:tc>
          <w:tcPr>
            <w:tcW w:w="896" w:type="dxa"/>
            <w:tcBorders>
              <w:top w:val="single" w:color="auto" w:sz="4" w:space="0"/>
              <w:left w:val="nil"/>
              <w:bottom w:val="single" w:color="auto" w:sz="4" w:space="0"/>
              <w:right w:val="single" w:color="auto" w:sz="4" w:space="0"/>
            </w:tcBorders>
            <w:shd w:val="clear" w:color="000000" w:fill="E2EFDA"/>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模块名称</w:t>
            </w:r>
          </w:p>
        </w:tc>
        <w:tc>
          <w:tcPr>
            <w:tcW w:w="992" w:type="dxa"/>
            <w:tcBorders>
              <w:top w:val="single" w:color="auto" w:sz="4" w:space="0"/>
              <w:left w:val="nil"/>
              <w:bottom w:val="single" w:color="auto" w:sz="4" w:space="0"/>
              <w:right w:val="single" w:color="auto" w:sz="4" w:space="0"/>
            </w:tcBorders>
            <w:shd w:val="clear" w:color="000000" w:fill="E2EFDA"/>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子系统名称</w:t>
            </w:r>
          </w:p>
        </w:tc>
        <w:tc>
          <w:tcPr>
            <w:tcW w:w="1166" w:type="dxa"/>
            <w:tcBorders>
              <w:top w:val="single" w:color="auto" w:sz="4" w:space="0"/>
              <w:left w:val="nil"/>
              <w:bottom w:val="single" w:color="auto" w:sz="4" w:space="0"/>
              <w:right w:val="single" w:color="auto" w:sz="4" w:space="0"/>
            </w:tcBorders>
            <w:shd w:val="clear" w:color="000000" w:fill="E2EFDA"/>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主菜单</w:t>
            </w:r>
          </w:p>
        </w:tc>
        <w:tc>
          <w:tcPr>
            <w:tcW w:w="5012" w:type="dxa"/>
            <w:tcBorders>
              <w:top w:val="single" w:color="auto" w:sz="4" w:space="0"/>
              <w:left w:val="nil"/>
              <w:bottom w:val="single" w:color="auto" w:sz="4" w:space="0"/>
              <w:right w:val="single" w:color="auto" w:sz="4" w:space="0"/>
            </w:tcBorders>
            <w:shd w:val="clear" w:color="000000" w:fill="E2EFDA"/>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功能要求</w:t>
            </w:r>
          </w:p>
        </w:tc>
      </w:tr>
      <w:tr>
        <w:tblPrEx>
          <w:tblCellMar>
            <w:top w:w="0" w:type="dxa"/>
            <w:left w:w="108" w:type="dxa"/>
            <w:bottom w:w="0" w:type="dxa"/>
            <w:right w:w="108" w:type="dxa"/>
          </w:tblCellMar>
        </w:tblPrEx>
        <w:trPr>
          <w:trHeight w:val="380" w:hRule="atLeast"/>
          <w:jc w:val="center"/>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1</w:t>
            </w:r>
          </w:p>
        </w:tc>
        <w:tc>
          <w:tcPr>
            <w:tcW w:w="8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数据中心</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协同办公</w:t>
            </w:r>
          </w:p>
        </w:tc>
        <w:tc>
          <w:tcPr>
            <w:tcW w:w="11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通知公告</w:t>
            </w:r>
          </w:p>
        </w:tc>
        <w:tc>
          <w:tcPr>
            <w:tcW w:w="501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可发布政策法规、更新日志、内外部公告等，可标记公告</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待办事项</w:t>
            </w:r>
          </w:p>
        </w:tc>
        <w:tc>
          <w:tcPr>
            <w:tcW w:w="501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可处理分配到的待办事项</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基础数据</w:t>
            </w:r>
          </w:p>
        </w:tc>
        <w:tc>
          <w:tcPr>
            <w:tcW w:w="11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企业信息</w:t>
            </w:r>
          </w:p>
        </w:tc>
        <w:tc>
          <w:tcPr>
            <w:tcW w:w="501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企业数据，支持增删改查</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人员信息</w:t>
            </w:r>
          </w:p>
        </w:tc>
        <w:tc>
          <w:tcPr>
            <w:tcW w:w="501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人员数据，支持增删改查</w:t>
            </w:r>
          </w:p>
        </w:tc>
      </w:tr>
      <w:tr>
        <w:tblPrEx>
          <w:tblCellMar>
            <w:top w:w="0" w:type="dxa"/>
            <w:left w:w="108" w:type="dxa"/>
            <w:bottom w:w="0" w:type="dxa"/>
            <w:right w:w="108" w:type="dxa"/>
          </w:tblCellMar>
        </w:tblPrEx>
        <w:trPr>
          <w:trHeight w:val="9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项目信息</w:t>
            </w:r>
          </w:p>
        </w:tc>
        <w:tc>
          <w:tcPr>
            <w:tcW w:w="501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对接杭州市智慧工地实名制系统，获取拱墅区的数据</w:t>
            </w:r>
          </w:p>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1、支持筛选需纳入监管的项目，并可补全项目信息；增加项目对应的城投公司、所属街道字段</w:t>
            </w:r>
          </w:p>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2、支持对项目范围进行标记框；项目生活区未在项目部，可标注生活区位置</w:t>
            </w:r>
          </w:p>
        </w:tc>
      </w:tr>
      <w:tr>
        <w:tblPrEx>
          <w:tblCellMar>
            <w:top w:w="0" w:type="dxa"/>
            <w:left w:w="108" w:type="dxa"/>
            <w:bottom w:w="0" w:type="dxa"/>
            <w:right w:w="108" w:type="dxa"/>
          </w:tblCellMar>
        </w:tblPrEx>
        <w:trPr>
          <w:trHeight w:val="280" w:hRule="atLeast"/>
          <w:jc w:val="center"/>
        </w:trPr>
        <w:tc>
          <w:tcPr>
            <w:tcW w:w="0" w:type="auto"/>
            <w:vMerge w:val="restart"/>
            <w:tcBorders>
              <w:top w:val="nil"/>
              <w:left w:val="single" w:color="auto" w:sz="4" w:space="0"/>
              <w:bottom w:val="single" w:color="auto" w:sz="4" w:space="0"/>
              <w:right w:val="single" w:color="auto" w:sz="4" w:space="0"/>
            </w:tcBorders>
            <w:shd w:val="clear" w:color="000000" w:fill="F2F2F2"/>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2</w:t>
            </w:r>
          </w:p>
        </w:tc>
        <w:tc>
          <w:tcPr>
            <w:tcW w:w="896" w:type="dxa"/>
            <w:vMerge w:val="restart"/>
            <w:tcBorders>
              <w:top w:val="nil"/>
              <w:left w:val="single" w:color="auto" w:sz="4" w:space="0"/>
              <w:bottom w:val="single" w:color="auto" w:sz="4" w:space="0"/>
              <w:right w:val="single" w:color="auto" w:sz="4" w:space="0"/>
            </w:tcBorders>
            <w:shd w:val="clear" w:color="000000" w:fill="F2F2F2"/>
            <w:noWrap/>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监督管理</w:t>
            </w:r>
          </w:p>
        </w:tc>
        <w:tc>
          <w:tcPr>
            <w:tcW w:w="992" w:type="dxa"/>
            <w:vMerge w:val="restart"/>
            <w:tcBorders>
              <w:top w:val="nil"/>
              <w:left w:val="single" w:color="auto" w:sz="4" w:space="0"/>
              <w:bottom w:val="single" w:color="auto" w:sz="4" w:space="0"/>
              <w:right w:val="single" w:color="auto" w:sz="4" w:space="0"/>
            </w:tcBorders>
            <w:shd w:val="clear" w:color="000000" w:fill="F2F2F2"/>
            <w:noWrap/>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街道检查</w:t>
            </w:r>
          </w:p>
        </w:tc>
        <w:tc>
          <w:tcPr>
            <w:tcW w:w="1166"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●监督巡查</w:t>
            </w:r>
          </w:p>
        </w:tc>
        <w:tc>
          <w:tcPr>
            <w:tcW w:w="5012"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街道根据住建局下发的任务，对项目进行检查，可发放整改单，整改单汇总到整改台账中；</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整改台账</w:t>
            </w:r>
          </w:p>
        </w:tc>
        <w:tc>
          <w:tcPr>
            <w:tcW w:w="5012"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记录整改单闭合情况</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restart"/>
            <w:tcBorders>
              <w:top w:val="nil"/>
              <w:left w:val="single" w:color="auto" w:sz="4" w:space="0"/>
              <w:bottom w:val="single" w:color="auto" w:sz="4" w:space="0"/>
              <w:right w:val="single" w:color="auto" w:sz="4" w:space="0"/>
            </w:tcBorders>
            <w:shd w:val="clear" w:color="000000" w:fill="F2F2F2"/>
            <w:noWrap/>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第三方巡查</w:t>
            </w:r>
          </w:p>
        </w:tc>
        <w:tc>
          <w:tcPr>
            <w:tcW w:w="1166"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监督巡查</w:t>
            </w:r>
          </w:p>
        </w:tc>
        <w:tc>
          <w:tcPr>
            <w:tcW w:w="5012"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第三方机构对项目进行检查，可发放整改单</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整改台账</w:t>
            </w:r>
          </w:p>
        </w:tc>
        <w:tc>
          <w:tcPr>
            <w:tcW w:w="5012"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记录整改单闭合情况</w:t>
            </w:r>
          </w:p>
        </w:tc>
      </w:tr>
      <w:tr>
        <w:tblPrEx>
          <w:tblCellMar>
            <w:top w:w="0" w:type="dxa"/>
            <w:left w:w="108" w:type="dxa"/>
            <w:bottom w:w="0" w:type="dxa"/>
            <w:right w:w="108" w:type="dxa"/>
          </w:tblCellMar>
        </w:tblPrEx>
        <w:trPr>
          <w:trHeight w:val="615"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tcBorders>
              <w:top w:val="nil"/>
              <w:left w:val="nil"/>
              <w:bottom w:val="single" w:color="auto" w:sz="4" w:space="0"/>
              <w:right w:val="single" w:color="auto" w:sz="4" w:space="0"/>
            </w:tcBorders>
            <w:shd w:val="clear" w:color="000000" w:fill="F2F2F2"/>
            <w:noWrap/>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夜间施工申请</w:t>
            </w:r>
          </w:p>
        </w:tc>
        <w:tc>
          <w:tcPr>
            <w:tcW w:w="1166"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●夜间施工申请</w:t>
            </w:r>
          </w:p>
        </w:tc>
        <w:tc>
          <w:tcPr>
            <w:tcW w:w="5012"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申请后住建审，形成许可单（附带二维码），通过后再线下可去环保办夜间施工证明（后续需进行电子签章功能赋能）</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restart"/>
            <w:tcBorders>
              <w:top w:val="nil"/>
              <w:left w:val="single" w:color="auto" w:sz="4" w:space="0"/>
              <w:bottom w:val="single" w:color="auto" w:sz="4" w:space="0"/>
              <w:right w:val="single" w:color="auto" w:sz="4" w:space="0"/>
            </w:tcBorders>
            <w:shd w:val="clear" w:color="000000" w:fill="F2F2F2"/>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危大工程管理</w:t>
            </w:r>
          </w:p>
        </w:tc>
        <w:tc>
          <w:tcPr>
            <w:tcW w:w="1166"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●业务总览</w:t>
            </w:r>
          </w:p>
        </w:tc>
        <w:tc>
          <w:tcPr>
            <w:tcW w:w="5012"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统计汇总危大工程整体业务数据，监管部门可看</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●清单上报</w:t>
            </w:r>
          </w:p>
        </w:tc>
        <w:tc>
          <w:tcPr>
            <w:tcW w:w="5012"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项目上报危大工程清单，汇总危险源涉及项</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●开工备案</w:t>
            </w:r>
          </w:p>
        </w:tc>
        <w:tc>
          <w:tcPr>
            <w:tcW w:w="5012"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针对上报的危险源清单，进行开工备案信息维护，针对一般危大也要进行备案（不需要专家论证）</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●完工销号</w:t>
            </w:r>
          </w:p>
        </w:tc>
        <w:tc>
          <w:tcPr>
            <w:tcW w:w="5012"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已完成危大项目销号</w:t>
            </w:r>
          </w:p>
        </w:tc>
      </w:tr>
      <w:tr>
        <w:tblPrEx>
          <w:tblCellMar>
            <w:top w:w="0" w:type="dxa"/>
            <w:left w:w="108" w:type="dxa"/>
            <w:bottom w:w="0" w:type="dxa"/>
            <w:right w:w="108" w:type="dxa"/>
          </w:tblCellMar>
        </w:tblPrEx>
        <w:trPr>
          <w:trHeight w:val="615" w:hRule="atLeast"/>
          <w:jc w:val="center"/>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3</w:t>
            </w:r>
          </w:p>
        </w:tc>
        <w:tc>
          <w:tcPr>
            <w:tcW w:w="8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现场管理</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项目管理</w:t>
            </w:r>
          </w:p>
        </w:tc>
        <w:tc>
          <w:tcPr>
            <w:tcW w:w="11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●工地一码通</w:t>
            </w:r>
          </w:p>
        </w:tc>
        <w:tc>
          <w:tcPr>
            <w:tcW w:w="501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包括三色工地评分及判断规则，工地监管码生成功能，可直接通过监管码扫码进入查看项目，开展相应作业</w:t>
            </w:r>
          </w:p>
        </w:tc>
      </w:tr>
      <w:tr>
        <w:tblPrEx>
          <w:tblCellMar>
            <w:top w:w="0" w:type="dxa"/>
            <w:left w:w="108" w:type="dxa"/>
            <w:bottom w:w="0" w:type="dxa"/>
            <w:right w:w="108" w:type="dxa"/>
          </w:tblCellMar>
        </w:tblPrEx>
        <w:trPr>
          <w:trHeight w:val="615"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●企业报告</w:t>
            </w:r>
          </w:p>
        </w:tc>
        <w:tc>
          <w:tcPr>
            <w:tcW w:w="501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包括项目总监月度报告、施工企业月检报告、安全生产每日报告、文明施工每日报告，由企业维护，主管部门可查看</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专项报告</w:t>
            </w:r>
          </w:p>
        </w:tc>
        <w:tc>
          <w:tcPr>
            <w:tcW w:w="501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五方主体针对项目进行专项报告</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带班检查</w:t>
            </w:r>
          </w:p>
        </w:tc>
        <w:tc>
          <w:tcPr>
            <w:tcW w:w="501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用于项目经理、项目总监对施工现场的带班检查</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创优评杯</w:t>
            </w:r>
          </w:p>
        </w:tc>
        <w:tc>
          <w:tcPr>
            <w:tcW w:w="501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项目对标化工地、灵江杯、优质结构的申报维护</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投保记录</w:t>
            </w:r>
          </w:p>
        </w:tc>
        <w:tc>
          <w:tcPr>
            <w:tcW w:w="501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项目安责险、工伤险投保内容</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民工学校</w:t>
            </w:r>
          </w:p>
        </w:tc>
        <w:tc>
          <w:tcPr>
            <w:tcW w:w="501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上报民工学习创建情况</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职工培训</w:t>
            </w:r>
          </w:p>
        </w:tc>
        <w:tc>
          <w:tcPr>
            <w:tcW w:w="501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质量、安全、文明等相关培训开展情况记录</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应急管理</w:t>
            </w:r>
          </w:p>
        </w:tc>
        <w:tc>
          <w:tcPr>
            <w:tcW w:w="11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避难场所登记</w:t>
            </w:r>
          </w:p>
        </w:tc>
        <w:tc>
          <w:tcPr>
            <w:tcW w:w="501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街道可登记应急避难场所</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●避难场所申报</w:t>
            </w:r>
          </w:p>
        </w:tc>
        <w:tc>
          <w:tcPr>
            <w:tcW w:w="501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项目可申报本项目的避难场所，应急管理员进行审批，审批通过后可将项目分配到避难场所上</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●应急物资登记</w:t>
            </w:r>
          </w:p>
        </w:tc>
        <w:tc>
          <w:tcPr>
            <w:tcW w:w="501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政府用户对应急队伍的登记</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应急物资上报</w:t>
            </w:r>
          </w:p>
        </w:tc>
        <w:tc>
          <w:tcPr>
            <w:tcW w:w="501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项目可对应急队伍进行上报，应急管理员进行审批，审批通过后可将项目分配到避难场所上</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●安置避难场所</w:t>
            </w:r>
          </w:p>
        </w:tc>
        <w:tc>
          <w:tcPr>
            <w:tcW w:w="501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对所有在建项目安置避难场所</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应急指令管理</w:t>
            </w:r>
          </w:p>
        </w:tc>
        <w:tc>
          <w:tcPr>
            <w:tcW w:w="501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应急指令下发或者终止指令，可下发应急事项给到项目；</w:t>
            </w:r>
          </w:p>
        </w:tc>
      </w:tr>
      <w:tr>
        <w:tblPrEx>
          <w:tblCellMar>
            <w:top w:w="0" w:type="dxa"/>
            <w:left w:w="108" w:type="dxa"/>
            <w:bottom w:w="0" w:type="dxa"/>
            <w:right w:w="108" w:type="dxa"/>
          </w:tblCellMar>
        </w:tblPrEx>
        <w:trPr>
          <w:trHeight w:val="615"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应急任务上报记录</w:t>
            </w:r>
          </w:p>
        </w:tc>
        <w:tc>
          <w:tcPr>
            <w:tcW w:w="501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项目根据应急任务，上报信息</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视频监控</w:t>
            </w:r>
          </w:p>
        </w:tc>
        <w:tc>
          <w:tcPr>
            <w:tcW w:w="11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监控总览</w:t>
            </w:r>
          </w:p>
        </w:tc>
        <w:tc>
          <w:tcPr>
            <w:tcW w:w="501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视频监控项目信息汇总，监管部门可看</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监控接入</w:t>
            </w:r>
          </w:p>
        </w:tc>
        <w:tc>
          <w:tcPr>
            <w:tcW w:w="501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视频登记录入，视频平台</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实时监控</w:t>
            </w:r>
          </w:p>
        </w:tc>
        <w:tc>
          <w:tcPr>
            <w:tcW w:w="501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查看实时现场视频</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录像回放</w:t>
            </w:r>
          </w:p>
        </w:tc>
        <w:tc>
          <w:tcPr>
            <w:tcW w:w="501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查看历史视频信息</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●视频AI分析</w:t>
            </w:r>
          </w:p>
        </w:tc>
        <w:tc>
          <w:tcPr>
            <w:tcW w:w="5012" w:type="dxa"/>
            <w:tcBorders>
              <w:top w:val="nil"/>
              <w:left w:val="nil"/>
              <w:bottom w:val="single" w:color="auto" w:sz="4" w:space="0"/>
              <w:right w:val="single" w:color="auto" w:sz="4" w:space="0"/>
            </w:tcBorders>
            <w:shd w:val="clear" w:color="auto" w:fill="auto"/>
            <w:vAlign w:val="center"/>
          </w:tcPr>
          <w:p>
            <w:pPr>
              <w:pStyle w:val="2"/>
              <w:spacing w:line="240" w:lineRule="auto"/>
              <w:ind w:left="0" w:leftChars="0" w:firstLine="0" w:firstLineChars="0"/>
            </w:pPr>
            <w:r>
              <w:rPr>
                <w:rFonts w:hint="eastAsia" w:ascii="仿宋" w:hAnsi="仿宋" w:eastAsia="仿宋" w:cs="仿宋"/>
                <w:snapToGrid w:val="0"/>
                <w:kern w:val="0"/>
                <w:sz w:val="24"/>
                <w:szCs w:val="24"/>
                <w:lang w:val="en-US" w:eastAsia="zh-CN" w:bidi="ar-SA"/>
              </w:rPr>
              <w:t>基于项目侧的AI算法，政府监管端收集、展示、预警其人的不安全行为（如未戴安全帽、未穿反光衣）及施工现场的不安全因素，提前介入安全防范，减少项目安全隐患，提高行业监管效能。</w:t>
            </w:r>
          </w:p>
        </w:tc>
      </w:tr>
      <w:tr>
        <w:tblPrEx>
          <w:tblCellMar>
            <w:top w:w="0" w:type="dxa"/>
            <w:left w:w="108" w:type="dxa"/>
            <w:bottom w:w="0" w:type="dxa"/>
            <w:right w:w="108" w:type="dxa"/>
          </w:tblCellMar>
        </w:tblPrEx>
        <w:trPr>
          <w:trHeight w:val="280" w:hRule="atLeast"/>
          <w:jc w:val="center"/>
        </w:trPr>
        <w:tc>
          <w:tcPr>
            <w:tcW w:w="0" w:type="auto"/>
            <w:vMerge w:val="restart"/>
            <w:tcBorders>
              <w:top w:val="nil"/>
              <w:left w:val="single" w:color="auto" w:sz="4" w:space="0"/>
              <w:bottom w:val="single" w:color="auto" w:sz="4" w:space="0"/>
              <w:right w:val="single" w:color="auto" w:sz="4" w:space="0"/>
            </w:tcBorders>
            <w:shd w:val="clear" w:color="000000" w:fill="F2F2F2"/>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4</w:t>
            </w:r>
          </w:p>
        </w:tc>
        <w:tc>
          <w:tcPr>
            <w:tcW w:w="896" w:type="dxa"/>
            <w:vMerge w:val="restart"/>
            <w:tcBorders>
              <w:top w:val="nil"/>
              <w:left w:val="single" w:color="auto" w:sz="4" w:space="0"/>
              <w:bottom w:val="single" w:color="auto" w:sz="4" w:space="0"/>
              <w:right w:val="single" w:color="auto" w:sz="4" w:space="0"/>
            </w:tcBorders>
            <w:shd w:val="clear" w:color="000000" w:fill="F2F2F2"/>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人员管理</w:t>
            </w:r>
          </w:p>
        </w:tc>
        <w:tc>
          <w:tcPr>
            <w:tcW w:w="992" w:type="dxa"/>
            <w:vMerge w:val="restart"/>
            <w:tcBorders>
              <w:top w:val="nil"/>
              <w:left w:val="single" w:color="auto" w:sz="4" w:space="0"/>
              <w:bottom w:val="single" w:color="auto" w:sz="4" w:space="0"/>
              <w:right w:val="single" w:color="auto" w:sz="4" w:space="0"/>
            </w:tcBorders>
            <w:shd w:val="clear" w:color="000000" w:fill="F2F2F2"/>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人员实名制</w:t>
            </w:r>
          </w:p>
        </w:tc>
        <w:tc>
          <w:tcPr>
            <w:tcW w:w="1166"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业务总览</w:t>
            </w:r>
          </w:p>
        </w:tc>
        <w:tc>
          <w:tcPr>
            <w:tcW w:w="5012"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实名制数据汇总，监管部门可看（需支持按街道、所属城投公司层级进行统计）</w:t>
            </w:r>
          </w:p>
        </w:tc>
      </w:tr>
      <w:tr>
        <w:tblPrEx>
          <w:tblCellMar>
            <w:top w:w="0" w:type="dxa"/>
            <w:left w:w="108" w:type="dxa"/>
            <w:bottom w:w="0" w:type="dxa"/>
            <w:right w:w="108" w:type="dxa"/>
          </w:tblCellMar>
        </w:tblPrEx>
        <w:trPr>
          <w:trHeight w:val="615"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项目考勤汇总</w:t>
            </w:r>
          </w:p>
        </w:tc>
        <w:tc>
          <w:tcPr>
            <w:tcW w:w="5012"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同步【杭州实名制平台】数据，项目当日考勤率、上周考勤率、上月考勤率查看，标注城投、街道项目</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项目考勤明细</w:t>
            </w:r>
          </w:p>
        </w:tc>
        <w:tc>
          <w:tcPr>
            <w:tcW w:w="5012"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同步【杭州实名制平台】数据，项目当月考勤明细查看，标注城投、街道项目</w:t>
            </w:r>
          </w:p>
        </w:tc>
      </w:tr>
      <w:tr>
        <w:tblPrEx>
          <w:tblCellMar>
            <w:top w:w="0" w:type="dxa"/>
            <w:left w:w="108" w:type="dxa"/>
            <w:bottom w:w="0" w:type="dxa"/>
            <w:right w:w="108" w:type="dxa"/>
          </w:tblCellMar>
        </w:tblPrEx>
        <w:trPr>
          <w:trHeight w:val="280" w:hRule="atLeast"/>
          <w:jc w:val="center"/>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5</w:t>
            </w:r>
          </w:p>
        </w:tc>
        <w:tc>
          <w:tcPr>
            <w:tcW w:w="8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机械管理</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塔式起重机监控</w:t>
            </w:r>
          </w:p>
        </w:tc>
        <w:tc>
          <w:tcPr>
            <w:tcW w:w="11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业务总览</w:t>
            </w:r>
          </w:p>
        </w:tc>
        <w:tc>
          <w:tcPr>
            <w:tcW w:w="501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塔式起重机项目信息汇总，监管部门可看</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监控登记</w:t>
            </w:r>
          </w:p>
        </w:tc>
        <w:tc>
          <w:tcPr>
            <w:tcW w:w="501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登记塔式起重机监控设备编码等</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实时监测</w:t>
            </w:r>
          </w:p>
        </w:tc>
        <w:tc>
          <w:tcPr>
            <w:tcW w:w="501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查看塔机实时运行数据</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预警信息</w:t>
            </w:r>
          </w:p>
        </w:tc>
        <w:tc>
          <w:tcPr>
            <w:tcW w:w="501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根据预警规则显示预警信息</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报警信息</w:t>
            </w:r>
          </w:p>
        </w:tc>
        <w:tc>
          <w:tcPr>
            <w:tcW w:w="501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根据报警规则显示报警信息</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违章信息</w:t>
            </w:r>
          </w:p>
        </w:tc>
        <w:tc>
          <w:tcPr>
            <w:tcW w:w="501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根据违章规则显示违章信息</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施工升降机监控</w:t>
            </w:r>
          </w:p>
        </w:tc>
        <w:tc>
          <w:tcPr>
            <w:tcW w:w="11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业务总览</w:t>
            </w:r>
          </w:p>
        </w:tc>
        <w:tc>
          <w:tcPr>
            <w:tcW w:w="501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施工升降机项目信息汇总，监管部门可看</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监控登记</w:t>
            </w:r>
          </w:p>
        </w:tc>
        <w:tc>
          <w:tcPr>
            <w:tcW w:w="501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登记施工升降机监控设备编码等</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实时监测</w:t>
            </w:r>
          </w:p>
        </w:tc>
        <w:tc>
          <w:tcPr>
            <w:tcW w:w="501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查看施工升降机实时运行数据</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预警信息</w:t>
            </w:r>
          </w:p>
        </w:tc>
        <w:tc>
          <w:tcPr>
            <w:tcW w:w="501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根据预警规则显示预警信息</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报警信息</w:t>
            </w:r>
          </w:p>
        </w:tc>
        <w:tc>
          <w:tcPr>
            <w:tcW w:w="501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根据报警规则显示报警信息</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违章信息</w:t>
            </w:r>
          </w:p>
        </w:tc>
        <w:tc>
          <w:tcPr>
            <w:tcW w:w="501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根据违章规则显示违章信息</w:t>
            </w:r>
          </w:p>
        </w:tc>
      </w:tr>
      <w:tr>
        <w:tblPrEx>
          <w:tblCellMar>
            <w:top w:w="0" w:type="dxa"/>
            <w:left w:w="108" w:type="dxa"/>
            <w:bottom w:w="0" w:type="dxa"/>
            <w:right w:w="108" w:type="dxa"/>
          </w:tblCellMar>
        </w:tblPrEx>
        <w:trPr>
          <w:trHeight w:val="280" w:hRule="atLeast"/>
          <w:jc w:val="center"/>
        </w:trPr>
        <w:tc>
          <w:tcPr>
            <w:tcW w:w="0" w:type="auto"/>
            <w:vMerge w:val="restart"/>
            <w:tcBorders>
              <w:top w:val="nil"/>
              <w:left w:val="single" w:color="auto" w:sz="4" w:space="0"/>
              <w:bottom w:val="single" w:color="auto" w:sz="4" w:space="0"/>
              <w:right w:val="single" w:color="auto" w:sz="4" w:space="0"/>
            </w:tcBorders>
            <w:shd w:val="clear" w:color="000000" w:fill="F2F2F2"/>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6</w:t>
            </w:r>
          </w:p>
        </w:tc>
        <w:tc>
          <w:tcPr>
            <w:tcW w:w="1888" w:type="dxa"/>
            <w:gridSpan w:val="2"/>
            <w:vMerge w:val="restart"/>
            <w:tcBorders>
              <w:top w:val="single" w:color="auto" w:sz="4" w:space="0"/>
              <w:left w:val="single" w:color="auto" w:sz="4" w:space="0"/>
              <w:bottom w:val="single" w:color="auto" w:sz="4" w:space="0"/>
              <w:right w:val="single" w:color="auto" w:sz="4" w:space="0"/>
            </w:tcBorders>
            <w:shd w:val="clear" w:color="000000" w:fill="F2F2F2"/>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系统管理</w:t>
            </w:r>
          </w:p>
        </w:tc>
        <w:tc>
          <w:tcPr>
            <w:tcW w:w="1166"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用户管理</w:t>
            </w:r>
          </w:p>
        </w:tc>
        <w:tc>
          <w:tcPr>
            <w:tcW w:w="5012"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增删改用户信息</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8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角色管理</w:t>
            </w:r>
          </w:p>
        </w:tc>
        <w:tc>
          <w:tcPr>
            <w:tcW w:w="5012"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配置用户权限（支持模块化的权限分配）</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8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组织机构</w:t>
            </w:r>
          </w:p>
        </w:tc>
        <w:tc>
          <w:tcPr>
            <w:tcW w:w="5012"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配置组织机构包括监督科室等信息（包括政府、城投、街道、企业项目等）</w:t>
            </w:r>
          </w:p>
        </w:tc>
      </w:tr>
      <w:tr>
        <w:tblPrEx>
          <w:tblCellMar>
            <w:top w:w="0" w:type="dxa"/>
            <w:left w:w="108" w:type="dxa"/>
            <w:bottom w:w="0" w:type="dxa"/>
            <w:right w:w="108" w:type="dxa"/>
          </w:tblCellMar>
        </w:tblPrEx>
        <w:trPr>
          <w:trHeight w:val="620" w:hRule="atLeast"/>
          <w:jc w:val="center"/>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7</w:t>
            </w:r>
          </w:p>
        </w:tc>
        <w:tc>
          <w:tcPr>
            <w:tcW w:w="8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综合驾驶舱</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●三色治理</w:t>
            </w:r>
          </w:p>
        </w:tc>
        <w:tc>
          <w:tcPr>
            <w:tcW w:w="617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基于人员管理指标、设备运行监测指标、主管部门监督检查指标等建立三色分析评价模型，对区域项目实施分级管理，实现风险隐患智能预警，提高行业监管效能。</w:t>
            </w:r>
          </w:p>
        </w:tc>
      </w:tr>
      <w:tr>
        <w:tblPrEx>
          <w:tblCellMar>
            <w:top w:w="0" w:type="dxa"/>
            <w:left w:w="108" w:type="dxa"/>
            <w:bottom w:w="0" w:type="dxa"/>
            <w:right w:w="108" w:type="dxa"/>
          </w:tblCellMar>
        </w:tblPrEx>
        <w:trPr>
          <w:trHeight w:val="615"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●总览大屏</w:t>
            </w:r>
          </w:p>
        </w:tc>
        <w:tc>
          <w:tcPr>
            <w:tcW w:w="617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全区项目情况、人员情况、设备情况、夜间施工情况、视频、申办事项、办结事项、各阶段分布情况、各城投分布情况、总体投资额、建筑规模、应用管理总体情况</w:t>
            </w:r>
          </w:p>
        </w:tc>
      </w:tr>
      <w:tr>
        <w:tblPrEx>
          <w:tblCellMar>
            <w:top w:w="0" w:type="dxa"/>
            <w:left w:w="108" w:type="dxa"/>
            <w:bottom w:w="0" w:type="dxa"/>
            <w:right w:w="108" w:type="dxa"/>
          </w:tblCellMar>
        </w:tblPrEx>
        <w:trPr>
          <w:trHeight w:val="615"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街道大屏</w:t>
            </w:r>
          </w:p>
        </w:tc>
        <w:tc>
          <w:tcPr>
            <w:tcW w:w="617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街道用户根据数据权限，查看本街道项目情况、人员情况、设备情况、夜间施工情况、视频、街道待办事项、街道办结事项、整改闭合事项；应急管理等。</w:t>
            </w:r>
          </w:p>
        </w:tc>
      </w:tr>
      <w:tr>
        <w:tblPrEx>
          <w:tblCellMar>
            <w:top w:w="0" w:type="dxa"/>
            <w:left w:w="108" w:type="dxa"/>
            <w:bottom w:w="0" w:type="dxa"/>
            <w:right w:w="108" w:type="dxa"/>
          </w:tblCellMar>
        </w:tblPrEx>
        <w:trPr>
          <w:trHeight w:val="615"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指挥部大屏</w:t>
            </w:r>
          </w:p>
        </w:tc>
        <w:tc>
          <w:tcPr>
            <w:tcW w:w="617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指挥部用户根据数据权限，查看指挥部项目情况、人员情况、设备情况、政府接待下单整改闭环情况、夜间施工审批数据、视频、应急管理、工程进度情况、工程投资、建筑规模、应急管理</w:t>
            </w:r>
          </w:p>
        </w:tc>
      </w:tr>
      <w:tr>
        <w:tblPrEx>
          <w:tblCellMar>
            <w:top w:w="0" w:type="dxa"/>
            <w:left w:w="108" w:type="dxa"/>
            <w:bottom w:w="0" w:type="dxa"/>
            <w:right w:w="108" w:type="dxa"/>
          </w:tblCellMar>
        </w:tblPrEx>
        <w:trPr>
          <w:trHeight w:val="615"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●项目看板</w:t>
            </w:r>
          </w:p>
        </w:tc>
        <w:tc>
          <w:tcPr>
            <w:tcW w:w="617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本项项目基本信息、参建人员到岗信息、现场机械设备情况、视频、进度、整改闭环情况、夜间施工情况、项目二维码及其三色评价结果展示。</w:t>
            </w:r>
          </w:p>
        </w:tc>
      </w:tr>
      <w:tr>
        <w:tblPrEx>
          <w:tblCellMar>
            <w:top w:w="0" w:type="dxa"/>
            <w:left w:w="108" w:type="dxa"/>
            <w:bottom w:w="0" w:type="dxa"/>
            <w:right w:w="108" w:type="dxa"/>
          </w:tblCellMar>
        </w:tblPrEx>
        <w:trPr>
          <w:trHeight w:val="280" w:hRule="atLeast"/>
          <w:jc w:val="center"/>
        </w:trPr>
        <w:tc>
          <w:tcPr>
            <w:tcW w:w="0" w:type="auto"/>
            <w:vMerge w:val="restart"/>
            <w:tcBorders>
              <w:top w:val="nil"/>
              <w:left w:val="single" w:color="auto" w:sz="4" w:space="0"/>
              <w:bottom w:val="single" w:color="000000" w:sz="4" w:space="0"/>
              <w:right w:val="single" w:color="auto" w:sz="4" w:space="0"/>
            </w:tcBorders>
            <w:shd w:val="clear" w:color="000000" w:fill="F2F2F2"/>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8</w:t>
            </w:r>
          </w:p>
        </w:tc>
        <w:tc>
          <w:tcPr>
            <w:tcW w:w="896" w:type="dxa"/>
            <w:vMerge w:val="restart"/>
            <w:tcBorders>
              <w:top w:val="nil"/>
              <w:left w:val="single" w:color="auto" w:sz="4" w:space="0"/>
              <w:bottom w:val="single" w:color="000000" w:sz="4" w:space="0"/>
              <w:right w:val="single" w:color="auto" w:sz="4" w:space="0"/>
            </w:tcBorders>
            <w:shd w:val="clear" w:color="000000" w:fill="F2F2F2"/>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手机移动端</w:t>
            </w:r>
          </w:p>
        </w:tc>
        <w:tc>
          <w:tcPr>
            <w:tcW w:w="992" w:type="dxa"/>
            <w:vMerge w:val="restart"/>
            <w:tcBorders>
              <w:top w:val="nil"/>
              <w:left w:val="single" w:color="auto" w:sz="4" w:space="0"/>
              <w:bottom w:val="single" w:color="auto" w:sz="4" w:space="0"/>
              <w:right w:val="single" w:color="auto" w:sz="4" w:space="0"/>
            </w:tcBorders>
            <w:shd w:val="clear" w:color="000000" w:fill="F2F2F2"/>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政府侧应用</w:t>
            </w:r>
          </w:p>
        </w:tc>
        <w:tc>
          <w:tcPr>
            <w:tcW w:w="1166"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监督交底</w:t>
            </w:r>
          </w:p>
        </w:tc>
        <w:tc>
          <w:tcPr>
            <w:tcW w:w="5012"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针对已申报工程，进行分配监督科室、监督人员，维护交底记录、交底照片</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监督检查</w:t>
            </w:r>
          </w:p>
        </w:tc>
        <w:tc>
          <w:tcPr>
            <w:tcW w:w="5012"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针对已申报工程，开展监督检查或专项抽查，发放整改单</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项目信息</w:t>
            </w:r>
          </w:p>
        </w:tc>
        <w:tc>
          <w:tcPr>
            <w:tcW w:w="5012"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可搜索监管项目，查看项目信息，对项目进行交底、检查、发整改单等</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街道检查</w:t>
            </w:r>
          </w:p>
        </w:tc>
        <w:tc>
          <w:tcPr>
            <w:tcW w:w="5012"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街道人员可对项目进行检查、发隐患告知单</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第三方巡查</w:t>
            </w:r>
          </w:p>
        </w:tc>
        <w:tc>
          <w:tcPr>
            <w:tcW w:w="5012"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第三方机构人员可对项目进行巡查、发放隐患告知单</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待办事项</w:t>
            </w:r>
          </w:p>
        </w:tc>
        <w:tc>
          <w:tcPr>
            <w:tcW w:w="5012"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移动端操作审核、整改等待办信息</w:t>
            </w:r>
          </w:p>
        </w:tc>
      </w:tr>
      <w:tr>
        <w:tblPrEx>
          <w:tblCellMar>
            <w:top w:w="0" w:type="dxa"/>
            <w:left w:w="108" w:type="dxa"/>
            <w:bottom w:w="0" w:type="dxa"/>
            <w:right w:w="108" w:type="dxa"/>
          </w:tblCellMar>
        </w:tblPrEx>
        <w:trPr>
          <w:trHeight w:val="280" w:hRule="atLeast"/>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restart"/>
            <w:tcBorders>
              <w:top w:val="nil"/>
              <w:left w:val="single" w:color="auto" w:sz="4" w:space="0"/>
              <w:bottom w:val="single" w:color="auto" w:sz="4" w:space="0"/>
              <w:right w:val="single" w:color="auto" w:sz="4" w:space="0"/>
            </w:tcBorders>
            <w:shd w:val="clear" w:color="000000" w:fill="F2F2F2"/>
            <w:vAlign w:val="center"/>
          </w:tcPr>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企业侧应用</w:t>
            </w:r>
          </w:p>
        </w:tc>
        <w:tc>
          <w:tcPr>
            <w:tcW w:w="1166"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项目信息</w:t>
            </w:r>
          </w:p>
        </w:tc>
        <w:tc>
          <w:tcPr>
            <w:tcW w:w="5012"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可查看项目基本信息</w:t>
            </w:r>
          </w:p>
        </w:tc>
      </w:tr>
      <w:tr>
        <w:tblPrEx>
          <w:tblCellMar>
            <w:top w:w="0" w:type="dxa"/>
            <w:left w:w="108" w:type="dxa"/>
            <w:bottom w:w="0" w:type="dxa"/>
            <w:right w:w="108" w:type="dxa"/>
          </w:tblCellMar>
        </w:tblPrEx>
        <w:trPr>
          <w:trHeight w:val="405" w:hRule="atLeast"/>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应急管理</w:t>
            </w:r>
          </w:p>
        </w:tc>
        <w:tc>
          <w:tcPr>
            <w:tcW w:w="5012"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针对应急下发事项进行上报</w:t>
            </w:r>
          </w:p>
        </w:tc>
      </w:tr>
      <w:tr>
        <w:tblPrEx>
          <w:tblCellMar>
            <w:top w:w="0" w:type="dxa"/>
            <w:left w:w="108" w:type="dxa"/>
            <w:bottom w:w="0" w:type="dxa"/>
            <w:right w:w="108" w:type="dxa"/>
          </w:tblCellMar>
        </w:tblPrEx>
        <w:trPr>
          <w:trHeight w:val="405" w:hRule="atLeast"/>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夜间施工申请</w:t>
            </w:r>
          </w:p>
        </w:tc>
        <w:tc>
          <w:tcPr>
            <w:tcW w:w="5012"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针对整改单进行待办整改回复</w:t>
            </w:r>
          </w:p>
        </w:tc>
      </w:tr>
      <w:tr>
        <w:tblPrEx>
          <w:tblCellMar>
            <w:top w:w="0" w:type="dxa"/>
            <w:left w:w="108" w:type="dxa"/>
            <w:bottom w:w="0" w:type="dxa"/>
            <w:right w:w="108" w:type="dxa"/>
          </w:tblCellMar>
        </w:tblPrEx>
        <w:trPr>
          <w:trHeight w:val="405" w:hRule="atLeast"/>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安全考评申请</w:t>
            </w:r>
          </w:p>
        </w:tc>
        <w:tc>
          <w:tcPr>
            <w:tcW w:w="5012"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可申请阶段的安全考评</w:t>
            </w:r>
          </w:p>
        </w:tc>
      </w:tr>
      <w:tr>
        <w:tblPrEx>
          <w:tblCellMar>
            <w:top w:w="0" w:type="dxa"/>
            <w:left w:w="108" w:type="dxa"/>
            <w:bottom w:w="0" w:type="dxa"/>
            <w:right w:w="108" w:type="dxa"/>
          </w:tblCellMar>
        </w:tblPrEx>
        <w:trPr>
          <w:trHeight w:val="405" w:hRule="atLeast"/>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过程验收申请</w:t>
            </w:r>
          </w:p>
        </w:tc>
        <w:tc>
          <w:tcPr>
            <w:tcW w:w="5012"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可申请阶段的验收申请</w:t>
            </w:r>
          </w:p>
        </w:tc>
      </w:tr>
      <w:tr>
        <w:tblPrEx>
          <w:tblCellMar>
            <w:top w:w="0" w:type="dxa"/>
            <w:left w:w="108" w:type="dxa"/>
            <w:bottom w:w="0" w:type="dxa"/>
            <w:right w:w="108" w:type="dxa"/>
          </w:tblCellMar>
        </w:tblPrEx>
        <w:trPr>
          <w:trHeight w:val="405" w:hRule="atLeast"/>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完工评价申请</w:t>
            </w:r>
          </w:p>
        </w:tc>
        <w:tc>
          <w:tcPr>
            <w:tcW w:w="5012"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可申请项目完工评价</w:t>
            </w:r>
          </w:p>
        </w:tc>
      </w:tr>
      <w:tr>
        <w:tblPrEx>
          <w:tblCellMar>
            <w:top w:w="0" w:type="dxa"/>
            <w:left w:w="108" w:type="dxa"/>
            <w:bottom w:w="0" w:type="dxa"/>
            <w:right w:w="108" w:type="dxa"/>
          </w:tblCellMar>
        </w:tblPrEx>
        <w:trPr>
          <w:trHeight w:val="405" w:hRule="atLeast"/>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竣工验收申请</w:t>
            </w:r>
          </w:p>
        </w:tc>
        <w:tc>
          <w:tcPr>
            <w:tcW w:w="5012"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可申请项目竣工验收</w:t>
            </w:r>
          </w:p>
        </w:tc>
      </w:tr>
      <w:tr>
        <w:tblPrEx>
          <w:tblCellMar>
            <w:top w:w="0" w:type="dxa"/>
            <w:left w:w="108" w:type="dxa"/>
            <w:bottom w:w="0" w:type="dxa"/>
            <w:right w:w="108" w:type="dxa"/>
          </w:tblCellMar>
        </w:tblPrEx>
        <w:trPr>
          <w:trHeight w:val="405" w:hRule="atLeast"/>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snapToGrid w:val="0"/>
                <w:kern w:val="0"/>
                <w:sz w:val="24"/>
              </w:rPr>
            </w:pPr>
          </w:p>
        </w:tc>
        <w:tc>
          <w:tcPr>
            <w:tcW w:w="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snapToGrid w:val="0"/>
                <w:kern w:val="0"/>
                <w:sz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kern w:val="0"/>
                <w:sz w:val="24"/>
              </w:rPr>
            </w:pPr>
          </w:p>
        </w:tc>
        <w:tc>
          <w:tcPr>
            <w:tcW w:w="1166"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待办事项</w:t>
            </w:r>
          </w:p>
        </w:tc>
        <w:tc>
          <w:tcPr>
            <w:tcW w:w="5012" w:type="dxa"/>
            <w:tcBorders>
              <w:top w:val="nil"/>
              <w:left w:val="nil"/>
              <w:bottom w:val="single" w:color="auto" w:sz="4" w:space="0"/>
              <w:right w:val="single" w:color="auto" w:sz="4" w:space="0"/>
            </w:tcBorders>
            <w:shd w:val="clear" w:color="000000" w:fill="F2F2F2"/>
            <w:vAlign w:val="center"/>
          </w:tcPr>
          <w:p>
            <w:pPr>
              <w:widowControl/>
              <w:jc w:val="left"/>
              <w:rPr>
                <w:rFonts w:ascii="仿宋" w:hAnsi="仿宋" w:eastAsia="仿宋" w:cs="仿宋"/>
                <w:snapToGrid w:val="0"/>
                <w:kern w:val="0"/>
                <w:sz w:val="24"/>
              </w:rPr>
            </w:pPr>
            <w:r>
              <w:rPr>
                <w:rFonts w:hint="eastAsia" w:ascii="仿宋" w:hAnsi="仿宋" w:eastAsia="仿宋" w:cs="仿宋"/>
                <w:snapToGrid w:val="0"/>
                <w:kern w:val="0"/>
                <w:sz w:val="24"/>
              </w:rPr>
              <w:t>可处理整改回复等待办事项</w:t>
            </w:r>
          </w:p>
        </w:tc>
      </w:tr>
    </w:tbl>
    <w:p>
      <w:pPr>
        <w:widowControl/>
        <w:shd w:val="clear" w:color="auto" w:fill="FFFFFF"/>
        <w:spacing w:line="360" w:lineRule="auto"/>
        <w:ind w:firstLine="480"/>
        <w:jc w:val="left"/>
        <w:rPr>
          <w:rFonts w:ascii="仿宋" w:hAnsi="仿宋" w:eastAsia="仿宋" w:cs="仿宋"/>
          <w:snapToGrid w:val="0"/>
          <w:sz w:val="24"/>
        </w:rPr>
      </w:pPr>
    </w:p>
    <w:p>
      <w:pPr>
        <w:pStyle w:val="963"/>
        <w:ind w:firstLine="0" w:firstLineChars="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六、项目特别说明</w:t>
      </w:r>
    </w:p>
    <w:p>
      <w:pPr>
        <w:widowControl/>
        <w:shd w:val="clear" w:color="auto" w:fill="FFFFFF"/>
        <w:spacing w:line="360" w:lineRule="auto"/>
        <w:ind w:firstLine="480"/>
        <w:jc w:val="left"/>
        <w:rPr>
          <w:rFonts w:ascii="仿宋_GB2312" w:hAnsi="仿宋" w:eastAsia="仿宋_GB2312" w:cs="仿宋_GB2312"/>
          <w:sz w:val="24"/>
        </w:rPr>
      </w:pPr>
      <w:r>
        <w:rPr>
          <w:rFonts w:hint="eastAsia" w:ascii="仿宋_GB2312" w:hAnsi="仿宋" w:eastAsia="仿宋_GB2312" w:cs="仿宋_GB2312"/>
          <w:sz w:val="24"/>
        </w:rPr>
        <w:t>1、</w:t>
      </w:r>
      <w:r>
        <w:rPr>
          <w:rFonts w:hint="eastAsia" w:ascii="仿宋_GB2312" w:hAnsi="仿宋" w:eastAsia="仿宋_GB2312" w:cs="仿宋_GB2312"/>
          <w:b/>
          <w:bCs/>
          <w:sz w:val="24"/>
        </w:rPr>
        <w:t>实施地点</w:t>
      </w:r>
      <w:r>
        <w:rPr>
          <w:rFonts w:hint="eastAsia" w:ascii="仿宋_GB2312" w:hAnsi="仿宋" w:eastAsia="仿宋_GB2312" w:cs="仿宋_GB2312"/>
          <w:sz w:val="24"/>
        </w:rPr>
        <w:t>：系统部署在拱墅区政务云服务器。</w:t>
      </w:r>
    </w:p>
    <w:p>
      <w:pPr>
        <w:widowControl/>
        <w:shd w:val="clear" w:color="auto" w:fill="FFFFFF"/>
        <w:spacing w:line="360" w:lineRule="auto"/>
        <w:ind w:firstLine="480"/>
        <w:jc w:val="left"/>
        <w:rPr>
          <w:rFonts w:ascii="仿宋_GB2312" w:hAnsi="仿宋" w:eastAsia="仿宋_GB2312" w:cs="仿宋_GB2312"/>
          <w:sz w:val="24"/>
          <w:highlight w:val="yellow"/>
        </w:rPr>
      </w:pPr>
      <w:r>
        <w:rPr>
          <w:rFonts w:hint="eastAsia" w:ascii="仿宋_GB2312" w:hAnsi="仿宋" w:eastAsia="仿宋_GB2312" w:cs="仿宋_GB2312"/>
          <w:sz w:val="24"/>
          <w:highlight w:val="yellow"/>
        </w:rPr>
        <w:t>2、</w:t>
      </w:r>
      <w:r>
        <w:rPr>
          <w:rFonts w:hint="eastAsia" w:ascii="仿宋_GB2312" w:hAnsi="仿宋" w:eastAsia="仿宋_GB2312" w:cs="仿宋_GB2312"/>
          <w:b/>
          <w:bCs/>
          <w:sz w:val="24"/>
          <w:highlight w:val="yellow"/>
        </w:rPr>
        <w:t>系统交付</w:t>
      </w:r>
      <w:r>
        <w:rPr>
          <w:rFonts w:hint="eastAsia" w:ascii="仿宋_GB2312" w:hAnsi="仿宋" w:eastAsia="仿宋_GB2312" w:cs="仿宋_GB2312"/>
          <w:sz w:val="24"/>
          <w:highlight w:val="yellow"/>
        </w:rPr>
        <w:t>：合同签订后30天内完成系统开发及应用部署。</w:t>
      </w:r>
    </w:p>
    <w:p>
      <w:pPr>
        <w:widowControl/>
        <w:shd w:val="clear" w:color="auto" w:fill="FFFFFF"/>
        <w:spacing w:line="360" w:lineRule="auto"/>
        <w:ind w:firstLine="480"/>
        <w:jc w:val="left"/>
        <w:rPr>
          <w:rFonts w:ascii="仿宋_GB2312" w:hAnsi="仿宋" w:eastAsia="仿宋_GB2312" w:cs="仿宋_GB2312"/>
          <w:sz w:val="24"/>
        </w:rPr>
      </w:pPr>
      <w:r>
        <w:rPr>
          <w:rFonts w:hint="eastAsia" w:ascii="仿宋_GB2312" w:hAnsi="仿宋" w:eastAsia="仿宋_GB2312" w:cs="仿宋_GB2312"/>
          <w:sz w:val="24"/>
        </w:rPr>
        <w:t>3、</w:t>
      </w:r>
      <w:r>
        <w:rPr>
          <w:rFonts w:hint="eastAsia" w:ascii="仿宋_GB2312" w:hAnsi="仿宋" w:eastAsia="仿宋_GB2312" w:cs="仿宋_GB2312"/>
          <w:b/>
          <w:bCs/>
          <w:sz w:val="24"/>
        </w:rPr>
        <w:t>培训</w:t>
      </w:r>
      <w:r>
        <w:rPr>
          <w:rFonts w:hint="eastAsia" w:ascii="仿宋_GB2312" w:hAnsi="仿宋" w:eastAsia="仿宋_GB2312" w:cs="仿宋_GB2312"/>
          <w:sz w:val="24"/>
        </w:rPr>
        <w:t>：</w:t>
      </w:r>
    </w:p>
    <w:p>
      <w:pPr>
        <w:widowControl/>
        <w:shd w:val="clear" w:color="auto" w:fill="FFFFFF"/>
        <w:spacing w:line="360" w:lineRule="auto"/>
        <w:ind w:firstLine="480"/>
        <w:jc w:val="left"/>
        <w:rPr>
          <w:rFonts w:ascii="仿宋_GB2312" w:hAnsi="仿宋" w:eastAsia="仿宋_GB2312" w:cs="仿宋_GB2312"/>
          <w:sz w:val="24"/>
        </w:rPr>
      </w:pPr>
      <w:r>
        <w:rPr>
          <w:rFonts w:hint="eastAsia" w:ascii="仿宋_GB2312" w:hAnsi="仿宋" w:eastAsia="仿宋_GB2312" w:cs="仿宋_GB2312"/>
          <w:sz w:val="24"/>
        </w:rPr>
        <w:t>（1）对系统使用人员、系统运行维护管理人员等不同对象制定培训计划。</w:t>
      </w:r>
    </w:p>
    <w:p>
      <w:pPr>
        <w:widowControl/>
        <w:shd w:val="clear" w:color="auto" w:fill="FFFFFF"/>
        <w:spacing w:line="360" w:lineRule="auto"/>
        <w:ind w:firstLine="480"/>
        <w:jc w:val="left"/>
        <w:rPr>
          <w:rFonts w:ascii="仿宋_GB2312" w:hAnsi="仿宋" w:eastAsia="仿宋_GB2312" w:cs="仿宋_GB2312"/>
          <w:sz w:val="24"/>
        </w:rPr>
      </w:pPr>
      <w:r>
        <w:rPr>
          <w:rFonts w:hint="eastAsia" w:ascii="仿宋_GB2312" w:hAnsi="仿宋" w:eastAsia="仿宋_GB2312" w:cs="仿宋_GB2312"/>
          <w:sz w:val="24"/>
        </w:rPr>
        <w:t>（2）面向采购人相关管理部门提供对应的操作培训及相应培训资料。</w:t>
      </w:r>
    </w:p>
    <w:p>
      <w:pPr>
        <w:widowControl/>
        <w:shd w:val="clear" w:color="auto" w:fill="FFFFFF"/>
        <w:spacing w:line="360" w:lineRule="auto"/>
        <w:ind w:firstLine="480"/>
        <w:jc w:val="left"/>
        <w:rPr>
          <w:rFonts w:ascii="仿宋_GB2312" w:hAnsi="仿宋" w:eastAsia="仿宋_GB2312" w:cs="仿宋_GB2312"/>
          <w:sz w:val="24"/>
        </w:rPr>
      </w:pPr>
      <w:r>
        <w:rPr>
          <w:rFonts w:hint="eastAsia" w:ascii="仿宋_GB2312" w:hAnsi="仿宋" w:eastAsia="仿宋_GB2312" w:cs="仿宋_GB2312"/>
          <w:sz w:val="24"/>
        </w:rPr>
        <w:t>（3）要求在项目终验前提供不少于两次在客户侧内免费集中培训。</w:t>
      </w:r>
    </w:p>
    <w:p>
      <w:pPr>
        <w:widowControl/>
        <w:shd w:val="clear" w:color="auto" w:fill="FFFFFF"/>
        <w:spacing w:line="360" w:lineRule="auto"/>
        <w:ind w:firstLine="480"/>
        <w:jc w:val="left"/>
        <w:rPr>
          <w:rFonts w:ascii="仿宋_GB2312" w:hAnsi="仿宋" w:eastAsia="仿宋_GB2312" w:cs="仿宋_GB2312"/>
          <w:sz w:val="24"/>
        </w:rPr>
      </w:pPr>
      <w:r>
        <w:rPr>
          <w:rFonts w:hint="eastAsia" w:ascii="仿宋_GB2312" w:hAnsi="仿宋" w:eastAsia="仿宋_GB2312" w:cs="仿宋_GB2312"/>
          <w:sz w:val="24"/>
        </w:rPr>
        <w:t>（4）培训涉及的所有费用由中标供应商承担。</w:t>
      </w:r>
    </w:p>
    <w:p>
      <w:pPr>
        <w:widowControl/>
        <w:shd w:val="clear" w:color="auto" w:fill="FFFFFF"/>
        <w:spacing w:line="360" w:lineRule="auto"/>
        <w:ind w:firstLine="480"/>
        <w:jc w:val="left"/>
        <w:rPr>
          <w:rFonts w:ascii="仿宋_GB2312" w:hAnsi="仿宋" w:eastAsia="仿宋_GB2312" w:cs="仿宋_GB2312"/>
          <w:sz w:val="24"/>
          <w:highlight w:val="yellow"/>
        </w:rPr>
      </w:pPr>
      <w:r>
        <w:rPr>
          <w:rFonts w:hint="eastAsia" w:ascii="仿宋_GB2312" w:hAnsi="仿宋" w:eastAsia="仿宋_GB2312" w:cs="仿宋_GB2312"/>
          <w:sz w:val="24"/>
          <w:highlight w:val="yellow"/>
        </w:rPr>
        <w:t>4、</w:t>
      </w:r>
      <w:r>
        <w:rPr>
          <w:rFonts w:hint="eastAsia" w:ascii="仿宋_GB2312" w:hAnsi="仿宋" w:eastAsia="仿宋_GB2312" w:cs="仿宋_GB2312"/>
          <w:b/>
          <w:bCs/>
          <w:sz w:val="24"/>
          <w:highlight w:val="yellow"/>
        </w:rPr>
        <w:t>质保期</w:t>
      </w:r>
      <w:r>
        <w:rPr>
          <w:rFonts w:hint="eastAsia" w:ascii="仿宋_GB2312" w:hAnsi="仿宋" w:eastAsia="仿宋_GB2312" w:cs="仿宋_GB2312"/>
          <w:sz w:val="24"/>
          <w:highlight w:val="yellow"/>
        </w:rPr>
        <w:t>：质保期为一年，自项目验收通过之日起算。</w:t>
      </w:r>
    </w:p>
    <w:p>
      <w:pPr>
        <w:widowControl/>
        <w:shd w:val="clear" w:color="auto" w:fill="FFFFFF"/>
        <w:spacing w:line="360" w:lineRule="auto"/>
        <w:ind w:firstLine="480"/>
        <w:jc w:val="left"/>
        <w:rPr>
          <w:rFonts w:ascii="仿宋_GB2312" w:hAnsi="仿宋" w:eastAsia="仿宋_GB2312" w:cs="仿宋_GB2312"/>
          <w:sz w:val="24"/>
          <w:highlight w:val="yellow"/>
        </w:rPr>
      </w:pPr>
      <w:r>
        <w:rPr>
          <w:rFonts w:hint="eastAsia" w:ascii="仿宋_GB2312" w:hAnsi="仿宋" w:eastAsia="仿宋_GB2312" w:cs="仿宋_GB2312"/>
          <w:sz w:val="24"/>
          <w:highlight w:val="yellow"/>
        </w:rPr>
        <w:t>5、中标人提供系统的二级等保认证测评。按《中华人民共和国网络安全法》、《关键信息基础设施保护条例》、《GB/T22239-2019 信息安全技术网络安全等级保护级别要求》等国家法律法规相关要求以及智慧工地监管平台自身安全需求，对本系统进行二级等保测评工作</w:t>
      </w:r>
    </w:p>
    <w:p>
      <w:pPr>
        <w:widowControl/>
        <w:shd w:val="clear" w:color="auto" w:fill="FFFFFF"/>
        <w:spacing w:line="360" w:lineRule="auto"/>
        <w:ind w:firstLine="480"/>
        <w:jc w:val="left"/>
        <w:rPr>
          <w:rFonts w:ascii="仿宋_GB2312" w:hAnsi="仿宋" w:eastAsia="仿宋_GB2312" w:cs="仿宋_GB2312"/>
          <w:sz w:val="24"/>
        </w:rPr>
      </w:pPr>
      <w:r>
        <w:rPr>
          <w:rFonts w:hint="eastAsia" w:ascii="仿宋_GB2312" w:hAnsi="仿宋" w:eastAsia="仿宋_GB2312" w:cs="仿宋_GB2312"/>
          <w:sz w:val="24"/>
          <w:highlight w:val="yellow"/>
        </w:rPr>
        <w:t>6</w:t>
      </w:r>
      <w:r>
        <w:rPr>
          <w:rFonts w:hint="eastAsia" w:ascii="仿宋_GB2312" w:hAnsi="仿宋" w:eastAsia="仿宋_GB2312" w:cs="仿宋_GB2312"/>
          <w:sz w:val="24"/>
        </w:rPr>
        <w:t>、</w:t>
      </w:r>
      <w:r>
        <w:rPr>
          <w:rFonts w:hint="eastAsia" w:ascii="仿宋_GB2312" w:hAnsi="仿宋" w:eastAsia="仿宋_GB2312" w:cs="仿宋_GB2312"/>
          <w:b/>
          <w:bCs/>
          <w:sz w:val="24"/>
        </w:rPr>
        <w:t>售后服务</w:t>
      </w:r>
      <w:r>
        <w:rPr>
          <w:rFonts w:hint="eastAsia" w:ascii="仿宋_GB2312" w:hAnsi="仿宋" w:eastAsia="仿宋_GB2312" w:cs="仿宋_GB2312"/>
          <w:sz w:val="24"/>
        </w:rPr>
        <w:t>：</w:t>
      </w:r>
    </w:p>
    <w:p>
      <w:pPr>
        <w:widowControl/>
        <w:shd w:val="clear" w:color="auto" w:fill="FFFFFF"/>
        <w:spacing w:line="360" w:lineRule="auto"/>
        <w:ind w:firstLine="480"/>
        <w:jc w:val="left"/>
        <w:rPr>
          <w:rFonts w:ascii="仿宋_GB2312" w:hAnsi="仿宋" w:eastAsia="仿宋_GB2312" w:cs="仿宋_GB2312"/>
          <w:sz w:val="24"/>
        </w:rPr>
      </w:pPr>
      <w:r>
        <w:rPr>
          <w:rFonts w:hint="eastAsia" w:ascii="仿宋_GB2312" w:hAnsi="仿宋" w:eastAsia="仿宋_GB2312" w:cs="仿宋_GB2312"/>
          <w:sz w:val="24"/>
        </w:rPr>
        <w:t>（1）在质保期内供应商必须为最终用户提供技术服务热线专用号码（7*24小时），负责解答用户在设备使用中遇到的问题，并及时提出解决问题的建议和操作方法。技术服务热线支持应是中文服务。</w:t>
      </w:r>
    </w:p>
    <w:p>
      <w:pPr>
        <w:widowControl/>
        <w:shd w:val="clear" w:color="auto" w:fill="FFFFFF"/>
        <w:spacing w:line="360" w:lineRule="auto"/>
        <w:ind w:firstLine="480"/>
        <w:jc w:val="left"/>
        <w:rPr>
          <w:rFonts w:ascii="仿宋_GB2312" w:hAnsi="仿宋" w:eastAsia="仿宋_GB2312" w:cs="仿宋_GB2312"/>
          <w:sz w:val="24"/>
        </w:rPr>
      </w:pPr>
      <w:r>
        <w:rPr>
          <w:rFonts w:hint="eastAsia" w:ascii="仿宋_GB2312" w:hAnsi="仿宋" w:eastAsia="仿宋_GB2312" w:cs="仿宋_GB2312"/>
          <w:sz w:val="24"/>
        </w:rPr>
        <w:t>（2）质保期内负责检测、排除本项目涉及的系统软件故障，恢复设系统运行。</w:t>
      </w:r>
    </w:p>
    <w:p>
      <w:pPr>
        <w:widowControl/>
        <w:shd w:val="clear" w:color="auto" w:fill="FFFFFF"/>
        <w:spacing w:line="360" w:lineRule="auto"/>
        <w:ind w:firstLine="480"/>
        <w:jc w:val="left"/>
        <w:rPr>
          <w:rFonts w:ascii="仿宋_GB2312" w:hAnsi="仿宋" w:eastAsia="仿宋_GB2312" w:cs="仿宋_GB2312"/>
          <w:sz w:val="24"/>
        </w:rPr>
      </w:pPr>
      <w:r>
        <w:rPr>
          <w:rFonts w:hint="eastAsia" w:ascii="仿宋_GB2312" w:hAnsi="仿宋" w:eastAsia="仿宋_GB2312" w:cs="仿宋_GB2312"/>
          <w:sz w:val="24"/>
        </w:rPr>
        <w:t>（3）提供的售后维护机构和人员等情况，具有较强的本地化服务能力：在本地是否拥有常驻服务和技术支持机构（非本地投标人在杭州是否有分公司或办事处或第三方服务机构作为常驻服务和技术支持机构）以及较强的专业技术队伍；能提供快速的售后服务响应，故障在30分钟内响应，2小时内解决问题；对于不能解决的，4小时内派人到达现场处理问题，故障原因在12小时内无法排除的，1个工作日内提交故障解决方案。</w:t>
      </w:r>
    </w:p>
    <w:p>
      <w:pPr>
        <w:widowControl/>
        <w:shd w:val="clear" w:color="auto" w:fill="FFFFFF"/>
        <w:spacing w:line="360" w:lineRule="auto"/>
        <w:ind w:firstLine="480"/>
        <w:jc w:val="left"/>
        <w:rPr>
          <w:rFonts w:ascii="仿宋_GB2312" w:hAnsi="仿宋" w:eastAsia="仿宋_GB2312" w:cs="仿宋_GB2312"/>
          <w:sz w:val="24"/>
        </w:rPr>
      </w:pPr>
      <w:r>
        <w:rPr>
          <w:rFonts w:hint="eastAsia" w:ascii="仿宋_GB2312" w:hAnsi="仿宋" w:eastAsia="仿宋_GB2312" w:cs="仿宋_GB2312"/>
          <w:sz w:val="24"/>
        </w:rPr>
        <w:t>（4）质保期内根据系统情况免费提供维护升级服务</w:t>
      </w:r>
    </w:p>
    <w:p>
      <w:pPr>
        <w:widowControl/>
        <w:shd w:val="clear" w:color="auto" w:fill="FFFFFF"/>
        <w:spacing w:line="360" w:lineRule="auto"/>
        <w:ind w:firstLine="480"/>
        <w:jc w:val="left"/>
        <w:rPr>
          <w:rFonts w:ascii="仿宋_GB2312" w:hAnsi="仿宋" w:eastAsia="仿宋_GB2312" w:cs="仿宋_GB2312"/>
          <w:sz w:val="24"/>
        </w:rPr>
      </w:pPr>
      <w:r>
        <w:rPr>
          <w:rFonts w:hint="eastAsia" w:ascii="仿宋_GB2312" w:hAnsi="仿宋" w:eastAsia="仿宋_GB2312" w:cs="仿宋_GB2312"/>
          <w:sz w:val="24"/>
        </w:rPr>
        <w:t>8、付款方法</w:t>
      </w:r>
    </w:p>
    <w:p>
      <w:pPr>
        <w:keepNext w:val="0"/>
        <w:keepLines w:val="0"/>
        <w:suppressLineNumbers w:val="0"/>
        <w:snapToGrid w:val="0"/>
        <w:spacing w:before="0" w:beforeAutospacing="0" w:after="0" w:afterAutospacing="0" w:line="360" w:lineRule="auto"/>
        <w:ind w:left="0" w:right="0" w:firstLine="480" w:firstLineChars="200"/>
        <w:rPr>
          <w:rFonts w:hint="eastAsia" w:ascii="仿宋" w:hAnsi="仿宋" w:eastAsia="仿宋" w:cs="仿宋"/>
          <w:kern w:val="2"/>
          <w:sz w:val="24"/>
          <w:szCs w:val="24"/>
          <w:highlight w:val="yellow"/>
          <w:lang w:val="en-US" w:eastAsia="zh-CN" w:bidi="ar-SA"/>
        </w:rPr>
      </w:pPr>
      <w:r>
        <w:rPr>
          <w:rFonts w:hint="eastAsia" w:ascii="仿宋" w:hAnsi="仿宋" w:eastAsia="仿宋" w:cs="仿宋"/>
          <w:kern w:val="2"/>
          <w:sz w:val="24"/>
          <w:szCs w:val="24"/>
          <w:highlight w:val="yellow"/>
          <w:lang w:val="en-US" w:eastAsia="zh-CN" w:bidi="ar-SA"/>
        </w:rPr>
        <w:t>1）合同生效后7个工作日内支付40%预付款。</w:t>
      </w:r>
    </w:p>
    <w:p>
      <w:pPr>
        <w:pStyle w:val="17"/>
        <w:snapToGrid w:val="0"/>
        <w:spacing w:line="360" w:lineRule="auto"/>
        <w:rPr>
          <w:rFonts w:hint="eastAsia" w:ascii="仿宋" w:hAnsi="仿宋" w:eastAsia="仿宋" w:cs="仿宋"/>
          <w:highlight w:val="yellow"/>
        </w:rPr>
      </w:pPr>
      <w:r>
        <w:rPr>
          <w:rFonts w:hint="eastAsia" w:ascii="仿宋" w:hAnsi="仿宋" w:eastAsia="仿宋" w:cs="仿宋"/>
          <w:kern w:val="2"/>
          <w:sz w:val="24"/>
          <w:szCs w:val="24"/>
          <w:highlight w:val="yellow"/>
          <w:lang w:val="en-US" w:eastAsia="zh-CN" w:bidi="ar-SA"/>
        </w:rPr>
        <w:t>2）本项目验收通过并经采购单位确认后于7个工作日内支</w:t>
      </w:r>
      <w:r>
        <w:rPr>
          <w:rFonts w:hint="eastAsia" w:ascii="仿宋" w:hAnsi="仿宋" w:eastAsia="仿宋" w:cs="仿宋"/>
          <w:highlight w:val="yellow"/>
        </w:rPr>
        <w:t>付合同额的50%；</w:t>
      </w:r>
    </w:p>
    <w:p>
      <w:pPr>
        <w:pStyle w:val="17"/>
        <w:snapToGrid w:val="0"/>
        <w:spacing w:line="360" w:lineRule="auto"/>
        <w:rPr>
          <w:rFonts w:ascii="仿宋" w:hAnsi="仿宋" w:eastAsia="仿宋" w:cs="仿宋"/>
          <w:highlight w:val="yellow"/>
        </w:rPr>
      </w:pPr>
      <w:r>
        <w:rPr>
          <w:rFonts w:hint="eastAsia" w:ascii="仿宋" w:hAnsi="仿宋" w:eastAsia="仿宋" w:cs="仿宋"/>
          <w:highlight w:val="yellow"/>
          <w:lang w:val="en-US" w:eastAsia="zh-CN"/>
        </w:rPr>
        <w:t>3）</w:t>
      </w:r>
      <w:r>
        <w:rPr>
          <w:rFonts w:hint="eastAsia" w:ascii="仿宋" w:hAnsi="仿宋" w:eastAsia="仿宋" w:cs="仿宋"/>
          <w:highlight w:val="yellow"/>
        </w:rPr>
        <w:t>质保期到期</w:t>
      </w:r>
      <w:r>
        <w:rPr>
          <w:rFonts w:hint="eastAsia" w:ascii="仿宋" w:hAnsi="仿宋" w:eastAsia="仿宋" w:cs="仿宋"/>
          <w:highlight w:val="yellow"/>
          <w:lang w:val="en-US" w:eastAsia="zh-CN"/>
        </w:rPr>
        <w:t>后</w:t>
      </w:r>
      <w:r>
        <w:rPr>
          <w:rFonts w:hint="eastAsia" w:ascii="仿宋" w:hAnsi="仿宋" w:eastAsia="仿宋" w:cs="仿宋"/>
          <w:highlight w:val="yellow"/>
        </w:rPr>
        <w:t>，支付合同额的10%。</w:t>
      </w:r>
    </w:p>
    <w:p>
      <w:pPr>
        <w:pStyle w:val="17"/>
        <w:snapToGrid w:val="0"/>
        <w:spacing w:line="360" w:lineRule="auto"/>
        <w:ind w:firstLine="0" w:firstLineChars="0"/>
        <w:rPr>
          <w:rFonts w:ascii="仿宋" w:hAnsi="仿宋" w:eastAsia="仿宋" w:cs="仿宋"/>
        </w:rPr>
      </w:pPr>
      <w:r>
        <w:rPr>
          <w:rFonts w:hint="eastAsia" w:ascii="仿宋" w:hAnsi="仿宋" w:eastAsia="仿宋" w:cs="仿宋"/>
          <w:b/>
          <w:bCs/>
        </w:rPr>
        <w:t>注：</w:t>
      </w:r>
      <w:r>
        <w:rPr>
          <w:rFonts w:hint="eastAsia" w:ascii="仿宋" w:hAnsi="仿宋" w:eastAsia="仿宋" w:cs="仿宋"/>
        </w:rPr>
        <w:t>（1）如在项目运维期内，项目运行出现问题，乙方不及时解决的，甲方每次将按合同总价的万分之一予以处罚，如乙方不予以交纳处罚的，甲方将上报主管部门处理。</w:t>
      </w:r>
    </w:p>
    <w:p>
      <w:pPr>
        <w:pStyle w:val="17"/>
        <w:snapToGrid w:val="0"/>
        <w:spacing w:line="360" w:lineRule="auto"/>
        <w:rPr>
          <w:rFonts w:ascii="仿宋" w:hAnsi="仿宋" w:eastAsia="仿宋" w:cs="仿宋"/>
        </w:rPr>
      </w:pPr>
      <w:r>
        <w:rPr>
          <w:rFonts w:hint="eastAsia" w:ascii="仿宋" w:hAnsi="仿宋" w:eastAsia="仿宋" w:cs="仿宋"/>
        </w:rPr>
        <w:t>（2）合同履行完毕，需方根据合同进行验收，验收合格后供应商按财政结算要求办理货款结算手续。</w:t>
      </w:r>
    </w:p>
    <w:p>
      <w:pPr>
        <w:spacing w:line="360" w:lineRule="auto"/>
        <w:ind w:left="479" w:leftChars="228"/>
        <w:rPr>
          <w:rFonts w:ascii="仿宋" w:hAnsi="仿宋" w:eastAsia="仿宋" w:cs="仿宋"/>
          <w:sz w:val="24"/>
        </w:rPr>
      </w:pPr>
      <w:r>
        <w:rPr>
          <w:rFonts w:hint="eastAsia" w:ascii="仿宋" w:hAnsi="仿宋" w:eastAsia="仿宋" w:cs="仿宋"/>
          <w:sz w:val="24"/>
        </w:rPr>
        <w:t>（3）在甲方支付合同款的同时，乙方向甲方开具相应金额的增值税发票。</w:t>
      </w:r>
    </w:p>
    <w:p>
      <w:pPr>
        <w:pStyle w:val="4"/>
        <w:rPr>
          <w:rFonts w:ascii="仿宋" w:eastAsia="仿宋" w:cs="仿宋"/>
          <w:bCs w:val="0"/>
          <w:sz w:val="28"/>
          <w:szCs w:val="28"/>
          <w:lang w:val="en-US"/>
        </w:rPr>
      </w:pPr>
    </w:p>
    <w:p>
      <w:pPr>
        <w:pStyle w:val="4"/>
        <w:rPr>
          <w:lang w:val="en-US"/>
        </w:rPr>
      </w:pPr>
    </w:p>
    <w:p>
      <w:pPr>
        <w:widowControl/>
        <w:shd w:val="clear" w:color="auto" w:fill="FFFFFF"/>
        <w:spacing w:line="360" w:lineRule="auto"/>
        <w:ind w:firstLine="480"/>
        <w:jc w:val="left"/>
        <w:rPr>
          <w:rFonts w:ascii="仿宋_GB2312" w:hAnsi="仿宋" w:eastAsia="仿宋_GB2312" w:cs="仿宋_GB2312"/>
          <w:sz w:val="24"/>
        </w:rPr>
      </w:pPr>
    </w:p>
    <w:p>
      <w:pPr>
        <w:widowControl/>
        <w:shd w:val="clear" w:color="auto" w:fill="FFFFFF"/>
        <w:spacing w:line="360" w:lineRule="auto"/>
        <w:ind w:firstLine="480"/>
        <w:jc w:val="left"/>
        <w:rPr>
          <w:rFonts w:ascii="仿宋_GB2312" w:hAnsi="仿宋" w:eastAsia="仿宋_GB2312" w:cs="仿宋_GB2312"/>
          <w:sz w:val="24"/>
        </w:rPr>
        <w:sectPr>
          <w:pgSz w:w="11906" w:h="16838"/>
          <w:pgMar w:top="1276" w:right="1418" w:bottom="1247" w:left="1418" w:header="851" w:footer="992" w:gutter="0"/>
          <w:cols w:space="720" w:num="1"/>
          <w:titlePg/>
          <w:docGrid w:linePitch="312" w:charSpace="0"/>
        </w:sectPr>
      </w:pPr>
    </w:p>
    <w:bookmarkEnd w:id="29"/>
    <w:p>
      <w:pPr>
        <w:snapToGrid w:val="0"/>
        <w:spacing w:line="360" w:lineRule="auto"/>
        <w:jc w:val="center"/>
        <w:rPr>
          <w:rFonts w:ascii="仿宋" w:hAnsi="仿宋" w:eastAsia="仿宋" w:cs="仿宋_GB2312"/>
          <w:b/>
          <w:sz w:val="36"/>
          <w:szCs w:val="36"/>
        </w:rPr>
      </w:pPr>
      <w:r>
        <w:rPr>
          <w:rFonts w:hint="eastAsia" w:ascii="仿宋" w:hAnsi="仿宋" w:eastAsia="仿宋" w:cs="仿宋_GB2312"/>
          <w:b/>
          <w:sz w:val="36"/>
          <w:szCs w:val="36"/>
        </w:rPr>
        <w:t>第四部分</w:t>
      </w:r>
      <w:bookmarkStart w:id="42" w:name="_Toc184310311"/>
      <w:bookmarkEnd w:id="42"/>
      <w:bookmarkStart w:id="43" w:name="_Toc184310327"/>
      <w:bookmarkEnd w:id="43"/>
      <w:bookmarkStart w:id="44" w:name="_Toc184312081"/>
      <w:bookmarkEnd w:id="44"/>
      <w:bookmarkStart w:id="45" w:name="_Toc184313276"/>
      <w:bookmarkEnd w:id="45"/>
      <w:bookmarkStart w:id="46" w:name="_Toc184313269"/>
      <w:bookmarkEnd w:id="46"/>
      <w:bookmarkStart w:id="47" w:name="_Toc184313257"/>
      <w:bookmarkEnd w:id="47"/>
      <w:bookmarkStart w:id="48" w:name="_Toc184310331"/>
      <w:bookmarkEnd w:id="48"/>
      <w:bookmarkStart w:id="49" w:name="_Toc184310289"/>
      <w:bookmarkEnd w:id="49"/>
      <w:bookmarkStart w:id="50" w:name="_Toc184310342"/>
      <w:bookmarkEnd w:id="50"/>
      <w:bookmarkStart w:id="51" w:name="_Toc184310292"/>
      <w:bookmarkEnd w:id="51"/>
      <w:bookmarkStart w:id="52" w:name="_Toc184314448"/>
      <w:bookmarkEnd w:id="52"/>
      <w:bookmarkStart w:id="53" w:name="_Toc184314456"/>
      <w:bookmarkEnd w:id="53"/>
      <w:bookmarkStart w:id="54" w:name="_Toc184314445"/>
      <w:bookmarkEnd w:id="54"/>
      <w:bookmarkStart w:id="55" w:name="_Toc184314449"/>
      <w:bookmarkEnd w:id="55"/>
      <w:bookmarkStart w:id="56" w:name="_Toc184310281"/>
      <w:bookmarkEnd w:id="56"/>
      <w:bookmarkStart w:id="57" w:name="_Toc184310309"/>
      <w:bookmarkEnd w:id="57"/>
      <w:bookmarkStart w:id="58" w:name="_Toc184312120"/>
      <w:bookmarkEnd w:id="58"/>
      <w:bookmarkStart w:id="59" w:name="_Toc184314473"/>
      <w:bookmarkEnd w:id="59"/>
      <w:bookmarkStart w:id="60" w:name="_Toc184308063"/>
      <w:bookmarkEnd w:id="60"/>
      <w:bookmarkStart w:id="61" w:name="_Toc184313241"/>
      <w:bookmarkEnd w:id="61"/>
      <w:bookmarkStart w:id="62" w:name="_Toc184312104"/>
      <w:bookmarkEnd w:id="62"/>
      <w:bookmarkStart w:id="63" w:name="_Toc184314472"/>
      <w:bookmarkEnd w:id="63"/>
      <w:bookmarkStart w:id="64" w:name="_Toc184313286"/>
      <w:bookmarkEnd w:id="64"/>
      <w:bookmarkStart w:id="65" w:name="_Toc184314432"/>
      <w:bookmarkEnd w:id="65"/>
      <w:bookmarkStart w:id="66" w:name="_Toc184314480"/>
      <w:bookmarkEnd w:id="66"/>
      <w:bookmarkStart w:id="67" w:name="_Toc184313293"/>
      <w:bookmarkEnd w:id="67"/>
      <w:bookmarkStart w:id="68" w:name="_Toc184310325"/>
      <w:bookmarkEnd w:id="68"/>
      <w:bookmarkStart w:id="69" w:name="_Toc184314429"/>
      <w:bookmarkEnd w:id="69"/>
      <w:bookmarkStart w:id="70" w:name="_Toc184310286"/>
      <w:bookmarkEnd w:id="70"/>
      <w:bookmarkStart w:id="71" w:name="_Toc184310316"/>
      <w:bookmarkEnd w:id="71"/>
      <w:bookmarkStart w:id="72" w:name="_Toc184313280"/>
      <w:bookmarkEnd w:id="72"/>
      <w:bookmarkStart w:id="73" w:name="_Toc184314457"/>
      <w:bookmarkEnd w:id="73"/>
      <w:bookmarkStart w:id="74" w:name="_Toc184313268"/>
      <w:bookmarkEnd w:id="74"/>
      <w:bookmarkStart w:id="75" w:name="_Toc184308037"/>
      <w:bookmarkEnd w:id="75"/>
      <w:bookmarkStart w:id="76" w:name="_Toc184308070"/>
      <w:bookmarkEnd w:id="76"/>
      <w:bookmarkStart w:id="77" w:name="_Toc184312099"/>
      <w:bookmarkEnd w:id="77"/>
      <w:bookmarkStart w:id="78" w:name="_Toc184314410"/>
      <w:bookmarkEnd w:id="78"/>
      <w:bookmarkStart w:id="79" w:name="_Toc184313242"/>
      <w:bookmarkEnd w:id="79"/>
      <w:bookmarkStart w:id="80" w:name="_Toc184312092"/>
      <w:bookmarkEnd w:id="80"/>
      <w:bookmarkStart w:id="81" w:name="_Toc184308060"/>
      <w:bookmarkEnd w:id="81"/>
      <w:bookmarkStart w:id="82" w:name="_Toc184314451"/>
      <w:bookmarkEnd w:id="82"/>
      <w:bookmarkStart w:id="83" w:name="_Toc184314422"/>
      <w:bookmarkEnd w:id="83"/>
      <w:bookmarkStart w:id="84" w:name="_Toc184313263"/>
      <w:bookmarkEnd w:id="84"/>
      <w:bookmarkStart w:id="85" w:name="_Toc184310333"/>
      <w:bookmarkEnd w:id="85"/>
      <w:bookmarkStart w:id="86" w:name="_Toc184312075"/>
      <w:bookmarkEnd w:id="86"/>
      <w:bookmarkStart w:id="87" w:name="_Toc184312069"/>
      <w:bookmarkEnd w:id="87"/>
      <w:bookmarkStart w:id="88" w:name="_Toc184312128"/>
      <w:bookmarkEnd w:id="88"/>
      <w:bookmarkStart w:id="89" w:name="_Toc184314452"/>
      <w:bookmarkEnd w:id="89"/>
      <w:bookmarkStart w:id="90" w:name="_Toc184310305"/>
      <w:bookmarkEnd w:id="90"/>
      <w:bookmarkStart w:id="91" w:name="_Toc184308088"/>
      <w:bookmarkEnd w:id="91"/>
      <w:bookmarkStart w:id="92" w:name="_Toc184310335"/>
      <w:bookmarkEnd w:id="92"/>
      <w:bookmarkStart w:id="93" w:name="_Toc184314416"/>
      <w:bookmarkEnd w:id="93"/>
      <w:bookmarkStart w:id="94" w:name="_Toc184310307"/>
      <w:bookmarkEnd w:id="94"/>
      <w:bookmarkStart w:id="95" w:name="_Toc184312131"/>
      <w:bookmarkEnd w:id="95"/>
      <w:bookmarkStart w:id="96" w:name="_Toc184308093"/>
      <w:bookmarkEnd w:id="96"/>
      <w:bookmarkStart w:id="97" w:name="_Toc184308077"/>
      <w:bookmarkEnd w:id="97"/>
      <w:bookmarkStart w:id="98" w:name="_Toc184313288"/>
      <w:bookmarkEnd w:id="98"/>
      <w:bookmarkStart w:id="99" w:name="_Toc184314434"/>
      <w:bookmarkEnd w:id="99"/>
      <w:bookmarkStart w:id="100" w:name="_Toc184314430"/>
      <w:bookmarkEnd w:id="100"/>
      <w:bookmarkStart w:id="101" w:name="_Toc184313272"/>
      <w:bookmarkEnd w:id="101"/>
      <w:bookmarkStart w:id="102" w:name="_Toc184313262"/>
      <w:bookmarkEnd w:id="102"/>
      <w:bookmarkStart w:id="103" w:name="_Toc184314437"/>
      <w:bookmarkEnd w:id="103"/>
      <w:bookmarkStart w:id="104" w:name="_Toc184310291"/>
      <w:bookmarkEnd w:id="104"/>
      <w:bookmarkStart w:id="105" w:name="_Toc184312095"/>
      <w:bookmarkEnd w:id="105"/>
      <w:bookmarkStart w:id="106" w:name="_Toc184308049"/>
      <w:bookmarkEnd w:id="106"/>
      <w:bookmarkStart w:id="107" w:name="_Toc184313300"/>
      <w:bookmarkEnd w:id="107"/>
      <w:bookmarkStart w:id="108" w:name="_Toc184310290"/>
      <w:bookmarkEnd w:id="108"/>
      <w:bookmarkStart w:id="109" w:name="_Toc184308055"/>
      <w:bookmarkEnd w:id="109"/>
      <w:bookmarkStart w:id="110" w:name="_Toc184308086"/>
      <w:bookmarkEnd w:id="110"/>
      <w:bookmarkStart w:id="111" w:name="_Toc184314466"/>
      <w:bookmarkEnd w:id="111"/>
      <w:bookmarkStart w:id="112" w:name="_Toc184312112"/>
      <w:bookmarkEnd w:id="112"/>
      <w:bookmarkStart w:id="113" w:name="_Toc184314435"/>
      <w:bookmarkEnd w:id="113"/>
      <w:bookmarkStart w:id="114" w:name="_Toc184308054"/>
      <w:bookmarkEnd w:id="114"/>
      <w:bookmarkStart w:id="115" w:name="_Toc184313292"/>
      <w:bookmarkEnd w:id="115"/>
      <w:bookmarkStart w:id="116" w:name="_Toc184313297"/>
      <w:bookmarkEnd w:id="116"/>
      <w:bookmarkStart w:id="117" w:name="_Toc184313287"/>
      <w:bookmarkEnd w:id="117"/>
      <w:bookmarkStart w:id="118" w:name="_Toc184308081"/>
      <w:bookmarkEnd w:id="118"/>
      <w:bookmarkStart w:id="119" w:name="_Toc184310303"/>
      <w:bookmarkEnd w:id="119"/>
      <w:bookmarkStart w:id="120" w:name="_Toc184310278"/>
      <w:bookmarkEnd w:id="120"/>
      <w:bookmarkStart w:id="121" w:name="_Toc184313239"/>
      <w:bookmarkEnd w:id="121"/>
      <w:bookmarkStart w:id="122" w:name="_Toc184308097"/>
      <w:bookmarkEnd w:id="122"/>
      <w:bookmarkStart w:id="123" w:name="_Toc184308068"/>
      <w:bookmarkEnd w:id="123"/>
      <w:bookmarkStart w:id="124" w:name="_Toc184313304"/>
      <w:bookmarkEnd w:id="124"/>
      <w:bookmarkStart w:id="125" w:name="_Toc184312085"/>
      <w:bookmarkEnd w:id="125"/>
      <w:bookmarkStart w:id="126" w:name="_Toc184314461"/>
      <w:bookmarkEnd w:id="126"/>
      <w:bookmarkStart w:id="127" w:name="_Toc184313253"/>
      <w:bookmarkEnd w:id="127"/>
      <w:bookmarkStart w:id="128" w:name="_Toc184312109"/>
      <w:bookmarkEnd w:id="128"/>
      <w:bookmarkStart w:id="129" w:name="_Toc184310310"/>
      <w:bookmarkEnd w:id="129"/>
      <w:bookmarkStart w:id="130" w:name="_Toc184312072"/>
      <w:bookmarkEnd w:id="130"/>
      <w:bookmarkStart w:id="131" w:name="_Toc184313295"/>
      <w:bookmarkEnd w:id="131"/>
      <w:bookmarkStart w:id="132" w:name="_Toc184314478"/>
      <w:bookmarkEnd w:id="132"/>
      <w:bookmarkStart w:id="133" w:name="_Toc184313298"/>
      <w:bookmarkEnd w:id="133"/>
      <w:bookmarkStart w:id="134" w:name="_Toc184313249"/>
      <w:bookmarkEnd w:id="134"/>
      <w:bookmarkStart w:id="135" w:name="_Toc184310274"/>
      <w:bookmarkEnd w:id="135"/>
      <w:bookmarkStart w:id="136" w:name="_Toc184314439"/>
      <w:bookmarkEnd w:id="136"/>
      <w:bookmarkStart w:id="137" w:name="_Toc184314418"/>
      <w:bookmarkEnd w:id="137"/>
      <w:bookmarkStart w:id="138" w:name="_Toc184313283"/>
      <w:bookmarkEnd w:id="138"/>
      <w:bookmarkStart w:id="139" w:name="_Toc184314444"/>
      <w:bookmarkEnd w:id="139"/>
      <w:bookmarkStart w:id="140" w:name="_Toc184308045"/>
      <w:bookmarkEnd w:id="140"/>
      <w:bookmarkStart w:id="141" w:name="_Toc184312079"/>
      <w:bookmarkEnd w:id="141"/>
      <w:bookmarkStart w:id="142" w:name="_Toc184308047"/>
      <w:bookmarkEnd w:id="142"/>
      <w:bookmarkStart w:id="143" w:name="_Toc184312102"/>
      <w:bookmarkEnd w:id="143"/>
      <w:bookmarkStart w:id="144" w:name="_Toc184310312"/>
      <w:bookmarkEnd w:id="144"/>
      <w:bookmarkStart w:id="145" w:name="_Toc184313299"/>
      <w:bookmarkEnd w:id="145"/>
      <w:bookmarkStart w:id="146" w:name="_Toc184313308"/>
      <w:bookmarkEnd w:id="146"/>
      <w:bookmarkStart w:id="147" w:name="_Toc184308053"/>
      <w:bookmarkEnd w:id="147"/>
      <w:bookmarkStart w:id="148" w:name="_Toc184308092"/>
      <w:bookmarkEnd w:id="148"/>
      <w:bookmarkStart w:id="149" w:name="_Toc184308067"/>
      <w:bookmarkEnd w:id="149"/>
      <w:bookmarkStart w:id="150" w:name="_Toc184313244"/>
      <w:bookmarkEnd w:id="150"/>
      <w:bookmarkStart w:id="151" w:name="_Toc184314465"/>
      <w:bookmarkEnd w:id="151"/>
      <w:bookmarkStart w:id="152" w:name="_Toc184312080"/>
      <w:bookmarkEnd w:id="152"/>
      <w:bookmarkStart w:id="153" w:name="_Toc184312137"/>
      <w:bookmarkEnd w:id="153"/>
      <w:bookmarkStart w:id="154" w:name="_Toc184308094"/>
      <w:bookmarkEnd w:id="154"/>
      <w:bookmarkStart w:id="155" w:name="_Toc184308041"/>
      <w:bookmarkEnd w:id="155"/>
      <w:bookmarkStart w:id="156" w:name="_Toc184310334"/>
      <w:bookmarkEnd w:id="156"/>
      <w:bookmarkStart w:id="157" w:name="_Toc184308048"/>
      <w:bookmarkEnd w:id="157"/>
      <w:bookmarkStart w:id="158" w:name="_Toc184314479"/>
      <w:bookmarkEnd w:id="158"/>
      <w:bookmarkStart w:id="159" w:name="_Toc184313267"/>
      <w:bookmarkEnd w:id="159"/>
      <w:bookmarkStart w:id="160" w:name="_Toc184308082"/>
      <w:bookmarkEnd w:id="160"/>
      <w:bookmarkStart w:id="161" w:name="_Toc184308104"/>
      <w:bookmarkEnd w:id="161"/>
      <w:bookmarkStart w:id="162" w:name="_Toc184314447"/>
      <w:bookmarkEnd w:id="162"/>
      <w:bookmarkStart w:id="163" w:name="_Toc184308089"/>
      <w:bookmarkEnd w:id="163"/>
      <w:bookmarkStart w:id="164" w:name="_Toc184313248"/>
      <w:bookmarkEnd w:id="164"/>
      <w:bookmarkStart w:id="165" w:name="_Toc184312106"/>
      <w:bookmarkEnd w:id="165"/>
      <w:bookmarkStart w:id="166" w:name="_Toc184308044"/>
      <w:bookmarkEnd w:id="166"/>
      <w:bookmarkStart w:id="167" w:name="_Toc184312098"/>
      <w:bookmarkEnd w:id="167"/>
      <w:bookmarkStart w:id="168" w:name="_Toc184308078"/>
      <w:bookmarkEnd w:id="168"/>
      <w:bookmarkStart w:id="169" w:name="_Toc184308107"/>
      <w:bookmarkEnd w:id="169"/>
      <w:bookmarkStart w:id="170" w:name="_Toc184308102"/>
      <w:bookmarkEnd w:id="170"/>
      <w:bookmarkStart w:id="171" w:name="_Toc184310275"/>
      <w:bookmarkEnd w:id="171"/>
      <w:bookmarkStart w:id="172" w:name="_Toc184310337"/>
      <w:bookmarkEnd w:id="172"/>
      <w:bookmarkStart w:id="173" w:name="_Toc184313240"/>
      <w:bookmarkEnd w:id="173"/>
      <w:bookmarkStart w:id="174" w:name="_Toc184310323"/>
      <w:bookmarkEnd w:id="174"/>
      <w:bookmarkStart w:id="175" w:name="_Toc184314421"/>
      <w:bookmarkEnd w:id="175"/>
      <w:bookmarkStart w:id="176" w:name="_Toc184313260"/>
      <w:bookmarkEnd w:id="176"/>
      <w:bookmarkStart w:id="177" w:name="_Toc184312105"/>
      <w:bookmarkEnd w:id="177"/>
      <w:bookmarkStart w:id="178" w:name="_Toc184310328"/>
      <w:bookmarkEnd w:id="178"/>
      <w:bookmarkStart w:id="179" w:name="_Toc184310283"/>
      <w:bookmarkEnd w:id="179"/>
      <w:bookmarkStart w:id="180" w:name="_Toc184308062"/>
      <w:bookmarkEnd w:id="180"/>
      <w:bookmarkStart w:id="181" w:name="_Toc184314411"/>
      <w:bookmarkEnd w:id="181"/>
      <w:bookmarkStart w:id="182" w:name="_Toc184312090"/>
      <w:bookmarkEnd w:id="182"/>
      <w:bookmarkStart w:id="183" w:name="_Toc184310272"/>
      <w:bookmarkEnd w:id="183"/>
      <w:bookmarkStart w:id="184" w:name="_Toc184312097"/>
      <w:bookmarkEnd w:id="184"/>
      <w:bookmarkStart w:id="185" w:name="_Toc184310313"/>
      <w:bookmarkEnd w:id="185"/>
      <w:bookmarkStart w:id="186" w:name="_Toc184313261"/>
      <w:bookmarkEnd w:id="186"/>
      <w:bookmarkStart w:id="187" w:name="_Toc184312084"/>
      <w:bookmarkEnd w:id="187"/>
      <w:bookmarkStart w:id="188" w:name="_Toc184308050"/>
      <w:bookmarkEnd w:id="188"/>
      <w:bookmarkStart w:id="189" w:name="_Toc184312125"/>
      <w:bookmarkEnd w:id="189"/>
      <w:bookmarkStart w:id="190" w:name="_Toc184313250"/>
      <w:bookmarkEnd w:id="190"/>
      <w:bookmarkStart w:id="191" w:name="_Toc184308083"/>
      <w:bookmarkEnd w:id="191"/>
      <w:bookmarkStart w:id="192" w:name="_Toc184312068"/>
      <w:bookmarkEnd w:id="192"/>
      <w:bookmarkStart w:id="193" w:name="_Toc184314470"/>
      <w:bookmarkEnd w:id="193"/>
      <w:bookmarkStart w:id="194" w:name="_Toc184313258"/>
      <w:bookmarkEnd w:id="194"/>
      <w:bookmarkStart w:id="195" w:name="_Toc184314415"/>
      <w:bookmarkEnd w:id="195"/>
      <w:bookmarkStart w:id="196" w:name="_Toc184308038"/>
      <w:bookmarkEnd w:id="196"/>
      <w:bookmarkStart w:id="197" w:name="_Toc184308039"/>
      <w:bookmarkEnd w:id="197"/>
      <w:bookmarkStart w:id="198" w:name="_Toc184312119"/>
      <w:bookmarkEnd w:id="198"/>
      <w:bookmarkStart w:id="199" w:name="_Toc184312115"/>
      <w:bookmarkEnd w:id="199"/>
      <w:bookmarkStart w:id="200" w:name="_Toc184310282"/>
      <w:bookmarkEnd w:id="200"/>
      <w:bookmarkStart w:id="201" w:name="_Toc184312111"/>
      <w:bookmarkEnd w:id="201"/>
      <w:bookmarkStart w:id="202" w:name="_Toc184308042"/>
      <w:bookmarkEnd w:id="202"/>
      <w:bookmarkStart w:id="203" w:name="_Toc184312118"/>
      <w:bookmarkEnd w:id="203"/>
      <w:bookmarkStart w:id="204" w:name="_Toc184314482"/>
      <w:bookmarkEnd w:id="204"/>
      <w:bookmarkStart w:id="205" w:name="_Toc184313251"/>
      <w:bookmarkEnd w:id="205"/>
      <w:bookmarkStart w:id="206" w:name="_Toc184313255"/>
      <w:bookmarkEnd w:id="206"/>
      <w:bookmarkStart w:id="207" w:name="_Toc184310319"/>
      <w:bookmarkEnd w:id="207"/>
      <w:bookmarkStart w:id="208" w:name="_Toc184313281"/>
      <w:bookmarkEnd w:id="208"/>
      <w:bookmarkStart w:id="209" w:name="_Toc184308103"/>
      <w:bookmarkEnd w:id="209"/>
      <w:bookmarkStart w:id="210" w:name="_Toc184308036"/>
      <w:bookmarkEnd w:id="210"/>
      <w:bookmarkStart w:id="211" w:name="_Toc184310322"/>
      <w:bookmarkEnd w:id="211"/>
      <w:bookmarkStart w:id="212" w:name="_Toc184310284"/>
      <w:bookmarkEnd w:id="212"/>
      <w:bookmarkStart w:id="213" w:name="_Toc184313254"/>
      <w:bookmarkEnd w:id="213"/>
      <w:bookmarkStart w:id="214" w:name="_Toc184310297"/>
      <w:bookmarkEnd w:id="214"/>
      <w:bookmarkStart w:id="215" w:name="_Toc184312124"/>
      <w:bookmarkEnd w:id="215"/>
      <w:bookmarkStart w:id="216" w:name="_Toc184312138"/>
      <w:bookmarkEnd w:id="216"/>
      <w:bookmarkStart w:id="217" w:name="_Toc184314458"/>
      <w:bookmarkEnd w:id="217"/>
      <w:bookmarkStart w:id="218" w:name="_Toc184310339"/>
      <w:bookmarkEnd w:id="218"/>
      <w:bookmarkStart w:id="219" w:name="_Toc184312089"/>
      <w:bookmarkEnd w:id="219"/>
      <w:bookmarkStart w:id="220" w:name="_Toc184314443"/>
      <w:bookmarkEnd w:id="220"/>
      <w:bookmarkStart w:id="221" w:name="_Toc184314467"/>
      <w:bookmarkEnd w:id="221"/>
      <w:bookmarkStart w:id="222" w:name="_Toc184310273"/>
      <w:bookmarkEnd w:id="222"/>
      <w:bookmarkStart w:id="223" w:name="_Toc184313275"/>
      <w:bookmarkEnd w:id="223"/>
      <w:bookmarkStart w:id="224" w:name="_Toc184308076"/>
      <w:bookmarkEnd w:id="224"/>
      <w:bookmarkStart w:id="225" w:name="_Toc184312135"/>
      <w:bookmarkEnd w:id="225"/>
      <w:bookmarkStart w:id="226" w:name="_Toc184312073"/>
      <w:bookmarkEnd w:id="226"/>
      <w:bookmarkStart w:id="227" w:name="_Toc184314464"/>
      <w:bookmarkEnd w:id="227"/>
      <w:bookmarkStart w:id="228" w:name="_Toc184308106"/>
      <w:bookmarkEnd w:id="228"/>
      <w:bookmarkStart w:id="229" w:name="_Toc184308059"/>
      <w:bookmarkEnd w:id="229"/>
      <w:bookmarkStart w:id="230" w:name="_Toc184313265"/>
      <w:bookmarkEnd w:id="230"/>
      <w:bookmarkStart w:id="231" w:name="_Toc184313289"/>
      <w:bookmarkEnd w:id="231"/>
      <w:bookmarkStart w:id="232" w:name="_Toc184308095"/>
      <w:bookmarkEnd w:id="232"/>
      <w:bookmarkStart w:id="233" w:name="_Toc184313282"/>
      <w:bookmarkEnd w:id="233"/>
      <w:bookmarkStart w:id="234" w:name="_Toc184310296"/>
      <w:bookmarkEnd w:id="234"/>
      <w:bookmarkStart w:id="235" w:name="_Toc184314438"/>
      <w:bookmarkEnd w:id="235"/>
      <w:bookmarkStart w:id="236" w:name="_Toc184308080"/>
      <w:bookmarkEnd w:id="236"/>
      <w:bookmarkStart w:id="237" w:name="_Toc184308101"/>
      <w:bookmarkEnd w:id="237"/>
      <w:bookmarkStart w:id="238" w:name="_Toc184313259"/>
      <w:bookmarkEnd w:id="238"/>
      <w:bookmarkStart w:id="239" w:name="_Toc184308065"/>
      <w:bookmarkEnd w:id="239"/>
      <w:bookmarkStart w:id="240" w:name="_Toc184310279"/>
      <w:bookmarkEnd w:id="240"/>
      <w:bookmarkStart w:id="241" w:name="_Toc184308079"/>
      <w:bookmarkEnd w:id="241"/>
      <w:bookmarkStart w:id="242" w:name="_Toc184314433"/>
      <w:bookmarkEnd w:id="242"/>
      <w:bookmarkStart w:id="243" w:name="_Toc184313274"/>
      <w:bookmarkEnd w:id="243"/>
      <w:bookmarkStart w:id="244" w:name="_Toc184314475"/>
      <w:bookmarkEnd w:id="244"/>
      <w:bookmarkStart w:id="245" w:name="_Toc184312086"/>
      <w:bookmarkEnd w:id="245"/>
      <w:bookmarkStart w:id="246" w:name="_Toc184308090"/>
      <w:bookmarkEnd w:id="246"/>
      <w:bookmarkStart w:id="247" w:name="_Toc184310317"/>
      <w:bookmarkEnd w:id="247"/>
      <w:bookmarkStart w:id="248" w:name="_Toc184314431"/>
      <w:bookmarkEnd w:id="248"/>
      <w:bookmarkStart w:id="249" w:name="_Toc184313291"/>
      <w:bookmarkEnd w:id="249"/>
      <w:bookmarkStart w:id="250" w:name="_Toc184308096"/>
      <w:bookmarkEnd w:id="250"/>
      <w:bookmarkStart w:id="251" w:name="_Toc184313294"/>
      <w:bookmarkEnd w:id="251"/>
      <w:bookmarkStart w:id="252" w:name="_Toc184310285"/>
      <w:bookmarkEnd w:id="252"/>
      <w:bookmarkStart w:id="253" w:name="_Toc184312074"/>
      <w:bookmarkEnd w:id="253"/>
      <w:bookmarkStart w:id="254" w:name="_Toc184310298"/>
      <w:bookmarkEnd w:id="254"/>
      <w:bookmarkStart w:id="255" w:name="_Toc184313247"/>
      <w:bookmarkEnd w:id="255"/>
      <w:bookmarkStart w:id="256" w:name="_Toc184312076"/>
      <w:bookmarkEnd w:id="256"/>
      <w:bookmarkStart w:id="257" w:name="_Toc184308075"/>
      <w:bookmarkEnd w:id="257"/>
      <w:bookmarkStart w:id="258" w:name="_Toc184312136"/>
      <w:bookmarkEnd w:id="258"/>
      <w:bookmarkStart w:id="259" w:name="_Toc184308058"/>
      <w:bookmarkEnd w:id="259"/>
      <w:bookmarkStart w:id="260" w:name="_Toc184313245"/>
      <w:bookmarkEnd w:id="260"/>
      <w:bookmarkStart w:id="261" w:name="_Toc184308091"/>
      <w:bookmarkEnd w:id="261"/>
      <w:bookmarkStart w:id="262" w:name="_Toc184312121"/>
      <w:bookmarkEnd w:id="262"/>
      <w:bookmarkStart w:id="263" w:name="_Toc184310276"/>
      <w:bookmarkEnd w:id="263"/>
      <w:bookmarkStart w:id="264" w:name="_Toc184314417"/>
      <w:bookmarkEnd w:id="264"/>
      <w:bookmarkStart w:id="265" w:name="_Toc184310340"/>
      <w:bookmarkEnd w:id="265"/>
      <w:bookmarkStart w:id="266" w:name="_Toc184308066"/>
      <w:bookmarkEnd w:id="266"/>
      <w:bookmarkStart w:id="267" w:name="_Toc184314427"/>
      <w:bookmarkEnd w:id="267"/>
      <w:bookmarkStart w:id="268" w:name="_Toc184314453"/>
      <w:bookmarkEnd w:id="268"/>
      <w:bookmarkStart w:id="269" w:name="_Toc184314425"/>
      <w:bookmarkEnd w:id="269"/>
      <w:bookmarkStart w:id="270" w:name="_Toc184308099"/>
      <w:bookmarkEnd w:id="270"/>
      <w:bookmarkStart w:id="271" w:name="_Toc184314436"/>
      <w:bookmarkEnd w:id="271"/>
      <w:bookmarkStart w:id="272" w:name="_Toc184313279"/>
      <w:bookmarkEnd w:id="272"/>
      <w:bookmarkStart w:id="273" w:name="_Toc184310304"/>
      <w:bookmarkEnd w:id="273"/>
      <w:bookmarkStart w:id="274" w:name="_Toc184310314"/>
      <w:bookmarkEnd w:id="274"/>
      <w:bookmarkStart w:id="275" w:name="_Toc184310336"/>
      <w:bookmarkEnd w:id="275"/>
      <w:bookmarkStart w:id="276" w:name="_Toc184312134"/>
      <w:bookmarkEnd w:id="276"/>
      <w:bookmarkStart w:id="277" w:name="_Toc184314414"/>
      <w:bookmarkEnd w:id="277"/>
      <w:bookmarkStart w:id="278" w:name="_Toc184313284"/>
      <w:bookmarkEnd w:id="278"/>
      <w:bookmarkStart w:id="279" w:name="_Toc184314450"/>
      <w:bookmarkEnd w:id="279"/>
      <w:bookmarkStart w:id="280" w:name="_Toc184310318"/>
      <w:bookmarkEnd w:id="280"/>
      <w:bookmarkStart w:id="281" w:name="_Toc184312113"/>
      <w:bookmarkEnd w:id="281"/>
      <w:bookmarkStart w:id="282" w:name="_Toc184313306"/>
      <w:bookmarkEnd w:id="282"/>
      <w:bookmarkStart w:id="283" w:name="_Toc184310338"/>
      <w:bookmarkEnd w:id="283"/>
      <w:bookmarkStart w:id="284" w:name="_Toc184312130"/>
      <w:bookmarkEnd w:id="284"/>
      <w:bookmarkStart w:id="285" w:name="_Toc184313277"/>
      <w:bookmarkEnd w:id="285"/>
      <w:bookmarkStart w:id="286" w:name="_Toc184313278"/>
      <w:bookmarkEnd w:id="286"/>
      <w:bookmarkStart w:id="287" w:name="_Toc184312123"/>
      <w:bookmarkEnd w:id="287"/>
      <w:bookmarkStart w:id="288" w:name="_Toc184313252"/>
      <w:bookmarkEnd w:id="288"/>
      <w:bookmarkStart w:id="289" w:name="_Toc184312117"/>
      <w:bookmarkEnd w:id="289"/>
      <w:bookmarkStart w:id="290" w:name="_Toc184310299"/>
      <w:bookmarkEnd w:id="290"/>
      <w:bookmarkStart w:id="291" w:name="_Toc184308098"/>
      <w:bookmarkEnd w:id="291"/>
      <w:bookmarkStart w:id="292" w:name="_Toc184312087"/>
      <w:bookmarkEnd w:id="292"/>
      <w:bookmarkStart w:id="293" w:name="_Toc184308052"/>
      <w:bookmarkEnd w:id="293"/>
      <w:bookmarkStart w:id="294" w:name="_Toc184313305"/>
      <w:bookmarkEnd w:id="294"/>
      <w:bookmarkStart w:id="295" w:name="_Toc184314468"/>
      <w:bookmarkEnd w:id="295"/>
      <w:bookmarkStart w:id="296" w:name="_Toc184308056"/>
      <w:bookmarkEnd w:id="296"/>
      <w:bookmarkStart w:id="297" w:name="_Toc184312067"/>
      <w:bookmarkEnd w:id="297"/>
      <w:bookmarkStart w:id="298" w:name="_Toc184312070"/>
      <w:bookmarkEnd w:id="298"/>
      <w:bookmarkStart w:id="299" w:name="_Toc184313243"/>
      <w:bookmarkEnd w:id="299"/>
      <w:bookmarkStart w:id="300" w:name="_Toc184314463"/>
      <w:bookmarkEnd w:id="300"/>
      <w:bookmarkStart w:id="301" w:name="_Toc184314462"/>
      <w:bookmarkEnd w:id="301"/>
      <w:bookmarkStart w:id="302" w:name="_Toc184313285"/>
      <w:bookmarkEnd w:id="302"/>
      <w:bookmarkStart w:id="303" w:name="_Toc184313296"/>
      <w:bookmarkEnd w:id="303"/>
      <w:bookmarkStart w:id="304" w:name="_Toc184312116"/>
      <w:bookmarkEnd w:id="304"/>
      <w:bookmarkStart w:id="305" w:name="_Toc184308072"/>
      <w:bookmarkEnd w:id="305"/>
      <w:bookmarkStart w:id="306" w:name="_Toc184308105"/>
      <w:bookmarkEnd w:id="306"/>
      <w:bookmarkStart w:id="307" w:name="_Toc184312110"/>
      <w:bookmarkEnd w:id="307"/>
      <w:bookmarkStart w:id="308" w:name="_Toc184313302"/>
      <w:bookmarkEnd w:id="308"/>
      <w:bookmarkStart w:id="309" w:name="_Toc184313307"/>
      <w:bookmarkEnd w:id="309"/>
      <w:bookmarkStart w:id="310" w:name="_Toc184312096"/>
      <w:bookmarkEnd w:id="310"/>
      <w:bookmarkStart w:id="311" w:name="_Toc184312077"/>
      <w:bookmarkEnd w:id="311"/>
      <w:bookmarkStart w:id="312" w:name="_Toc184308051"/>
      <w:bookmarkEnd w:id="312"/>
      <w:bookmarkStart w:id="313" w:name="_Toc184310280"/>
      <w:bookmarkEnd w:id="313"/>
      <w:bookmarkStart w:id="314" w:name="_Toc184314441"/>
      <w:bookmarkEnd w:id="314"/>
      <w:bookmarkStart w:id="315" w:name="_Toc184313238"/>
      <w:bookmarkEnd w:id="315"/>
      <w:bookmarkStart w:id="316" w:name="_Toc184310308"/>
      <w:bookmarkEnd w:id="316"/>
      <w:bookmarkStart w:id="317" w:name="_Toc184312108"/>
      <w:bookmarkEnd w:id="317"/>
      <w:bookmarkStart w:id="318" w:name="_Toc184312126"/>
      <w:bookmarkEnd w:id="318"/>
      <w:bookmarkStart w:id="319" w:name="_Toc184312132"/>
      <w:bookmarkEnd w:id="319"/>
      <w:bookmarkStart w:id="320" w:name="_Toc184314423"/>
      <w:bookmarkEnd w:id="320"/>
      <w:bookmarkStart w:id="321" w:name="_Toc184308046"/>
      <w:bookmarkEnd w:id="321"/>
      <w:bookmarkStart w:id="322" w:name="_Toc184314481"/>
      <w:bookmarkEnd w:id="322"/>
      <w:bookmarkStart w:id="323" w:name="_Toc184308085"/>
      <w:bookmarkEnd w:id="323"/>
      <w:bookmarkStart w:id="324" w:name="_Toc184314424"/>
      <w:bookmarkEnd w:id="324"/>
      <w:bookmarkStart w:id="325" w:name="_Toc184314419"/>
      <w:bookmarkEnd w:id="325"/>
      <w:bookmarkStart w:id="326" w:name="_Toc184314460"/>
      <w:bookmarkEnd w:id="326"/>
      <w:bookmarkStart w:id="327" w:name="_Toc184310295"/>
      <w:bookmarkEnd w:id="327"/>
      <w:bookmarkStart w:id="328" w:name="_Toc184312082"/>
      <w:bookmarkEnd w:id="328"/>
      <w:bookmarkStart w:id="329" w:name="_Toc184308100"/>
      <w:bookmarkEnd w:id="329"/>
      <w:bookmarkStart w:id="330" w:name="_Toc184314442"/>
      <w:bookmarkEnd w:id="330"/>
      <w:bookmarkStart w:id="331" w:name="_Toc184312114"/>
      <w:bookmarkEnd w:id="331"/>
      <w:bookmarkStart w:id="332" w:name="_Toc184312122"/>
      <w:bookmarkEnd w:id="332"/>
      <w:bookmarkStart w:id="333" w:name="_Toc184310320"/>
      <w:bookmarkEnd w:id="333"/>
      <w:bookmarkStart w:id="334" w:name="_Toc184314413"/>
      <w:bookmarkEnd w:id="334"/>
      <w:bookmarkStart w:id="335" w:name="_Toc184308071"/>
      <w:bookmarkEnd w:id="335"/>
      <w:bookmarkStart w:id="336" w:name="_Toc184310330"/>
      <w:bookmarkEnd w:id="336"/>
      <w:bookmarkStart w:id="337" w:name="_Toc184310315"/>
      <w:bookmarkEnd w:id="337"/>
      <w:bookmarkStart w:id="338" w:name="_Toc184310294"/>
      <w:bookmarkEnd w:id="338"/>
      <w:bookmarkStart w:id="339" w:name="_Toc184308073"/>
      <w:bookmarkEnd w:id="339"/>
      <w:bookmarkStart w:id="340" w:name="_Toc184310332"/>
      <w:bookmarkEnd w:id="340"/>
      <w:bookmarkStart w:id="341" w:name="_Toc184308040"/>
      <w:bookmarkEnd w:id="341"/>
      <w:bookmarkStart w:id="342" w:name="_Toc184312101"/>
      <w:bookmarkEnd w:id="342"/>
      <w:bookmarkStart w:id="343" w:name="_Toc184308087"/>
      <w:bookmarkEnd w:id="343"/>
      <w:bookmarkStart w:id="344" w:name="_Toc184314440"/>
      <w:bookmarkEnd w:id="344"/>
      <w:bookmarkStart w:id="345" w:name="_Toc184310329"/>
      <w:bookmarkEnd w:id="345"/>
      <w:bookmarkStart w:id="346" w:name="_Toc184308061"/>
      <w:bookmarkEnd w:id="346"/>
      <w:bookmarkStart w:id="347" w:name="_Toc184314446"/>
      <w:bookmarkEnd w:id="347"/>
      <w:bookmarkStart w:id="348" w:name="_Toc184313273"/>
      <w:bookmarkEnd w:id="348"/>
      <w:bookmarkStart w:id="349" w:name="_Toc184313290"/>
      <w:bookmarkEnd w:id="349"/>
      <w:bookmarkStart w:id="350" w:name="_Toc184310326"/>
      <w:bookmarkEnd w:id="350"/>
      <w:bookmarkStart w:id="351" w:name="_Toc184312083"/>
      <w:bookmarkEnd w:id="351"/>
      <w:bookmarkStart w:id="352" w:name="_Toc184314474"/>
      <w:bookmarkEnd w:id="352"/>
      <w:bookmarkStart w:id="353" w:name="_Toc184313303"/>
      <w:bookmarkEnd w:id="353"/>
      <w:bookmarkStart w:id="354" w:name="_Toc184312078"/>
      <w:bookmarkEnd w:id="354"/>
      <w:bookmarkStart w:id="355" w:name="_Toc184308074"/>
      <w:bookmarkEnd w:id="355"/>
      <w:bookmarkStart w:id="356" w:name="_Toc184308084"/>
      <w:bookmarkEnd w:id="356"/>
      <w:bookmarkStart w:id="357" w:name="_Toc184314476"/>
      <w:bookmarkEnd w:id="357"/>
      <w:bookmarkStart w:id="358" w:name="_Toc184313309"/>
      <w:bookmarkEnd w:id="358"/>
      <w:bookmarkStart w:id="359" w:name="_Toc184313256"/>
      <w:bookmarkEnd w:id="359"/>
      <w:bookmarkStart w:id="360" w:name="_Toc184313270"/>
      <w:bookmarkEnd w:id="360"/>
      <w:bookmarkStart w:id="361" w:name="_Toc184308108"/>
      <w:bookmarkEnd w:id="361"/>
      <w:bookmarkStart w:id="362" w:name="_Toc184310306"/>
      <w:bookmarkEnd w:id="362"/>
      <w:bookmarkStart w:id="363" w:name="_Toc184312139"/>
      <w:bookmarkEnd w:id="363"/>
      <w:bookmarkStart w:id="364" w:name="_Toc184313310"/>
      <w:bookmarkEnd w:id="364"/>
      <w:bookmarkStart w:id="365" w:name="_Toc184312094"/>
      <w:bookmarkEnd w:id="365"/>
      <w:bookmarkStart w:id="366" w:name="_Toc184313266"/>
      <w:bookmarkEnd w:id="366"/>
      <w:bookmarkStart w:id="367" w:name="_Toc184310302"/>
      <w:bookmarkEnd w:id="367"/>
      <w:bookmarkStart w:id="368" w:name="_Toc184308064"/>
      <w:bookmarkEnd w:id="368"/>
      <w:bookmarkStart w:id="369" w:name="_Toc184308043"/>
      <w:bookmarkEnd w:id="369"/>
      <w:bookmarkStart w:id="370" w:name="_Toc184310341"/>
      <w:bookmarkEnd w:id="370"/>
      <w:bookmarkStart w:id="371" w:name="_Toc184314471"/>
      <w:bookmarkEnd w:id="371"/>
      <w:bookmarkStart w:id="372" w:name="_Toc184310293"/>
      <w:bookmarkEnd w:id="372"/>
      <w:bookmarkStart w:id="373" w:name="_Toc184314420"/>
      <w:bookmarkEnd w:id="373"/>
      <w:bookmarkStart w:id="374" w:name="_Toc184308069"/>
      <w:bookmarkEnd w:id="374"/>
      <w:bookmarkStart w:id="375" w:name="_Toc184313271"/>
      <w:bookmarkEnd w:id="375"/>
      <w:bookmarkStart w:id="376" w:name="_Toc184312107"/>
      <w:bookmarkEnd w:id="376"/>
      <w:bookmarkStart w:id="377" w:name="_Toc184308057"/>
      <w:bookmarkEnd w:id="377"/>
      <w:bookmarkStart w:id="378" w:name="_Toc184312133"/>
      <w:bookmarkEnd w:id="378"/>
      <w:bookmarkStart w:id="379" w:name="_Toc184310344"/>
      <w:bookmarkEnd w:id="379"/>
      <w:bookmarkStart w:id="380" w:name="_Toc184312091"/>
      <w:bookmarkEnd w:id="380"/>
      <w:bookmarkStart w:id="381" w:name="_Toc184310300"/>
      <w:bookmarkEnd w:id="381"/>
      <w:bookmarkStart w:id="382" w:name="_Toc184312093"/>
      <w:bookmarkEnd w:id="382"/>
      <w:bookmarkStart w:id="383" w:name="_Toc184313264"/>
      <w:bookmarkEnd w:id="383"/>
      <w:bookmarkStart w:id="384" w:name="_Toc184310287"/>
      <w:bookmarkEnd w:id="384"/>
      <w:bookmarkStart w:id="385" w:name="_Toc184314459"/>
      <w:bookmarkEnd w:id="385"/>
      <w:bookmarkStart w:id="386" w:name="_Toc184310301"/>
      <w:bookmarkEnd w:id="386"/>
      <w:bookmarkStart w:id="387" w:name="_Toc184312100"/>
      <w:bookmarkEnd w:id="387"/>
      <w:bookmarkStart w:id="388" w:name="_Toc184312127"/>
      <w:bookmarkEnd w:id="388"/>
      <w:bookmarkStart w:id="389" w:name="_Toc184312129"/>
      <w:bookmarkEnd w:id="389"/>
      <w:bookmarkStart w:id="390" w:name="_Toc184314469"/>
      <w:bookmarkEnd w:id="390"/>
      <w:bookmarkStart w:id="391" w:name="_Toc184310321"/>
      <w:bookmarkEnd w:id="391"/>
      <w:bookmarkStart w:id="392" w:name="_Toc184310277"/>
      <w:bookmarkEnd w:id="392"/>
      <w:bookmarkStart w:id="393" w:name="_Toc184313301"/>
      <w:bookmarkEnd w:id="393"/>
      <w:bookmarkStart w:id="394" w:name="_Toc184312071"/>
      <w:bookmarkEnd w:id="394"/>
      <w:bookmarkStart w:id="395" w:name="_Toc184314454"/>
      <w:bookmarkEnd w:id="395"/>
      <w:bookmarkStart w:id="396" w:name="_Toc184314426"/>
      <w:bookmarkEnd w:id="396"/>
      <w:bookmarkStart w:id="397" w:name="_Toc184310324"/>
      <w:bookmarkEnd w:id="397"/>
      <w:bookmarkStart w:id="398" w:name="_Toc184314477"/>
      <w:bookmarkEnd w:id="398"/>
      <w:bookmarkStart w:id="399" w:name="_Toc184310288"/>
      <w:bookmarkEnd w:id="399"/>
      <w:bookmarkStart w:id="400" w:name="_Toc184314428"/>
      <w:bookmarkEnd w:id="400"/>
      <w:bookmarkStart w:id="401" w:name="_Toc184312103"/>
      <w:bookmarkEnd w:id="401"/>
      <w:bookmarkStart w:id="402" w:name="_Toc184314412"/>
      <w:bookmarkEnd w:id="402"/>
      <w:bookmarkStart w:id="403" w:name="_Toc184312088"/>
      <w:bookmarkEnd w:id="403"/>
      <w:bookmarkStart w:id="404" w:name="_Toc184310343"/>
      <w:bookmarkEnd w:id="404"/>
      <w:bookmarkStart w:id="405" w:name="_Toc184313246"/>
      <w:bookmarkEnd w:id="405"/>
      <w:bookmarkStart w:id="406" w:name="_Toc184314455"/>
      <w:bookmarkEnd w:id="406"/>
      <w:r>
        <w:rPr>
          <w:rFonts w:hint="eastAsia" w:ascii="仿宋" w:hAnsi="仿宋" w:eastAsia="仿宋" w:cs="仿宋_GB2312"/>
          <w:b/>
          <w:sz w:val="36"/>
          <w:szCs w:val="36"/>
        </w:rPr>
        <w:t>评标办法</w:t>
      </w:r>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评标办法前附表</w:t>
      </w:r>
    </w:p>
    <w:tbl>
      <w:tblPr>
        <w:tblStyle w:val="63"/>
        <w:tblW w:w="99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6619"/>
        <w:gridCol w:w="864"/>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1" w:type="dxa"/>
            <w:vAlign w:val="center"/>
          </w:tcPr>
          <w:p>
            <w:pPr>
              <w:keepNext w:val="0"/>
              <w:keepLines w:val="0"/>
              <w:suppressLineNumbers w:val="0"/>
              <w:spacing w:before="0" w:beforeAutospacing="0" w:after="0" w:afterAutospacing="0" w:line="360" w:lineRule="auto"/>
              <w:ind w:left="0" w:right="0"/>
              <w:jc w:val="center"/>
              <w:outlineLvl w:val="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序号</w:t>
            </w:r>
          </w:p>
        </w:tc>
        <w:tc>
          <w:tcPr>
            <w:tcW w:w="6619" w:type="dxa"/>
            <w:vAlign w:val="center"/>
          </w:tcPr>
          <w:p>
            <w:pPr>
              <w:keepNext w:val="0"/>
              <w:keepLines w:val="0"/>
              <w:suppressLineNumbers w:val="0"/>
              <w:spacing w:before="0" w:beforeAutospacing="0" w:after="0" w:afterAutospacing="0" w:line="360" w:lineRule="auto"/>
              <w:ind w:left="0" w:right="0" w:firstLine="0" w:firstLineChars="0"/>
              <w:jc w:val="center"/>
              <w:outlineLvl w:val="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评标标准</w:t>
            </w:r>
          </w:p>
        </w:tc>
        <w:tc>
          <w:tcPr>
            <w:tcW w:w="864" w:type="dxa"/>
            <w:vAlign w:val="center"/>
          </w:tcPr>
          <w:p>
            <w:pPr>
              <w:keepNext w:val="0"/>
              <w:keepLines w:val="0"/>
              <w:suppressLineNumbers w:val="0"/>
              <w:spacing w:before="0" w:beforeAutospacing="0" w:after="0" w:afterAutospacing="0" w:line="360" w:lineRule="auto"/>
              <w:ind w:left="0" w:right="0"/>
              <w:jc w:val="center"/>
              <w:outlineLvl w:val="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权重</w:t>
            </w:r>
          </w:p>
        </w:tc>
        <w:tc>
          <w:tcPr>
            <w:tcW w:w="1727" w:type="dxa"/>
            <w:vAlign w:val="center"/>
          </w:tcPr>
          <w:p>
            <w:pPr>
              <w:keepNext w:val="0"/>
              <w:keepLines w:val="0"/>
              <w:suppressLineNumbers w:val="0"/>
              <w:spacing w:before="0" w:beforeAutospacing="0" w:after="0" w:afterAutospacing="0" w:line="240" w:lineRule="auto"/>
              <w:ind w:left="0" w:right="0"/>
              <w:jc w:val="center"/>
              <w:outlineLvl w:val="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投标文件中评标标准相应的商务技术资料目录</w:t>
            </w:r>
            <w:r>
              <w:rPr>
                <w:rFonts w:hint="eastAsia" w:ascii="仿宋" w:hAnsi="仿宋" w:eastAsia="仿宋" w:cs="仿宋"/>
                <w:color w:val="auto"/>
                <w:sz w:val="24"/>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61" w:type="dxa"/>
            <w:vAlign w:val="center"/>
          </w:tcPr>
          <w:p>
            <w:pPr>
              <w:keepNext w:val="0"/>
              <w:keepLines w:val="0"/>
              <w:widowControl/>
              <w:suppressLineNumbers w:val="0"/>
              <w:adjustRightInd/>
              <w:spacing w:before="0" w:beforeAutospacing="0" w:after="0" w:afterAutospacing="0" w:line="240" w:lineRule="auto"/>
              <w:ind w:left="0" w:right="0" w:firstLine="0" w:firstLineChars="0"/>
              <w:jc w:val="center"/>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w:t>
            </w:r>
          </w:p>
        </w:tc>
        <w:tc>
          <w:tcPr>
            <w:tcW w:w="6619" w:type="dxa"/>
            <w:vAlign w:val="center"/>
          </w:tcPr>
          <w:p>
            <w:pPr>
              <w:keepNext w:val="0"/>
              <w:keepLines w:val="0"/>
              <w:widowControl/>
              <w:suppressLineNumbers w:val="0"/>
              <w:adjustRightInd/>
              <w:spacing w:before="0" w:beforeAutospacing="0" w:after="0" w:afterAutospacing="0" w:line="240" w:lineRule="auto"/>
              <w:ind w:left="0" w:right="0"/>
              <w:jc w:val="center"/>
              <w:outlineLvl w:val="9"/>
              <w:rPr>
                <w:rFonts w:hint="eastAsia" w:ascii="仿宋" w:hAnsi="仿宋" w:eastAsia="仿宋" w:cs="仿宋"/>
                <w:b/>
                <w:bCs/>
                <w:color w:val="auto"/>
                <w:sz w:val="24"/>
                <w:highlight w:val="none"/>
                <w:lang w:eastAsia="zh-CN"/>
              </w:rPr>
            </w:pPr>
            <w:r>
              <w:rPr>
                <w:rFonts w:hint="eastAsia" w:ascii="仿宋" w:hAnsi="仿宋" w:eastAsia="仿宋" w:cs="仿宋"/>
                <w:b/>
                <w:bCs/>
                <w:color w:val="auto"/>
                <w:sz w:val="24"/>
                <w:highlight w:val="none"/>
                <w:lang w:eastAsia="zh-CN"/>
              </w:rPr>
              <w:t>商务分</w:t>
            </w:r>
          </w:p>
        </w:tc>
        <w:tc>
          <w:tcPr>
            <w:tcW w:w="864" w:type="dxa"/>
            <w:vAlign w:val="center"/>
          </w:tcPr>
          <w:p>
            <w:pPr>
              <w:keepNext w:val="0"/>
              <w:keepLines w:val="0"/>
              <w:widowControl/>
              <w:suppressLineNumbers w:val="0"/>
              <w:adjustRightInd/>
              <w:spacing w:before="0" w:beforeAutospacing="0" w:after="0" w:afterAutospacing="0" w:line="240" w:lineRule="auto"/>
              <w:ind w:left="0" w:right="0" w:firstLine="0" w:firstLineChars="0"/>
              <w:jc w:val="center"/>
              <w:outlineLvl w:val="9"/>
              <w:rPr>
                <w:rFonts w:hint="default"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15</w:t>
            </w:r>
          </w:p>
        </w:tc>
        <w:tc>
          <w:tcPr>
            <w:tcW w:w="1727" w:type="dxa"/>
            <w:vAlign w:val="center"/>
          </w:tcPr>
          <w:p>
            <w:pPr>
              <w:keepNext w:val="0"/>
              <w:keepLines w:val="0"/>
              <w:widowControl/>
              <w:suppressLineNumbers w:val="0"/>
              <w:adjustRightInd/>
              <w:spacing w:before="0" w:beforeAutospacing="0" w:after="0" w:afterAutospacing="0" w:line="240" w:lineRule="auto"/>
              <w:ind w:left="0" w:right="0"/>
              <w:jc w:val="center"/>
              <w:outlineLvl w:val="9"/>
              <w:rPr>
                <w:rFonts w:hint="eastAsia" w:ascii="仿宋" w:hAnsi="仿宋" w:eastAsia="仿宋" w:cs="仿宋"/>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761" w:type="dxa"/>
            <w:vAlign w:val="center"/>
          </w:tcPr>
          <w:p>
            <w:pPr>
              <w:keepNext w:val="0"/>
              <w:keepLines w:val="0"/>
              <w:suppressLineNumbers w:val="0"/>
              <w:spacing w:before="0" w:beforeAutospacing="0" w:after="0" w:afterAutospacing="0" w:line="360" w:lineRule="auto"/>
              <w:ind w:left="0" w:right="0" w:firstLine="0" w:firstLineChars="0"/>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1.1</w:t>
            </w:r>
          </w:p>
        </w:tc>
        <w:tc>
          <w:tcPr>
            <w:tcW w:w="6619" w:type="dxa"/>
            <w:vAlign w:val="center"/>
          </w:tcPr>
          <w:p>
            <w:pPr>
              <w:keepNext w:val="0"/>
              <w:keepLines w:val="0"/>
              <w:suppressLineNumbers w:val="0"/>
              <w:spacing w:before="0" w:beforeAutospacing="0" w:after="0" w:afterAutospacing="0" w:line="240" w:lineRule="auto"/>
              <w:ind w:left="0" w:right="0"/>
              <w:outlineLvl w:val="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rPr>
              <w:t>投标人具备ISO27001信息安全管理体系认证</w:t>
            </w:r>
            <w:r>
              <w:rPr>
                <w:rFonts w:hint="eastAsia" w:ascii="仿宋" w:hAnsi="仿宋" w:eastAsia="仿宋" w:cs="仿宋"/>
                <w:color w:val="auto"/>
                <w:kern w:val="0"/>
                <w:sz w:val="24"/>
                <w:szCs w:val="24"/>
                <w:highlight w:val="none"/>
                <w:lang w:val="en-US" w:eastAsia="zh-CN"/>
              </w:rPr>
              <w:t>证书得1.5分</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red"/>
                <w:lang w:val="en-US" w:eastAsia="zh-CN"/>
              </w:rPr>
              <w:t>具有</w:t>
            </w:r>
            <w:r>
              <w:rPr>
                <w:rFonts w:hint="eastAsia" w:ascii="仿宋" w:hAnsi="仿宋" w:eastAsia="仿宋" w:cs="仿宋"/>
                <w:color w:val="auto"/>
                <w:kern w:val="0"/>
                <w:sz w:val="24"/>
                <w:szCs w:val="24"/>
                <w:highlight w:val="red"/>
              </w:rPr>
              <w:t>软件成熟度CMMI3级</w:t>
            </w:r>
            <w:r>
              <w:rPr>
                <w:rFonts w:hint="eastAsia" w:ascii="仿宋" w:hAnsi="仿宋" w:eastAsia="仿宋" w:cs="仿宋"/>
                <w:color w:val="auto"/>
                <w:kern w:val="0"/>
                <w:sz w:val="24"/>
                <w:szCs w:val="24"/>
                <w:highlight w:val="red"/>
                <w:lang w:val="en-US" w:eastAsia="zh-CN"/>
              </w:rPr>
              <w:t>及</w:t>
            </w:r>
            <w:r>
              <w:rPr>
                <w:rFonts w:hint="eastAsia" w:ascii="仿宋" w:hAnsi="仿宋" w:eastAsia="仿宋" w:cs="仿宋"/>
                <w:color w:val="auto"/>
                <w:kern w:val="0"/>
                <w:sz w:val="24"/>
                <w:szCs w:val="24"/>
                <w:highlight w:val="red"/>
              </w:rPr>
              <w:t>以上</w:t>
            </w:r>
            <w:r>
              <w:rPr>
                <w:rFonts w:hint="eastAsia" w:ascii="仿宋" w:hAnsi="仿宋" w:eastAsia="仿宋" w:cs="仿宋"/>
                <w:color w:val="auto"/>
                <w:kern w:val="0"/>
                <w:sz w:val="24"/>
                <w:szCs w:val="24"/>
                <w:highlight w:val="red"/>
                <w:lang w:val="en-US" w:eastAsia="zh-CN"/>
              </w:rPr>
              <w:t>或同类别相关证书得1.5分</w:t>
            </w:r>
            <w:r>
              <w:rPr>
                <w:rFonts w:hint="eastAsia" w:ascii="仿宋" w:hAnsi="仿宋" w:eastAsia="仿宋" w:cs="仿宋"/>
                <w:color w:val="auto"/>
                <w:kern w:val="0"/>
                <w:sz w:val="24"/>
                <w:szCs w:val="24"/>
                <w:highlight w:val="red"/>
              </w:rPr>
              <w:t>，</w:t>
            </w:r>
            <w:r>
              <w:rPr>
                <w:rFonts w:hint="eastAsia" w:ascii="仿宋" w:hAnsi="仿宋" w:eastAsia="仿宋" w:cs="仿宋"/>
                <w:color w:val="auto"/>
                <w:kern w:val="0"/>
                <w:sz w:val="24"/>
                <w:szCs w:val="24"/>
                <w:highlight w:val="red"/>
                <w:lang w:val="en-US" w:eastAsia="zh-CN"/>
              </w:rPr>
              <w:t>本项得</w:t>
            </w:r>
            <w:r>
              <w:rPr>
                <w:rFonts w:hint="eastAsia" w:ascii="仿宋" w:hAnsi="仿宋" w:eastAsia="仿宋" w:cs="仿宋"/>
                <w:color w:val="auto"/>
                <w:kern w:val="0"/>
                <w:sz w:val="24"/>
                <w:szCs w:val="24"/>
                <w:highlight w:val="red"/>
              </w:rPr>
              <w:t>3分。</w:t>
            </w:r>
          </w:p>
          <w:p>
            <w:pPr>
              <w:keepNext w:val="0"/>
              <w:keepLines w:val="0"/>
              <w:suppressLineNumbers w:val="0"/>
              <w:spacing w:before="0" w:beforeAutospacing="0" w:after="0" w:afterAutospacing="0" w:line="240" w:lineRule="auto"/>
              <w:ind w:left="0" w:right="0"/>
              <w:outlineLvl w:val="0"/>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lang w:val="en-US" w:eastAsia="zh-CN"/>
              </w:rPr>
              <w:t>证明材料：</w:t>
            </w:r>
            <w:r>
              <w:rPr>
                <w:rFonts w:hint="eastAsia" w:ascii="仿宋" w:hAnsi="仿宋" w:eastAsia="仿宋" w:cs="仿宋"/>
                <w:b/>
                <w:bCs w:val="0"/>
                <w:color w:val="auto"/>
                <w:sz w:val="24"/>
                <w:szCs w:val="24"/>
                <w:highlight w:val="none"/>
              </w:rPr>
              <w:t>提供</w:t>
            </w:r>
            <w:r>
              <w:rPr>
                <w:rFonts w:hint="eastAsia" w:ascii="仿宋" w:hAnsi="仿宋" w:eastAsia="仿宋" w:cs="仿宋"/>
                <w:b/>
                <w:bCs w:val="0"/>
                <w:color w:val="auto"/>
                <w:sz w:val="24"/>
                <w:szCs w:val="24"/>
                <w:highlight w:val="none"/>
                <w:lang w:val="en-US" w:eastAsia="zh-CN"/>
              </w:rPr>
              <w:t>有效期内的相关</w:t>
            </w:r>
            <w:r>
              <w:rPr>
                <w:rFonts w:hint="eastAsia" w:ascii="仿宋" w:hAnsi="仿宋" w:eastAsia="仿宋" w:cs="仿宋"/>
                <w:b/>
                <w:bCs w:val="0"/>
                <w:color w:val="auto"/>
                <w:sz w:val="24"/>
                <w:szCs w:val="24"/>
                <w:highlight w:val="none"/>
              </w:rPr>
              <w:t>证书扫描件并加盖投标人CA公章，否则不得分。</w:t>
            </w:r>
          </w:p>
          <w:p>
            <w:pPr>
              <w:keepNext w:val="0"/>
              <w:keepLines w:val="0"/>
              <w:numPr>
                <w:ilvl w:val="0"/>
                <w:numId w:val="0"/>
              </w:numPr>
              <w:suppressLineNumbers w:val="0"/>
              <w:spacing w:before="0" w:beforeAutospacing="0" w:after="0" w:afterAutospacing="0" w:line="240" w:lineRule="auto"/>
              <w:ind w:leftChars="0" w:right="0" w:rightChars="0"/>
              <w:outlineLvl w:val="0"/>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lang w:val="en-US" w:eastAsia="zh-CN"/>
              </w:rPr>
              <w:t>2、</w:t>
            </w:r>
            <w:r>
              <w:rPr>
                <w:rFonts w:hint="eastAsia" w:ascii="仿宋" w:hAnsi="仿宋" w:eastAsia="仿宋" w:cs="仿宋"/>
                <w:b w:val="0"/>
                <w:bCs/>
                <w:color w:val="auto"/>
                <w:sz w:val="24"/>
                <w:szCs w:val="24"/>
                <w:highlight w:val="none"/>
              </w:rPr>
              <w:t>投标人具备塔机监测系统（或升降机监测系统）售后服务认证（五星级）证书，得</w:t>
            </w:r>
            <w:r>
              <w:rPr>
                <w:rFonts w:hint="eastAsia" w:ascii="仿宋" w:hAnsi="仿宋" w:eastAsia="仿宋" w:cs="仿宋"/>
                <w:b w:val="0"/>
                <w:bCs/>
                <w:color w:val="auto"/>
                <w:sz w:val="24"/>
                <w:szCs w:val="24"/>
                <w:highlight w:val="none"/>
                <w:lang w:val="en-US" w:eastAsia="zh-CN"/>
              </w:rPr>
              <w:t>1</w:t>
            </w:r>
            <w:r>
              <w:rPr>
                <w:rFonts w:hint="eastAsia" w:ascii="仿宋" w:hAnsi="仿宋" w:eastAsia="仿宋" w:cs="仿宋"/>
                <w:b w:val="0"/>
                <w:bCs/>
                <w:color w:val="auto"/>
                <w:sz w:val="24"/>
                <w:szCs w:val="24"/>
                <w:highlight w:val="none"/>
              </w:rPr>
              <w:t>分</w:t>
            </w:r>
            <w:r>
              <w:rPr>
                <w:rFonts w:hint="eastAsia" w:ascii="仿宋" w:hAnsi="仿宋" w:eastAsia="仿宋" w:cs="仿宋"/>
                <w:b w:val="0"/>
                <w:bCs/>
                <w:color w:val="auto"/>
                <w:sz w:val="24"/>
                <w:szCs w:val="24"/>
                <w:highlight w:val="none"/>
                <w:lang w:eastAsia="zh-CN"/>
              </w:rPr>
              <w:t>。</w:t>
            </w:r>
          </w:p>
          <w:p>
            <w:pPr>
              <w:keepNext w:val="0"/>
              <w:keepLines w:val="0"/>
              <w:numPr>
                <w:ilvl w:val="0"/>
                <w:numId w:val="0"/>
              </w:numPr>
              <w:suppressLineNumbers w:val="0"/>
              <w:spacing w:before="0" w:beforeAutospacing="0" w:after="0" w:afterAutospacing="0" w:line="240" w:lineRule="auto"/>
              <w:ind w:leftChars="0" w:right="0" w:rightChars="0"/>
              <w:outlineLvl w:val="0"/>
              <w:rPr>
                <w:rFonts w:hint="eastAsia" w:ascii="仿宋" w:hAnsi="仿宋" w:eastAsia="仿宋" w:cs="仿宋"/>
                <w:color w:val="auto"/>
                <w:sz w:val="24"/>
                <w:highlight w:val="none"/>
                <w:lang w:val="en-US" w:eastAsia="zh-CN"/>
              </w:rPr>
            </w:pPr>
            <w:r>
              <w:rPr>
                <w:rFonts w:hint="eastAsia" w:ascii="仿宋" w:hAnsi="仿宋" w:eastAsia="仿宋" w:cs="仿宋"/>
                <w:b/>
                <w:bCs w:val="0"/>
                <w:color w:val="auto"/>
                <w:sz w:val="24"/>
                <w:szCs w:val="24"/>
                <w:highlight w:val="none"/>
              </w:rPr>
              <w:t>证明材料：提供有效期内的认证证书复印件加盖投标人CA公章，否则不得分。</w:t>
            </w:r>
          </w:p>
        </w:tc>
        <w:tc>
          <w:tcPr>
            <w:tcW w:w="864" w:type="dxa"/>
            <w:vAlign w:val="center"/>
          </w:tcPr>
          <w:p>
            <w:pPr>
              <w:keepNext w:val="0"/>
              <w:keepLines w:val="0"/>
              <w:suppressLineNumbers w:val="0"/>
              <w:spacing w:before="0" w:beforeAutospacing="0" w:after="0" w:afterAutospacing="0" w:line="360" w:lineRule="auto"/>
              <w:ind w:left="0" w:right="0" w:firstLine="0" w:firstLineChars="0"/>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w:t>
            </w:r>
          </w:p>
        </w:tc>
        <w:tc>
          <w:tcPr>
            <w:tcW w:w="1727" w:type="dxa"/>
            <w:vAlign w:val="center"/>
          </w:tcPr>
          <w:p>
            <w:pPr>
              <w:keepNext w:val="0"/>
              <w:keepLines w:val="0"/>
              <w:suppressLineNumbers w:val="0"/>
              <w:spacing w:before="0" w:beforeAutospacing="0" w:after="0" w:afterAutospacing="0" w:line="360" w:lineRule="auto"/>
              <w:ind w:left="0" w:right="0"/>
              <w:jc w:val="center"/>
              <w:outlineLvl w:val="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企业资质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761" w:type="dxa"/>
            <w:vAlign w:val="center"/>
          </w:tcPr>
          <w:p>
            <w:pPr>
              <w:keepNext w:val="0"/>
              <w:keepLines w:val="0"/>
              <w:suppressLineNumbers w:val="0"/>
              <w:spacing w:before="0" w:beforeAutospacing="0" w:after="0" w:afterAutospacing="0" w:line="360" w:lineRule="auto"/>
              <w:ind w:left="0" w:right="0" w:firstLine="0" w:firstLineChars="0"/>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1.2</w:t>
            </w:r>
          </w:p>
        </w:tc>
        <w:tc>
          <w:tcPr>
            <w:tcW w:w="6619" w:type="dxa"/>
            <w:vAlign w:val="center"/>
          </w:tcPr>
          <w:p>
            <w:pPr>
              <w:keepNext w:val="0"/>
              <w:keepLines w:val="0"/>
              <w:suppressLineNumbers w:val="0"/>
              <w:spacing w:before="0" w:beforeAutospacing="0" w:after="0" w:afterAutospacing="0" w:line="240" w:lineRule="auto"/>
              <w:ind w:left="0" w:right="0" w:firstLine="240" w:firstLineChars="100"/>
              <w:outlineLvl w:val="0"/>
              <w:rPr>
                <w:rFonts w:hint="eastAsia" w:ascii="仿宋" w:hAnsi="仿宋" w:eastAsia="仿宋" w:cs="仿宋"/>
                <w:color w:val="auto"/>
                <w:sz w:val="24"/>
                <w:szCs w:val="24"/>
                <w:highlight w:val="yellow"/>
              </w:rPr>
            </w:pPr>
            <w:r>
              <w:rPr>
                <w:rFonts w:hint="eastAsia" w:ascii="仿宋" w:hAnsi="仿宋" w:eastAsia="仿宋" w:cs="仿宋"/>
                <w:color w:val="auto"/>
                <w:sz w:val="24"/>
                <w:szCs w:val="24"/>
                <w:highlight w:val="yellow"/>
              </w:rPr>
              <w:t>投标人</w:t>
            </w:r>
            <w:r>
              <w:rPr>
                <w:rFonts w:hint="eastAsia" w:ascii="仿宋" w:hAnsi="仿宋" w:eastAsia="仿宋" w:cs="仿宋"/>
                <w:color w:val="auto"/>
                <w:sz w:val="24"/>
                <w:szCs w:val="24"/>
                <w:highlight w:val="yellow"/>
                <w:lang w:val="en-US" w:eastAsia="zh-CN"/>
              </w:rPr>
              <w:t>自</w:t>
            </w:r>
            <w:r>
              <w:rPr>
                <w:rFonts w:hint="eastAsia" w:ascii="仿宋" w:hAnsi="仿宋" w:eastAsia="仿宋" w:cs="仿宋"/>
                <w:color w:val="auto"/>
                <w:sz w:val="24"/>
                <w:szCs w:val="24"/>
                <w:highlight w:val="yellow"/>
              </w:rPr>
              <w:t>20</w:t>
            </w:r>
            <w:r>
              <w:rPr>
                <w:rFonts w:hint="eastAsia" w:ascii="仿宋" w:hAnsi="仿宋" w:eastAsia="仿宋" w:cs="仿宋"/>
                <w:color w:val="auto"/>
                <w:sz w:val="24"/>
                <w:szCs w:val="24"/>
                <w:highlight w:val="yellow"/>
                <w:lang w:val="en-US" w:eastAsia="zh-CN"/>
              </w:rPr>
              <w:t>19</w:t>
            </w:r>
            <w:r>
              <w:rPr>
                <w:rFonts w:hint="eastAsia" w:ascii="仿宋" w:hAnsi="仿宋" w:eastAsia="仿宋" w:cs="仿宋"/>
                <w:color w:val="auto"/>
                <w:sz w:val="24"/>
                <w:szCs w:val="24"/>
                <w:highlight w:val="yellow"/>
              </w:rPr>
              <w:t>年</w:t>
            </w:r>
            <w:r>
              <w:rPr>
                <w:rFonts w:hint="eastAsia" w:ascii="仿宋" w:hAnsi="仿宋" w:eastAsia="仿宋" w:cs="仿宋"/>
                <w:color w:val="auto"/>
                <w:sz w:val="24"/>
                <w:szCs w:val="24"/>
                <w:highlight w:val="yellow"/>
                <w:lang w:val="en-US" w:eastAsia="zh-CN"/>
              </w:rPr>
              <w:t>1月1日（以合同签订日期为准）</w:t>
            </w:r>
            <w:r>
              <w:rPr>
                <w:rFonts w:hint="eastAsia" w:ascii="仿宋" w:hAnsi="仿宋" w:eastAsia="仿宋" w:cs="仿宋"/>
                <w:color w:val="auto"/>
                <w:sz w:val="24"/>
                <w:szCs w:val="24"/>
                <w:highlight w:val="yellow"/>
              </w:rPr>
              <w:t>以来</w:t>
            </w:r>
            <w:r>
              <w:rPr>
                <w:rFonts w:hint="eastAsia" w:ascii="仿宋" w:hAnsi="仿宋" w:eastAsia="仿宋" w:cs="仿宋"/>
                <w:color w:val="auto"/>
                <w:sz w:val="24"/>
                <w:szCs w:val="24"/>
                <w:highlight w:val="yellow"/>
                <w:lang w:eastAsia="zh-CN"/>
              </w:rPr>
              <w:t>，</w:t>
            </w:r>
            <w:r>
              <w:rPr>
                <w:rFonts w:hint="eastAsia" w:ascii="仿宋" w:hAnsi="仿宋" w:eastAsia="仿宋" w:cs="仿宋"/>
                <w:color w:val="auto"/>
                <w:sz w:val="24"/>
                <w:szCs w:val="24"/>
                <w:highlight w:val="yellow"/>
                <w:lang w:val="en-US" w:eastAsia="zh-CN"/>
              </w:rPr>
              <w:t>所完成的</w:t>
            </w:r>
            <w:r>
              <w:rPr>
                <w:rFonts w:hint="eastAsia" w:ascii="仿宋" w:hAnsi="仿宋" w:eastAsia="仿宋" w:cs="仿宋"/>
                <w:color w:val="auto"/>
                <w:sz w:val="24"/>
                <w:szCs w:val="24"/>
                <w:highlight w:val="yellow"/>
              </w:rPr>
              <w:t>类似建设行业智慧监管合同项目</w:t>
            </w:r>
            <w:r>
              <w:rPr>
                <w:rFonts w:hint="eastAsia" w:ascii="仿宋" w:hAnsi="仿宋" w:eastAsia="仿宋" w:cs="仿宋"/>
                <w:color w:val="auto"/>
                <w:sz w:val="24"/>
                <w:szCs w:val="24"/>
                <w:highlight w:val="yellow"/>
                <w:lang w:val="en-US" w:eastAsia="zh-CN"/>
              </w:rPr>
              <w:t>的得1分；项目</w:t>
            </w:r>
            <w:r>
              <w:rPr>
                <w:rFonts w:hint="eastAsia" w:ascii="仿宋" w:hAnsi="仿宋" w:eastAsia="仿宋" w:cs="仿宋"/>
                <w:color w:val="auto"/>
                <w:sz w:val="24"/>
                <w:szCs w:val="24"/>
                <w:highlight w:val="yellow"/>
              </w:rPr>
              <w:t>获得省级建设科研项目验收通过的，</w:t>
            </w:r>
            <w:r>
              <w:rPr>
                <w:rFonts w:hint="eastAsia" w:ascii="仿宋" w:hAnsi="仿宋" w:eastAsia="仿宋" w:cs="仿宋"/>
                <w:color w:val="auto"/>
                <w:sz w:val="24"/>
                <w:szCs w:val="24"/>
                <w:highlight w:val="yellow"/>
                <w:lang w:val="en-US" w:eastAsia="zh-CN"/>
              </w:rPr>
              <w:t>需</w:t>
            </w:r>
            <w:r>
              <w:rPr>
                <w:rFonts w:hint="eastAsia" w:ascii="仿宋" w:hAnsi="仿宋" w:eastAsia="仿宋" w:cs="仿宋"/>
                <w:color w:val="auto"/>
                <w:sz w:val="24"/>
                <w:szCs w:val="24"/>
                <w:highlight w:val="yellow"/>
              </w:rPr>
              <w:t>提供省级行业主管部门</w:t>
            </w:r>
            <w:r>
              <w:rPr>
                <w:rFonts w:hint="eastAsia" w:ascii="仿宋" w:hAnsi="仿宋" w:eastAsia="仿宋" w:cs="仿宋"/>
                <w:color w:val="auto"/>
                <w:sz w:val="24"/>
                <w:szCs w:val="24"/>
                <w:highlight w:val="yellow"/>
                <w:lang w:val="en-US" w:eastAsia="zh-CN"/>
              </w:rPr>
              <w:t>的</w:t>
            </w:r>
            <w:r>
              <w:rPr>
                <w:rFonts w:hint="eastAsia" w:ascii="仿宋" w:hAnsi="仿宋" w:eastAsia="仿宋" w:cs="仿宋"/>
                <w:color w:val="auto"/>
                <w:sz w:val="24"/>
                <w:szCs w:val="24"/>
                <w:highlight w:val="yellow"/>
              </w:rPr>
              <w:t>验收文件及涉及该科研项目的系统开发服务</w:t>
            </w:r>
            <w:r>
              <w:rPr>
                <w:rFonts w:hint="eastAsia" w:ascii="仿宋" w:hAnsi="仿宋" w:eastAsia="仿宋" w:cs="仿宋"/>
                <w:color w:val="auto"/>
                <w:sz w:val="24"/>
                <w:szCs w:val="24"/>
                <w:highlight w:val="red"/>
                <w:lang w:val="en-US" w:eastAsia="zh-CN"/>
              </w:rPr>
              <w:t>合同</w:t>
            </w:r>
            <w:r>
              <w:rPr>
                <w:rFonts w:hint="eastAsia" w:ascii="仿宋" w:hAnsi="仿宋" w:eastAsia="仿宋" w:cs="仿宋"/>
                <w:color w:val="auto"/>
                <w:sz w:val="24"/>
                <w:szCs w:val="24"/>
                <w:highlight w:val="yellow"/>
              </w:rPr>
              <w:t>，得</w:t>
            </w:r>
            <w:r>
              <w:rPr>
                <w:rFonts w:hint="eastAsia" w:ascii="仿宋" w:hAnsi="仿宋" w:eastAsia="仿宋" w:cs="仿宋"/>
                <w:color w:val="auto"/>
                <w:sz w:val="24"/>
                <w:szCs w:val="24"/>
                <w:highlight w:val="yellow"/>
                <w:lang w:val="en-US" w:eastAsia="zh-CN"/>
              </w:rPr>
              <w:t>1</w:t>
            </w:r>
            <w:r>
              <w:rPr>
                <w:rFonts w:hint="eastAsia" w:ascii="仿宋" w:hAnsi="仿宋" w:eastAsia="仿宋" w:cs="仿宋"/>
                <w:color w:val="auto"/>
                <w:sz w:val="24"/>
                <w:szCs w:val="24"/>
                <w:highlight w:val="yellow"/>
              </w:rPr>
              <w:t>分。</w:t>
            </w:r>
          </w:p>
          <w:p>
            <w:pPr>
              <w:keepNext w:val="0"/>
              <w:keepLines w:val="0"/>
              <w:suppressLineNumbers w:val="0"/>
              <w:spacing w:before="0" w:beforeAutospacing="0" w:after="0" w:afterAutospacing="0" w:line="240" w:lineRule="auto"/>
              <w:ind w:left="0" w:right="0"/>
              <w:outlineLvl w:val="0"/>
              <w:rPr>
                <w:rFonts w:hint="eastAsia" w:ascii="仿宋" w:hAnsi="仿宋" w:eastAsia="仿宋" w:cs="仿宋"/>
                <w:color w:val="auto"/>
                <w:kern w:val="0"/>
                <w:sz w:val="24"/>
                <w:szCs w:val="24"/>
                <w:highlight w:val="none"/>
                <w:lang w:eastAsia="zh-CN"/>
              </w:rPr>
            </w:pPr>
            <w:r>
              <w:rPr>
                <w:rFonts w:hint="eastAsia" w:ascii="仿宋" w:hAnsi="仿宋" w:eastAsia="仿宋" w:cs="仿宋"/>
                <w:b/>
                <w:bCs/>
                <w:color w:val="auto"/>
                <w:sz w:val="24"/>
                <w:szCs w:val="24"/>
                <w:highlight w:val="none"/>
              </w:rPr>
              <w:t>证明材料：提供合同、验收文件复印件加盖</w:t>
            </w:r>
            <w:r>
              <w:rPr>
                <w:rFonts w:hint="eastAsia" w:ascii="仿宋" w:hAnsi="仿宋" w:eastAsia="仿宋" w:cs="仿宋"/>
                <w:b/>
                <w:bCs/>
                <w:color w:val="auto"/>
                <w:sz w:val="24"/>
                <w:szCs w:val="24"/>
                <w:highlight w:val="none"/>
                <w:lang w:val="en-US" w:eastAsia="zh-CN"/>
              </w:rPr>
              <w:t>投标人CA</w:t>
            </w:r>
            <w:r>
              <w:rPr>
                <w:rFonts w:hint="eastAsia" w:ascii="仿宋" w:hAnsi="仿宋" w:eastAsia="仿宋" w:cs="仿宋"/>
                <w:b/>
                <w:bCs/>
                <w:color w:val="auto"/>
                <w:sz w:val="24"/>
                <w:szCs w:val="24"/>
                <w:highlight w:val="none"/>
              </w:rPr>
              <w:t>公章</w:t>
            </w:r>
            <w:r>
              <w:rPr>
                <w:rFonts w:hint="eastAsia" w:ascii="仿宋" w:hAnsi="仿宋" w:eastAsia="仿宋" w:cs="仿宋"/>
                <w:b/>
                <w:bCs w:val="0"/>
                <w:color w:val="auto"/>
                <w:sz w:val="24"/>
                <w:highlight w:val="none"/>
              </w:rPr>
              <w:t>，时间以合同签订时间为准</w:t>
            </w:r>
            <w:r>
              <w:rPr>
                <w:rFonts w:hint="eastAsia" w:ascii="仿宋" w:hAnsi="仿宋" w:eastAsia="仿宋" w:cs="仿宋"/>
                <w:b/>
                <w:bCs w:val="0"/>
                <w:color w:val="auto"/>
                <w:sz w:val="24"/>
                <w:highlight w:val="none"/>
                <w:lang w:eastAsia="zh-CN"/>
              </w:rPr>
              <w:t>，</w:t>
            </w:r>
            <w:r>
              <w:rPr>
                <w:rFonts w:hint="eastAsia" w:ascii="仿宋" w:hAnsi="仿宋" w:eastAsia="仿宋" w:cs="仿宋"/>
                <w:b/>
                <w:bCs w:val="0"/>
                <w:color w:val="auto"/>
                <w:sz w:val="24"/>
                <w:szCs w:val="24"/>
                <w:highlight w:val="none"/>
              </w:rPr>
              <w:t>否则不得分</w:t>
            </w:r>
            <w:r>
              <w:rPr>
                <w:rFonts w:hint="eastAsia" w:ascii="仿宋" w:hAnsi="仿宋" w:eastAsia="仿宋" w:cs="仿宋"/>
                <w:b/>
                <w:bCs w:val="0"/>
                <w:color w:val="auto"/>
                <w:sz w:val="24"/>
                <w:szCs w:val="24"/>
                <w:highlight w:val="none"/>
                <w:lang w:eastAsia="zh-CN"/>
              </w:rPr>
              <w:t>。</w:t>
            </w:r>
          </w:p>
        </w:tc>
        <w:tc>
          <w:tcPr>
            <w:tcW w:w="864" w:type="dxa"/>
            <w:vAlign w:val="center"/>
          </w:tcPr>
          <w:p>
            <w:pPr>
              <w:keepNext w:val="0"/>
              <w:keepLines w:val="0"/>
              <w:suppressLineNumbers w:val="0"/>
              <w:spacing w:before="0" w:beforeAutospacing="0" w:after="0" w:afterAutospacing="0" w:line="360" w:lineRule="auto"/>
              <w:ind w:left="0" w:right="0" w:firstLine="0" w:firstLineChars="0"/>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w:t>
            </w:r>
          </w:p>
        </w:tc>
        <w:tc>
          <w:tcPr>
            <w:tcW w:w="1727" w:type="dxa"/>
            <w:vAlign w:val="center"/>
          </w:tcPr>
          <w:p>
            <w:pPr>
              <w:keepNext w:val="0"/>
              <w:keepLines w:val="0"/>
              <w:suppressLineNumbers w:val="0"/>
              <w:spacing w:before="0" w:beforeAutospacing="0" w:after="0" w:afterAutospacing="0" w:line="360" w:lineRule="auto"/>
              <w:ind w:left="0" w:right="0"/>
              <w:jc w:val="center"/>
              <w:outlineLvl w:val="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项目科研能力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761" w:type="dxa"/>
            <w:vAlign w:val="center"/>
          </w:tcPr>
          <w:p>
            <w:pPr>
              <w:keepNext w:val="0"/>
              <w:keepLines w:val="0"/>
              <w:suppressLineNumbers w:val="0"/>
              <w:spacing w:before="0" w:beforeAutospacing="0" w:after="0" w:afterAutospacing="0" w:line="360" w:lineRule="auto"/>
              <w:ind w:left="0" w:right="0" w:firstLine="0" w:firstLineChars="0"/>
              <w:jc w:val="center"/>
              <w:outlineLvl w:val="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1.3</w:t>
            </w:r>
          </w:p>
        </w:tc>
        <w:tc>
          <w:tcPr>
            <w:tcW w:w="6619" w:type="dxa"/>
            <w:vAlign w:val="center"/>
          </w:tcPr>
          <w:p>
            <w:pPr>
              <w:keepNext w:val="0"/>
              <w:keepLines w:val="0"/>
              <w:suppressLineNumbers w:val="0"/>
              <w:spacing w:before="0" w:beforeAutospacing="0" w:after="0" w:afterAutospacing="0" w:line="240" w:lineRule="auto"/>
              <w:ind w:left="0" w:right="0"/>
              <w:outlineLvl w:val="0"/>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团队人员技术力量：</w:t>
            </w:r>
          </w:p>
          <w:p>
            <w:pPr>
              <w:keepNext w:val="0"/>
              <w:keepLines w:val="0"/>
              <w:suppressLineNumbers w:val="0"/>
              <w:spacing w:before="0" w:beforeAutospacing="0" w:after="0" w:afterAutospacing="0" w:line="240" w:lineRule="auto"/>
              <w:ind w:left="0" w:right="0"/>
              <w:outlineLvl w:val="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项目管理人员具备PMP项目管理证书，得</w:t>
            </w:r>
            <w:r>
              <w:rPr>
                <w:rFonts w:hint="eastAsia" w:ascii="仿宋" w:hAnsi="仿宋" w:eastAsia="仿宋" w:cs="仿宋"/>
                <w:color w:val="auto"/>
                <w:kern w:val="0"/>
                <w:sz w:val="24"/>
                <w:szCs w:val="24"/>
                <w:highlight w:val="none"/>
                <w:lang w:val="en-US" w:eastAsia="zh-CN"/>
              </w:rPr>
              <w:t>1.5</w:t>
            </w:r>
            <w:r>
              <w:rPr>
                <w:rFonts w:hint="eastAsia" w:ascii="仿宋" w:hAnsi="仿宋" w:eastAsia="仿宋" w:cs="仿宋"/>
                <w:color w:val="auto"/>
                <w:kern w:val="0"/>
                <w:sz w:val="24"/>
                <w:szCs w:val="24"/>
                <w:highlight w:val="none"/>
              </w:rPr>
              <w:t>分；</w:t>
            </w:r>
          </w:p>
          <w:p>
            <w:pPr>
              <w:keepNext w:val="0"/>
              <w:keepLines w:val="0"/>
              <w:suppressLineNumbers w:val="0"/>
              <w:spacing w:before="0" w:beforeAutospacing="0" w:after="0" w:afterAutospacing="0" w:line="240" w:lineRule="auto"/>
              <w:ind w:left="0" w:right="0"/>
              <w:outlineLvl w:val="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产品经理具备敏捷项目管理（PMI-ACP）证书，得</w:t>
            </w:r>
            <w:r>
              <w:rPr>
                <w:rFonts w:hint="eastAsia" w:ascii="仿宋" w:hAnsi="仿宋" w:eastAsia="仿宋" w:cs="仿宋"/>
                <w:color w:val="auto"/>
                <w:kern w:val="0"/>
                <w:sz w:val="24"/>
                <w:szCs w:val="24"/>
                <w:highlight w:val="none"/>
                <w:lang w:val="en-US" w:eastAsia="zh-CN"/>
              </w:rPr>
              <w:t>1.5</w:t>
            </w:r>
            <w:r>
              <w:rPr>
                <w:rFonts w:hint="eastAsia" w:ascii="仿宋" w:hAnsi="仿宋" w:eastAsia="仿宋" w:cs="仿宋"/>
                <w:color w:val="auto"/>
                <w:kern w:val="0"/>
                <w:sz w:val="24"/>
                <w:szCs w:val="24"/>
                <w:highlight w:val="none"/>
              </w:rPr>
              <w:t>分；</w:t>
            </w:r>
          </w:p>
          <w:p>
            <w:pPr>
              <w:keepNext w:val="0"/>
              <w:keepLines w:val="0"/>
              <w:suppressLineNumbers w:val="0"/>
              <w:spacing w:before="0" w:beforeAutospacing="0" w:after="0" w:afterAutospacing="0" w:line="240" w:lineRule="auto"/>
              <w:ind w:left="0" w:right="0"/>
              <w:outlineLvl w:val="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技术负责人具备人社部门颁发的信息系统项目管理师（高级）证书，得</w:t>
            </w:r>
            <w:r>
              <w:rPr>
                <w:rFonts w:hint="eastAsia" w:ascii="仿宋" w:hAnsi="仿宋" w:eastAsia="仿宋" w:cs="仿宋"/>
                <w:color w:val="auto"/>
                <w:kern w:val="0"/>
                <w:sz w:val="24"/>
                <w:szCs w:val="24"/>
                <w:highlight w:val="none"/>
                <w:lang w:val="en-US" w:eastAsia="zh-CN"/>
              </w:rPr>
              <w:t>1.5</w:t>
            </w:r>
            <w:r>
              <w:rPr>
                <w:rFonts w:hint="eastAsia" w:ascii="仿宋" w:hAnsi="仿宋" w:eastAsia="仿宋" w:cs="仿宋"/>
                <w:color w:val="auto"/>
                <w:kern w:val="0"/>
                <w:sz w:val="24"/>
                <w:szCs w:val="24"/>
                <w:highlight w:val="none"/>
              </w:rPr>
              <w:t>分；</w:t>
            </w:r>
          </w:p>
          <w:p>
            <w:pPr>
              <w:keepNext w:val="0"/>
              <w:keepLines w:val="0"/>
              <w:suppressLineNumbers w:val="0"/>
              <w:spacing w:before="0" w:beforeAutospacing="0" w:after="0" w:afterAutospacing="0" w:line="240" w:lineRule="auto"/>
              <w:ind w:left="0" w:right="0"/>
              <w:outlineLvl w:val="0"/>
              <w:rPr>
                <w:rFonts w:hint="eastAsia" w:eastAsia="仿宋"/>
                <w:lang w:eastAsia="zh-CN"/>
              </w:rPr>
            </w:pP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4</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项目开发主要成员具有系统分析师（高级）证书，得</w:t>
            </w:r>
            <w:r>
              <w:rPr>
                <w:rFonts w:hint="eastAsia" w:ascii="仿宋" w:hAnsi="仿宋" w:eastAsia="仿宋" w:cs="仿宋"/>
                <w:color w:val="auto"/>
                <w:kern w:val="0"/>
                <w:sz w:val="24"/>
                <w:szCs w:val="24"/>
                <w:highlight w:val="none"/>
                <w:lang w:val="en-US" w:eastAsia="zh-CN"/>
              </w:rPr>
              <w:t>1.5</w:t>
            </w:r>
            <w:r>
              <w:rPr>
                <w:rFonts w:hint="eastAsia" w:ascii="仿宋" w:hAnsi="仿宋" w:eastAsia="仿宋" w:cs="仿宋"/>
                <w:color w:val="auto"/>
                <w:kern w:val="0"/>
                <w:sz w:val="24"/>
                <w:szCs w:val="24"/>
                <w:highlight w:val="none"/>
              </w:rPr>
              <w:t>分</w:t>
            </w:r>
            <w:r>
              <w:rPr>
                <w:rFonts w:hint="eastAsia" w:ascii="仿宋" w:hAnsi="仿宋" w:eastAsia="仿宋" w:cs="仿宋"/>
                <w:color w:val="auto"/>
                <w:kern w:val="0"/>
                <w:sz w:val="24"/>
                <w:szCs w:val="24"/>
                <w:highlight w:val="none"/>
                <w:lang w:eastAsia="zh-CN"/>
              </w:rPr>
              <w:t>。</w:t>
            </w:r>
          </w:p>
          <w:p>
            <w:pPr>
              <w:pStyle w:val="2"/>
              <w:spacing w:line="240" w:lineRule="auto"/>
              <w:ind w:left="0" w:leftChars="0" w:firstLine="0" w:firstLineChars="0"/>
              <w:rPr>
                <w:rFonts w:hint="default" w:eastAsia="仿宋"/>
                <w:lang w:val="en-US" w:eastAsia="zh-CN"/>
              </w:rPr>
            </w:pPr>
            <w:r>
              <w:rPr>
                <w:rFonts w:hint="eastAsia" w:ascii="仿宋" w:hAnsi="仿宋" w:eastAsia="仿宋" w:cs="仿宋"/>
                <w:b/>
                <w:bCs/>
                <w:color w:val="auto"/>
                <w:kern w:val="0"/>
                <w:sz w:val="24"/>
                <w:szCs w:val="24"/>
                <w:highlight w:val="none"/>
                <w:lang w:val="en-US" w:eastAsia="zh-CN" w:bidi="ar-SA"/>
              </w:rPr>
              <w:t>证明材料：提供有效期内的证书、证书人员的近一年连续3个月社保证明并加盖投标人CA公章。</w:t>
            </w:r>
          </w:p>
        </w:tc>
        <w:tc>
          <w:tcPr>
            <w:tcW w:w="864" w:type="dxa"/>
            <w:vAlign w:val="center"/>
          </w:tcPr>
          <w:p>
            <w:pPr>
              <w:keepNext w:val="0"/>
              <w:keepLines w:val="0"/>
              <w:suppressLineNumbers w:val="0"/>
              <w:spacing w:before="0" w:beforeAutospacing="0" w:after="0" w:afterAutospacing="0" w:line="360" w:lineRule="auto"/>
              <w:ind w:left="0" w:right="0" w:firstLine="0" w:firstLineChars="0"/>
              <w:jc w:val="center"/>
              <w:outlineLvl w:val="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w:t>
            </w:r>
          </w:p>
        </w:tc>
        <w:tc>
          <w:tcPr>
            <w:tcW w:w="1727" w:type="dxa"/>
            <w:vAlign w:val="center"/>
          </w:tcPr>
          <w:p>
            <w:pPr>
              <w:keepNext w:val="0"/>
              <w:keepLines w:val="0"/>
              <w:suppressLineNumbers w:val="0"/>
              <w:spacing w:before="0" w:beforeAutospacing="0" w:after="0" w:afterAutospacing="0" w:line="360" w:lineRule="auto"/>
              <w:ind w:left="0" w:right="0"/>
              <w:jc w:val="center"/>
              <w:outlineLvl w:val="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团队能力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761" w:type="dxa"/>
            <w:vAlign w:val="center"/>
          </w:tcPr>
          <w:p>
            <w:pPr>
              <w:keepNext w:val="0"/>
              <w:keepLines w:val="0"/>
              <w:suppressLineNumbers w:val="0"/>
              <w:spacing w:before="0" w:beforeAutospacing="0" w:after="0" w:afterAutospacing="0" w:line="360" w:lineRule="auto"/>
              <w:ind w:left="0" w:leftChars="0" w:right="0" w:rightChars="0" w:firstLine="0" w:firstLineChars="0"/>
              <w:jc w:val="center"/>
              <w:outlineLvl w:val="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1.4</w:t>
            </w:r>
          </w:p>
        </w:tc>
        <w:tc>
          <w:tcPr>
            <w:tcW w:w="6619" w:type="dxa"/>
            <w:vAlign w:val="center"/>
          </w:tcPr>
          <w:p>
            <w:pPr>
              <w:keepNext w:val="0"/>
              <w:keepLines w:val="0"/>
              <w:suppressLineNumbers w:val="0"/>
              <w:spacing w:before="0" w:beforeAutospacing="0" w:after="0" w:afterAutospacing="0" w:line="240" w:lineRule="auto"/>
              <w:ind w:left="0" w:right="0"/>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投标人提供类似智慧监管软件平台与国产系统、云服务完成兼容性认证证书的得3分。</w:t>
            </w:r>
          </w:p>
          <w:p>
            <w:pPr>
              <w:keepNext w:val="0"/>
              <w:keepLines w:val="0"/>
              <w:suppressLineNumbers w:val="0"/>
              <w:spacing w:before="0" w:beforeAutospacing="0" w:after="0" w:afterAutospacing="0" w:line="240" w:lineRule="auto"/>
              <w:ind w:left="0" w:leftChars="0" w:right="0" w:rightChars="0"/>
              <w:outlineLvl w:val="0"/>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证明材料：提供有效期内的认证证书复印件加盖公章。</w:t>
            </w:r>
          </w:p>
        </w:tc>
        <w:tc>
          <w:tcPr>
            <w:tcW w:w="864" w:type="dxa"/>
            <w:vAlign w:val="center"/>
          </w:tcPr>
          <w:p>
            <w:pPr>
              <w:keepNext w:val="0"/>
              <w:keepLines w:val="0"/>
              <w:suppressLineNumbers w:val="0"/>
              <w:spacing w:before="0" w:beforeAutospacing="0" w:after="0" w:afterAutospacing="0" w:line="360" w:lineRule="auto"/>
              <w:ind w:left="0" w:leftChars="0" w:right="0" w:rightChars="0" w:firstLine="0" w:firstLineChars="0"/>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3</w:t>
            </w:r>
          </w:p>
        </w:tc>
        <w:tc>
          <w:tcPr>
            <w:tcW w:w="1727" w:type="dxa"/>
            <w:vAlign w:val="center"/>
          </w:tcPr>
          <w:p>
            <w:pPr>
              <w:keepNext w:val="0"/>
              <w:keepLines w:val="0"/>
              <w:suppressLineNumbers w:val="0"/>
              <w:spacing w:before="0" w:beforeAutospacing="0" w:after="0" w:afterAutospacing="0" w:line="360" w:lineRule="auto"/>
              <w:ind w:left="0" w:leftChars="0" w:right="0" w:rightChars="0"/>
              <w:jc w:val="center"/>
              <w:outlineLvl w:val="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国产化兼容性认证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61" w:type="dxa"/>
            <w:vAlign w:val="center"/>
          </w:tcPr>
          <w:p>
            <w:pPr>
              <w:keepNext w:val="0"/>
              <w:keepLines w:val="0"/>
              <w:widowControl/>
              <w:suppressLineNumbers w:val="0"/>
              <w:adjustRightInd/>
              <w:spacing w:before="0" w:beforeAutospacing="0" w:after="0" w:afterAutospacing="0" w:line="240" w:lineRule="auto"/>
              <w:ind w:left="0" w:right="0" w:firstLine="0" w:firstLineChars="0"/>
              <w:jc w:val="center"/>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w:t>
            </w:r>
          </w:p>
        </w:tc>
        <w:tc>
          <w:tcPr>
            <w:tcW w:w="6619" w:type="dxa"/>
            <w:vAlign w:val="center"/>
          </w:tcPr>
          <w:p>
            <w:pPr>
              <w:keepNext w:val="0"/>
              <w:keepLines w:val="0"/>
              <w:widowControl/>
              <w:suppressLineNumbers w:val="0"/>
              <w:adjustRightInd/>
              <w:spacing w:before="0" w:beforeAutospacing="0" w:after="0" w:afterAutospacing="0" w:line="240" w:lineRule="auto"/>
              <w:ind w:left="0" w:right="0"/>
              <w:jc w:val="center"/>
              <w:outlineLvl w:val="9"/>
              <w:rPr>
                <w:rFonts w:hint="eastAsia" w:ascii="仿宋" w:hAnsi="仿宋" w:eastAsia="仿宋" w:cs="仿宋"/>
                <w:b/>
                <w:bCs/>
                <w:color w:val="auto"/>
                <w:sz w:val="24"/>
                <w:highlight w:val="none"/>
                <w:lang w:eastAsia="zh-CN"/>
              </w:rPr>
            </w:pPr>
            <w:r>
              <w:rPr>
                <w:rFonts w:hint="eastAsia" w:ascii="仿宋" w:hAnsi="仿宋" w:eastAsia="仿宋" w:cs="仿宋"/>
                <w:b/>
                <w:bCs/>
                <w:color w:val="auto"/>
                <w:sz w:val="24"/>
                <w:highlight w:val="none"/>
                <w:lang w:eastAsia="zh-CN"/>
              </w:rPr>
              <w:t>技术分</w:t>
            </w:r>
          </w:p>
        </w:tc>
        <w:tc>
          <w:tcPr>
            <w:tcW w:w="864" w:type="dxa"/>
            <w:vAlign w:val="center"/>
          </w:tcPr>
          <w:p>
            <w:pPr>
              <w:keepNext w:val="0"/>
              <w:keepLines w:val="0"/>
              <w:widowControl/>
              <w:suppressLineNumbers w:val="0"/>
              <w:adjustRightInd/>
              <w:spacing w:before="0" w:beforeAutospacing="0" w:after="0" w:afterAutospacing="0" w:line="240" w:lineRule="auto"/>
              <w:ind w:left="0" w:right="0" w:firstLine="0" w:firstLineChars="0"/>
              <w:jc w:val="center"/>
              <w:outlineLvl w:val="9"/>
              <w:rPr>
                <w:rFonts w:hint="default"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49</w:t>
            </w:r>
          </w:p>
        </w:tc>
        <w:tc>
          <w:tcPr>
            <w:tcW w:w="1727" w:type="dxa"/>
            <w:vAlign w:val="center"/>
          </w:tcPr>
          <w:p>
            <w:pPr>
              <w:keepNext w:val="0"/>
              <w:keepLines w:val="0"/>
              <w:widowControl/>
              <w:suppressLineNumbers w:val="0"/>
              <w:adjustRightInd/>
              <w:spacing w:before="0" w:beforeAutospacing="0" w:after="0" w:afterAutospacing="0" w:line="240" w:lineRule="auto"/>
              <w:ind w:left="0" w:right="0"/>
              <w:jc w:val="center"/>
              <w:outlineLvl w:val="9"/>
              <w:rPr>
                <w:rFonts w:hint="eastAsia" w:ascii="仿宋" w:hAnsi="仿宋" w:eastAsia="仿宋" w:cs="仿宋"/>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761" w:type="dxa"/>
            <w:vAlign w:val="center"/>
          </w:tcPr>
          <w:p>
            <w:pPr>
              <w:keepNext w:val="0"/>
              <w:keepLines w:val="0"/>
              <w:suppressLineNumbers w:val="0"/>
              <w:spacing w:before="0" w:beforeAutospacing="0" w:after="0" w:afterAutospacing="0" w:line="360" w:lineRule="auto"/>
              <w:ind w:left="0" w:right="0" w:firstLine="0" w:firstLineChars="0"/>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2.1</w:t>
            </w:r>
          </w:p>
        </w:tc>
        <w:tc>
          <w:tcPr>
            <w:tcW w:w="6619" w:type="dxa"/>
            <w:vAlign w:val="center"/>
          </w:tcPr>
          <w:p>
            <w:pPr>
              <w:keepNext w:val="0"/>
              <w:keepLines w:val="0"/>
              <w:suppressLineNumbers w:val="0"/>
              <w:spacing w:before="0" w:beforeAutospacing="0" w:after="0" w:afterAutospacing="0" w:line="240" w:lineRule="auto"/>
              <w:ind w:left="0" w:right="0"/>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投标响应与采购需求的吻合程度</w:t>
            </w:r>
          </w:p>
          <w:p>
            <w:pPr>
              <w:keepNext w:val="0"/>
              <w:keepLines w:val="0"/>
              <w:suppressLineNumbers w:val="0"/>
              <w:spacing w:before="0" w:beforeAutospacing="0" w:after="0" w:afterAutospacing="0" w:line="240" w:lineRule="auto"/>
              <w:ind w:left="0" w:right="0"/>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投标产品技术性能、技术参数及服务等符合招标文件要求的得15分，标注“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kern w:val="2"/>
                <w:sz w:val="24"/>
                <w:szCs w:val="24"/>
                <w:highlight w:val="none"/>
                <w:lang w:val="en-US" w:eastAsia="zh-CN" w:bidi="ar-SA"/>
              </w:rPr>
              <w:t>”指标负偏离每一项扣1分，其余指标负偏离每一项扣1分，扣完为止。</w:t>
            </w:r>
          </w:p>
          <w:p>
            <w:pPr>
              <w:keepNext w:val="0"/>
              <w:keepLines w:val="0"/>
              <w:suppressLineNumbers w:val="0"/>
              <w:spacing w:before="0" w:beforeAutospacing="0" w:after="0" w:afterAutospacing="0" w:line="240" w:lineRule="auto"/>
              <w:ind w:left="0" w:right="0"/>
              <w:outlineLvl w:val="0"/>
              <w:rPr>
                <w:rFonts w:hint="eastAsia" w:ascii="仿宋" w:hAnsi="仿宋" w:eastAsia="仿宋" w:cs="仿宋"/>
                <w:color w:val="auto"/>
                <w:sz w:val="24"/>
                <w:highlight w:val="none"/>
                <w:lang w:eastAsia="zh-CN"/>
              </w:rPr>
            </w:pPr>
            <w:r>
              <w:rPr>
                <w:rFonts w:hint="eastAsia" w:ascii="仿宋" w:hAnsi="仿宋" w:eastAsia="仿宋" w:cs="仿宋"/>
                <w:b/>
                <w:bCs/>
                <w:color w:val="auto"/>
                <w:kern w:val="2"/>
                <w:sz w:val="24"/>
                <w:szCs w:val="24"/>
                <w:highlight w:val="none"/>
                <w:lang w:val="en-US" w:eastAsia="zh-CN" w:bidi="ar-SA"/>
              </w:rPr>
              <w:t>证明材料：采购需求中要求提供证明/证书复印件/功能截图等资料的，须提供，否则视为不满足此项要求。</w:t>
            </w:r>
          </w:p>
        </w:tc>
        <w:tc>
          <w:tcPr>
            <w:tcW w:w="864" w:type="dxa"/>
            <w:vAlign w:val="center"/>
          </w:tcPr>
          <w:p>
            <w:pPr>
              <w:keepNext w:val="0"/>
              <w:keepLines w:val="0"/>
              <w:suppressLineNumbers w:val="0"/>
              <w:spacing w:before="0" w:beforeAutospacing="0" w:after="0" w:afterAutospacing="0" w:line="360" w:lineRule="auto"/>
              <w:ind w:left="0" w:right="0" w:firstLine="0" w:firstLineChars="0"/>
              <w:jc w:val="center"/>
              <w:outlineLvl w:val="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15</w:t>
            </w:r>
          </w:p>
        </w:tc>
        <w:tc>
          <w:tcPr>
            <w:tcW w:w="1727" w:type="dxa"/>
            <w:vAlign w:val="center"/>
          </w:tcPr>
          <w:p>
            <w:pPr>
              <w:keepNext w:val="0"/>
              <w:keepLines w:val="0"/>
              <w:suppressLineNumbers w:val="0"/>
              <w:spacing w:before="0" w:beforeAutospacing="0" w:after="0" w:afterAutospacing="0" w:line="360" w:lineRule="auto"/>
              <w:ind w:left="0" w:right="0"/>
              <w:jc w:val="center"/>
              <w:outlineLvl w:val="0"/>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61" w:type="dxa"/>
            <w:vAlign w:val="center"/>
          </w:tcPr>
          <w:p>
            <w:pPr>
              <w:keepNext w:val="0"/>
              <w:keepLines w:val="0"/>
              <w:suppressLineNumbers w:val="0"/>
              <w:spacing w:before="0" w:beforeAutospacing="0" w:after="0" w:afterAutospacing="0" w:line="360" w:lineRule="auto"/>
              <w:ind w:left="0" w:right="0" w:firstLine="0" w:firstLineChars="0"/>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2.2</w:t>
            </w:r>
          </w:p>
        </w:tc>
        <w:tc>
          <w:tcPr>
            <w:tcW w:w="6619" w:type="dxa"/>
            <w:vAlign w:val="center"/>
          </w:tcPr>
          <w:p>
            <w:pPr>
              <w:keepNext w:val="0"/>
              <w:keepLines w:val="0"/>
              <w:suppressLineNumbers w:val="0"/>
              <w:spacing w:before="0" w:beforeAutospacing="0" w:after="0" w:afterAutospacing="0" w:line="240" w:lineRule="auto"/>
              <w:ind w:left="0" w:right="0"/>
              <w:outlineLvl w:val="0"/>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实施方案</w:t>
            </w:r>
          </w:p>
          <w:p>
            <w:pPr>
              <w:keepNext w:val="0"/>
              <w:keepLines w:val="0"/>
              <w:suppressLineNumbers w:val="0"/>
              <w:spacing w:before="0" w:beforeAutospacing="0" w:after="0" w:afterAutospacing="0" w:line="240" w:lineRule="auto"/>
              <w:ind w:left="0" w:right="0"/>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bidi="ar"/>
              </w:rPr>
              <w:t>投标人提供完善的项目实施设计方案、工期进度管理方案、项目验收测试方案、人员培训方案等的，根据实施方案的完整性、合理性、可行性，及与招标文件的符合度进行综合评分，较好的7-10分，一般的3-6，差的0-2分。</w:t>
            </w:r>
          </w:p>
        </w:tc>
        <w:tc>
          <w:tcPr>
            <w:tcW w:w="864" w:type="dxa"/>
            <w:vAlign w:val="center"/>
          </w:tcPr>
          <w:p>
            <w:pPr>
              <w:keepNext w:val="0"/>
              <w:keepLines w:val="0"/>
              <w:suppressLineNumbers w:val="0"/>
              <w:spacing w:before="0" w:beforeAutospacing="0" w:after="0" w:afterAutospacing="0" w:line="360" w:lineRule="auto"/>
              <w:ind w:left="0" w:right="0" w:firstLine="0" w:firstLineChars="0"/>
              <w:jc w:val="center"/>
              <w:outlineLvl w:val="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w:t>
            </w:r>
          </w:p>
        </w:tc>
        <w:tc>
          <w:tcPr>
            <w:tcW w:w="1727" w:type="dxa"/>
            <w:vAlign w:val="center"/>
          </w:tcPr>
          <w:p>
            <w:pPr>
              <w:keepNext w:val="0"/>
              <w:keepLines w:val="0"/>
              <w:suppressLineNumbers w:val="0"/>
              <w:spacing w:before="0" w:beforeAutospacing="0" w:after="0" w:afterAutospacing="0" w:line="240" w:lineRule="auto"/>
              <w:ind w:left="0" w:right="0"/>
              <w:outlineLvl w:val="0"/>
              <w:rPr>
                <w:rFonts w:hint="eastAsia" w:ascii="仿宋" w:hAnsi="仿宋" w:eastAsia="仿宋" w:cs="仿宋"/>
                <w:color w:val="auto"/>
                <w:sz w:val="24"/>
                <w:highlight w:val="none"/>
              </w:rPr>
            </w:pPr>
            <w:r>
              <w:rPr>
                <w:rFonts w:hint="eastAsia" w:ascii="仿宋" w:hAnsi="仿宋" w:eastAsia="仿宋" w:cs="仿宋"/>
                <w:b w:val="0"/>
                <w:bCs w:val="0"/>
                <w:color w:val="auto"/>
                <w:sz w:val="24"/>
                <w:szCs w:val="24"/>
                <w:highlight w:val="none"/>
                <w:lang w:val="en-US" w:eastAsia="zh-CN"/>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jc w:val="center"/>
        </w:trPr>
        <w:tc>
          <w:tcPr>
            <w:tcW w:w="761" w:type="dxa"/>
            <w:vAlign w:val="center"/>
          </w:tcPr>
          <w:p>
            <w:pPr>
              <w:keepNext w:val="0"/>
              <w:keepLines w:val="0"/>
              <w:suppressLineNumbers w:val="0"/>
              <w:spacing w:before="0" w:beforeAutospacing="0" w:after="0" w:afterAutospacing="0" w:line="360" w:lineRule="auto"/>
              <w:ind w:left="0" w:right="0" w:firstLine="0" w:firstLineChars="0"/>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2.4</w:t>
            </w:r>
          </w:p>
        </w:tc>
        <w:tc>
          <w:tcPr>
            <w:tcW w:w="6619" w:type="dxa"/>
            <w:vAlign w:val="center"/>
          </w:tcPr>
          <w:p>
            <w:pPr>
              <w:keepNext w:val="0"/>
              <w:keepLines w:val="0"/>
              <w:suppressLineNumbers w:val="0"/>
              <w:spacing w:before="0" w:beforeAutospacing="0" w:after="0" w:afterAutospacing="0" w:line="240" w:lineRule="auto"/>
              <w:ind w:left="0" w:right="0"/>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质量保障</w:t>
            </w:r>
          </w:p>
          <w:p>
            <w:pPr>
              <w:keepNext w:val="0"/>
              <w:keepLines w:val="0"/>
              <w:suppressLineNumbers w:val="0"/>
              <w:spacing w:before="0" w:beforeAutospacing="0" w:after="0" w:afterAutospacing="0" w:line="240" w:lineRule="auto"/>
              <w:ind w:left="0" w:right="0"/>
              <w:outlineLvl w:val="0"/>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投标人提供针对本项目的质量保障方案，包括质量保障目标、质量管理方案、质量保障措施等，完整、合理的7-</w:t>
            </w:r>
            <w:r>
              <w:rPr>
                <w:rFonts w:hint="eastAsia" w:ascii="仿宋" w:hAnsi="仿宋" w:eastAsia="仿宋" w:cs="仿宋"/>
                <w:color w:val="auto"/>
                <w:kern w:val="0"/>
                <w:sz w:val="24"/>
                <w:szCs w:val="24"/>
                <w:highlight w:val="none"/>
                <w:lang w:val="en-US" w:eastAsia="zh-CN" w:bidi="ar"/>
              </w:rPr>
              <w:t>9</w:t>
            </w:r>
            <w:r>
              <w:rPr>
                <w:rFonts w:hint="eastAsia" w:ascii="仿宋" w:hAnsi="仿宋" w:eastAsia="仿宋" w:cs="仿宋"/>
                <w:color w:val="auto"/>
                <w:kern w:val="0"/>
                <w:sz w:val="24"/>
                <w:szCs w:val="24"/>
                <w:highlight w:val="none"/>
                <w:lang w:bidi="ar"/>
              </w:rPr>
              <w:t>分，一般的3-6分，差的0-2分。</w:t>
            </w:r>
          </w:p>
        </w:tc>
        <w:tc>
          <w:tcPr>
            <w:tcW w:w="864" w:type="dxa"/>
            <w:vAlign w:val="center"/>
          </w:tcPr>
          <w:p>
            <w:pPr>
              <w:keepNext w:val="0"/>
              <w:keepLines w:val="0"/>
              <w:suppressLineNumbers w:val="0"/>
              <w:spacing w:before="0" w:beforeAutospacing="0" w:after="0" w:afterAutospacing="0" w:line="360" w:lineRule="auto"/>
              <w:ind w:left="0" w:right="0" w:firstLine="0" w:firstLineChars="0"/>
              <w:jc w:val="center"/>
              <w:outlineLvl w:val="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9</w:t>
            </w:r>
          </w:p>
        </w:tc>
        <w:tc>
          <w:tcPr>
            <w:tcW w:w="1727" w:type="dxa"/>
            <w:vAlign w:val="center"/>
          </w:tcPr>
          <w:p>
            <w:pPr>
              <w:keepNext w:val="0"/>
              <w:keepLines w:val="0"/>
              <w:suppressLineNumbers w:val="0"/>
              <w:spacing w:before="0" w:beforeAutospacing="0" w:after="0" w:afterAutospacing="0" w:line="240" w:lineRule="auto"/>
              <w:ind w:left="0" w:right="0"/>
              <w:outlineLvl w:val="0"/>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质量保障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761" w:type="dxa"/>
            <w:vAlign w:val="center"/>
          </w:tcPr>
          <w:p>
            <w:pPr>
              <w:keepNext w:val="0"/>
              <w:keepLines w:val="0"/>
              <w:suppressLineNumbers w:val="0"/>
              <w:spacing w:before="0" w:beforeAutospacing="0" w:after="0" w:afterAutospacing="0" w:line="360" w:lineRule="auto"/>
              <w:ind w:left="0" w:right="0" w:firstLine="0" w:firstLineChars="0"/>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2.5</w:t>
            </w:r>
          </w:p>
        </w:tc>
        <w:tc>
          <w:tcPr>
            <w:tcW w:w="6619" w:type="dxa"/>
            <w:vAlign w:val="center"/>
          </w:tcPr>
          <w:p>
            <w:pPr>
              <w:keepNext w:val="0"/>
              <w:keepLines w:val="0"/>
              <w:suppressLineNumbers w:val="0"/>
              <w:spacing w:before="0" w:beforeAutospacing="0" w:after="0" w:afterAutospacing="0" w:line="240" w:lineRule="auto"/>
              <w:ind w:left="0" w:right="0"/>
              <w:jc w:val="both"/>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培训方案</w:t>
            </w:r>
          </w:p>
          <w:p>
            <w:pPr>
              <w:keepNext w:val="0"/>
              <w:keepLines w:val="0"/>
              <w:suppressLineNumbers w:val="0"/>
              <w:spacing w:before="0" w:beforeAutospacing="0" w:after="0" w:afterAutospacing="0" w:line="240" w:lineRule="auto"/>
              <w:ind w:left="0" w:right="0"/>
              <w:outlineLvl w:val="0"/>
              <w:rPr>
                <w:rFonts w:hint="eastAsia" w:ascii="仿宋" w:hAnsi="仿宋" w:eastAsia="仿宋" w:cs="仿宋"/>
                <w:color w:val="auto"/>
                <w:kern w:val="0"/>
                <w:sz w:val="24"/>
                <w:szCs w:val="24"/>
                <w:highlight w:val="none"/>
                <w:lang w:bidi="ar"/>
              </w:rPr>
            </w:pPr>
            <w:r>
              <w:rPr>
                <w:rFonts w:hint="eastAsia" w:ascii="仿宋" w:hAnsi="仿宋" w:eastAsia="仿宋" w:cs="仿宋"/>
                <w:color w:val="auto"/>
                <w:sz w:val="24"/>
                <w:szCs w:val="24"/>
                <w:highlight w:val="none"/>
              </w:rPr>
              <w:t>根据投标人针对本项目提供操作培训和维护培训及提供其他形式培训的情况，具体至培训内容、培训效果检查、培训效果跟踪等，完整、合理的得4-</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分，略有缺陷的得2-3.9分，未表述不得分。</w:t>
            </w:r>
          </w:p>
        </w:tc>
        <w:tc>
          <w:tcPr>
            <w:tcW w:w="864" w:type="dxa"/>
            <w:vAlign w:val="center"/>
          </w:tcPr>
          <w:p>
            <w:pPr>
              <w:keepNext w:val="0"/>
              <w:keepLines w:val="0"/>
              <w:suppressLineNumbers w:val="0"/>
              <w:spacing w:before="0" w:beforeAutospacing="0" w:after="0" w:afterAutospacing="0" w:line="360" w:lineRule="auto"/>
              <w:ind w:left="0" w:right="0" w:firstLine="0" w:firstLineChars="0"/>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1727" w:type="dxa"/>
            <w:vAlign w:val="center"/>
          </w:tcPr>
          <w:p>
            <w:pPr>
              <w:keepNext w:val="0"/>
              <w:keepLines w:val="0"/>
              <w:suppressLineNumbers w:val="0"/>
              <w:spacing w:before="0" w:beforeAutospacing="0" w:after="0" w:afterAutospacing="0" w:line="240" w:lineRule="auto"/>
              <w:ind w:left="0" w:right="0"/>
              <w:jc w:val="both"/>
              <w:outlineLvl w:val="9"/>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761" w:type="dxa"/>
            <w:vAlign w:val="center"/>
          </w:tcPr>
          <w:p>
            <w:pPr>
              <w:keepNext w:val="0"/>
              <w:keepLines w:val="0"/>
              <w:suppressLineNumbers w:val="0"/>
              <w:spacing w:before="0" w:beforeAutospacing="0" w:after="0" w:afterAutospacing="0" w:line="360" w:lineRule="auto"/>
              <w:ind w:left="0" w:right="0" w:firstLine="0" w:firstLineChars="0"/>
              <w:jc w:val="center"/>
              <w:outlineLvl w:val="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2.6</w:t>
            </w:r>
          </w:p>
        </w:tc>
        <w:tc>
          <w:tcPr>
            <w:tcW w:w="6619" w:type="dxa"/>
            <w:vAlign w:val="center"/>
          </w:tcPr>
          <w:p>
            <w:pPr>
              <w:keepNext w:val="0"/>
              <w:keepLines w:val="0"/>
              <w:suppressLineNumbers w:val="0"/>
              <w:spacing w:before="0" w:beforeAutospacing="0" w:after="0" w:afterAutospacing="0" w:line="240" w:lineRule="auto"/>
              <w:ind w:left="0" w:right="0"/>
              <w:outlineLvl w:val="0"/>
              <w:rPr>
                <w:rFonts w:hint="eastAsia"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售后服务</w:t>
            </w:r>
          </w:p>
          <w:p>
            <w:pPr>
              <w:keepNext w:val="0"/>
              <w:keepLines w:val="0"/>
              <w:suppressLineNumbers w:val="0"/>
              <w:spacing w:before="0" w:beforeAutospacing="0" w:after="0" w:afterAutospacing="0" w:line="240" w:lineRule="auto"/>
              <w:ind w:left="0" w:right="0"/>
              <w:outlineLvl w:val="0"/>
              <w:rPr>
                <w:rFonts w:hint="eastAsia" w:ascii="仿宋" w:hAnsi="仿宋" w:eastAsia="仿宋" w:cs="仿宋"/>
                <w:color w:val="auto"/>
                <w:sz w:val="24"/>
                <w:szCs w:val="24"/>
                <w:highlight w:val="none"/>
              </w:rPr>
            </w:pPr>
            <w:r>
              <w:rPr>
                <w:rFonts w:hint="eastAsia" w:ascii="仿宋" w:hAnsi="仿宋" w:eastAsia="仿宋" w:cs="仿宋"/>
                <w:bCs/>
                <w:color w:val="auto"/>
                <w:kern w:val="2"/>
                <w:sz w:val="24"/>
                <w:szCs w:val="24"/>
                <w:highlight w:val="none"/>
                <w:lang w:val="zh-CN" w:bidi="ar"/>
              </w:rPr>
              <w:t>结合自身的售后服务经验，根据本项目要求，投标人需要提供服务方式（是否能提供远程、现场等全方位多渠道的售后服务方式）、服务内容（是否能提供日常技术支持与升级服务等完善的服务内容）。按服务方案的优劣，较好的</w:t>
            </w:r>
            <w:r>
              <w:rPr>
                <w:rFonts w:hint="eastAsia" w:ascii="仿宋" w:hAnsi="仿宋" w:eastAsia="仿宋" w:cs="仿宋"/>
                <w:bCs/>
                <w:color w:val="auto"/>
                <w:kern w:val="2"/>
                <w:sz w:val="24"/>
                <w:szCs w:val="24"/>
                <w:highlight w:val="none"/>
                <w:lang w:val="en-US" w:eastAsia="zh-CN" w:bidi="ar"/>
              </w:rPr>
              <w:t>4</w:t>
            </w:r>
            <w:r>
              <w:rPr>
                <w:rFonts w:hint="eastAsia" w:ascii="仿宋" w:hAnsi="仿宋" w:eastAsia="仿宋" w:cs="仿宋"/>
                <w:bCs/>
                <w:color w:val="auto"/>
                <w:kern w:val="2"/>
                <w:sz w:val="24"/>
                <w:szCs w:val="24"/>
                <w:highlight w:val="none"/>
                <w:lang w:val="zh-CN" w:bidi="ar"/>
              </w:rPr>
              <w:t>-</w:t>
            </w:r>
            <w:r>
              <w:rPr>
                <w:rFonts w:hint="eastAsia" w:ascii="仿宋" w:hAnsi="仿宋" w:eastAsia="仿宋" w:cs="仿宋"/>
                <w:bCs/>
                <w:color w:val="auto"/>
                <w:kern w:val="2"/>
                <w:sz w:val="24"/>
                <w:szCs w:val="24"/>
                <w:highlight w:val="none"/>
                <w:lang w:val="en-US" w:eastAsia="zh-CN" w:bidi="ar"/>
              </w:rPr>
              <w:t>5</w:t>
            </w:r>
            <w:r>
              <w:rPr>
                <w:rFonts w:hint="eastAsia" w:ascii="仿宋" w:hAnsi="仿宋" w:eastAsia="仿宋" w:cs="仿宋"/>
                <w:bCs/>
                <w:color w:val="auto"/>
                <w:kern w:val="2"/>
                <w:sz w:val="24"/>
                <w:szCs w:val="24"/>
                <w:highlight w:val="none"/>
                <w:lang w:val="zh-CN" w:bidi="ar"/>
              </w:rPr>
              <w:t>分，一般的</w:t>
            </w:r>
            <w:r>
              <w:rPr>
                <w:rFonts w:hint="eastAsia" w:ascii="仿宋" w:hAnsi="仿宋" w:eastAsia="仿宋" w:cs="仿宋"/>
                <w:bCs/>
                <w:color w:val="auto"/>
                <w:kern w:val="2"/>
                <w:sz w:val="24"/>
                <w:szCs w:val="24"/>
                <w:highlight w:val="none"/>
                <w:lang w:val="en-US" w:eastAsia="zh-CN" w:bidi="ar"/>
              </w:rPr>
              <w:t>2-3.9</w:t>
            </w:r>
            <w:r>
              <w:rPr>
                <w:rFonts w:hint="eastAsia" w:ascii="仿宋" w:hAnsi="仿宋" w:eastAsia="仿宋" w:cs="仿宋"/>
                <w:bCs/>
                <w:color w:val="auto"/>
                <w:kern w:val="2"/>
                <w:sz w:val="24"/>
                <w:szCs w:val="24"/>
                <w:highlight w:val="none"/>
                <w:lang w:val="zh-CN" w:bidi="ar"/>
              </w:rPr>
              <w:t>，</w:t>
            </w:r>
            <w:r>
              <w:rPr>
                <w:rFonts w:hint="eastAsia" w:ascii="仿宋" w:hAnsi="仿宋" w:eastAsia="仿宋" w:cs="仿宋"/>
                <w:bCs/>
                <w:color w:val="auto"/>
                <w:kern w:val="2"/>
                <w:sz w:val="24"/>
                <w:szCs w:val="24"/>
                <w:highlight w:val="none"/>
                <w:lang w:val="en-US" w:eastAsia="zh-CN" w:bidi="ar"/>
              </w:rPr>
              <w:t>未提供不得分</w:t>
            </w:r>
          </w:p>
        </w:tc>
        <w:tc>
          <w:tcPr>
            <w:tcW w:w="864" w:type="dxa"/>
            <w:vAlign w:val="center"/>
          </w:tcPr>
          <w:p>
            <w:pPr>
              <w:keepNext w:val="0"/>
              <w:keepLines w:val="0"/>
              <w:suppressLineNumbers w:val="0"/>
              <w:spacing w:before="0" w:beforeAutospacing="0" w:after="0" w:afterAutospacing="0" w:line="360" w:lineRule="auto"/>
              <w:ind w:left="0" w:right="0" w:firstLine="0" w:firstLineChars="0"/>
              <w:jc w:val="center"/>
              <w:outlineLvl w:val="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1727" w:type="dxa"/>
            <w:vAlign w:val="center"/>
          </w:tcPr>
          <w:p>
            <w:pPr>
              <w:keepNext w:val="0"/>
              <w:keepLines w:val="0"/>
              <w:suppressLineNumbers w:val="0"/>
              <w:spacing w:before="0" w:beforeAutospacing="0" w:after="0" w:afterAutospacing="0" w:line="240" w:lineRule="auto"/>
              <w:ind w:left="0" w:right="0"/>
              <w:outlineLvl w:val="0"/>
              <w:rPr>
                <w:rFonts w:hint="eastAsia" w:ascii="仿宋" w:hAnsi="仿宋" w:eastAsia="仿宋" w:cs="仿宋"/>
                <w:color w:val="auto"/>
                <w:sz w:val="24"/>
                <w:highlight w:val="none"/>
              </w:rPr>
            </w:pPr>
            <w:r>
              <w:rPr>
                <w:rFonts w:hint="eastAsia" w:ascii="仿宋" w:hAnsi="仿宋" w:eastAsia="仿宋" w:cs="仿宋"/>
                <w:bCs/>
                <w:color w:val="auto"/>
                <w:sz w:val="24"/>
                <w:szCs w:val="24"/>
                <w:highlight w:val="none"/>
                <w:lang w:val="zh-CN"/>
              </w:rPr>
              <w:t>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761" w:type="dxa"/>
            <w:vAlign w:val="center"/>
          </w:tcPr>
          <w:p>
            <w:pPr>
              <w:keepNext w:val="0"/>
              <w:keepLines w:val="0"/>
              <w:suppressLineNumbers w:val="0"/>
              <w:spacing w:before="0" w:beforeAutospacing="0" w:after="0" w:afterAutospacing="0" w:line="360" w:lineRule="auto"/>
              <w:ind w:left="0" w:right="0" w:firstLine="0" w:firstLineChars="0"/>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2.7</w:t>
            </w:r>
          </w:p>
        </w:tc>
        <w:tc>
          <w:tcPr>
            <w:tcW w:w="6619" w:type="dxa"/>
            <w:vAlign w:val="center"/>
          </w:tcPr>
          <w:p>
            <w:pPr>
              <w:keepNext w:val="0"/>
              <w:keepLines w:val="0"/>
              <w:suppressLineNumbers w:val="0"/>
              <w:spacing w:before="0" w:beforeAutospacing="0" w:after="0" w:afterAutospacing="0" w:line="240" w:lineRule="auto"/>
              <w:ind w:left="0" w:right="0"/>
              <w:outlineLvl w:val="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验收方案</w:t>
            </w:r>
          </w:p>
          <w:p>
            <w:pPr>
              <w:keepNext w:val="0"/>
              <w:keepLines w:val="0"/>
              <w:suppressLineNumbers w:val="0"/>
              <w:spacing w:before="0" w:beforeAutospacing="0" w:after="0" w:afterAutospacing="0" w:line="240" w:lineRule="auto"/>
              <w:ind w:left="0" w:right="0"/>
              <w:outlineLvl w:val="0"/>
              <w:rPr>
                <w:rFonts w:hint="eastAsia" w:ascii="仿宋" w:hAnsi="仿宋" w:eastAsia="仿宋" w:cs="仿宋"/>
                <w:bCs/>
                <w:color w:val="auto"/>
                <w:sz w:val="24"/>
                <w:szCs w:val="24"/>
                <w:highlight w:val="none"/>
                <w:lang w:val="zh-CN"/>
              </w:rPr>
            </w:pPr>
            <w:r>
              <w:rPr>
                <w:rFonts w:hint="eastAsia" w:ascii="仿宋" w:hAnsi="仿宋" w:eastAsia="仿宋" w:cs="仿宋"/>
                <w:color w:val="auto"/>
                <w:sz w:val="24"/>
                <w:szCs w:val="24"/>
                <w:highlight w:val="none"/>
              </w:rPr>
              <w:t>根据投标人针对本项目提供的功能测试及验收方案</w:t>
            </w:r>
            <w:r>
              <w:rPr>
                <w:rFonts w:hint="eastAsia" w:ascii="仿宋" w:hAnsi="仿宋" w:eastAsia="仿宋" w:cs="仿宋"/>
                <w:color w:val="auto"/>
                <w:sz w:val="24"/>
                <w:highlight w:val="none"/>
              </w:rPr>
              <w:t>进行打分。</w:t>
            </w:r>
            <w:r>
              <w:rPr>
                <w:rFonts w:hint="eastAsia" w:ascii="仿宋" w:hAnsi="仿宋" w:eastAsia="仿宋" w:cs="仿宋"/>
                <w:color w:val="auto"/>
                <w:sz w:val="24"/>
                <w:szCs w:val="24"/>
                <w:highlight w:val="none"/>
              </w:rPr>
              <w:t>完整、合理的得4-</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分，略有缺陷的得2-3.9分，未表述不得分。</w:t>
            </w:r>
          </w:p>
        </w:tc>
        <w:tc>
          <w:tcPr>
            <w:tcW w:w="864" w:type="dxa"/>
            <w:vAlign w:val="center"/>
          </w:tcPr>
          <w:p>
            <w:pPr>
              <w:keepNext w:val="0"/>
              <w:keepLines w:val="0"/>
              <w:suppressLineNumbers w:val="0"/>
              <w:spacing w:before="0" w:beforeAutospacing="0" w:after="0" w:afterAutospacing="0" w:line="360" w:lineRule="auto"/>
              <w:ind w:left="0" w:right="0" w:firstLine="0" w:firstLineChars="0"/>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1727" w:type="dxa"/>
            <w:vAlign w:val="center"/>
          </w:tcPr>
          <w:p>
            <w:pPr>
              <w:keepNext w:val="0"/>
              <w:keepLines w:val="0"/>
              <w:suppressLineNumbers w:val="0"/>
              <w:spacing w:before="0" w:beforeAutospacing="0" w:after="0" w:afterAutospacing="0" w:line="240" w:lineRule="auto"/>
              <w:ind w:left="0" w:right="0"/>
              <w:outlineLvl w:val="0"/>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lang w:eastAsia="zh-CN"/>
              </w:rPr>
              <w:t>验收方案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61" w:type="dxa"/>
            <w:vAlign w:val="center"/>
          </w:tcPr>
          <w:p>
            <w:pPr>
              <w:keepNext w:val="0"/>
              <w:keepLines w:val="0"/>
              <w:widowControl/>
              <w:suppressLineNumbers w:val="0"/>
              <w:adjustRightInd/>
              <w:spacing w:before="0" w:beforeAutospacing="0" w:after="0" w:afterAutospacing="0" w:line="240" w:lineRule="auto"/>
              <w:ind w:left="0" w:right="0" w:firstLine="0" w:firstLineChars="0"/>
              <w:jc w:val="center"/>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3</w:t>
            </w:r>
          </w:p>
        </w:tc>
        <w:tc>
          <w:tcPr>
            <w:tcW w:w="6619" w:type="dxa"/>
            <w:vAlign w:val="center"/>
          </w:tcPr>
          <w:p>
            <w:pPr>
              <w:keepNext w:val="0"/>
              <w:keepLines w:val="0"/>
              <w:widowControl/>
              <w:suppressLineNumbers w:val="0"/>
              <w:spacing w:before="0" w:beforeAutospacing="0" w:after="0" w:afterAutospacing="0" w:line="240" w:lineRule="auto"/>
              <w:ind w:left="0" w:right="0" w:firstLine="0"/>
              <w:jc w:val="center"/>
              <w:outlineLvl w:val="9"/>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szCs w:val="24"/>
                <w:highlight w:val="none"/>
                <w:lang w:val="en-US" w:eastAsia="zh-CN"/>
              </w:rPr>
              <w:t>演示分</w:t>
            </w:r>
          </w:p>
        </w:tc>
        <w:tc>
          <w:tcPr>
            <w:tcW w:w="864" w:type="dxa"/>
            <w:vAlign w:val="center"/>
          </w:tcPr>
          <w:p>
            <w:pPr>
              <w:keepNext w:val="0"/>
              <w:keepLines w:val="0"/>
              <w:widowControl/>
              <w:suppressLineNumbers w:val="0"/>
              <w:adjustRightInd/>
              <w:spacing w:before="0" w:beforeAutospacing="0" w:after="0" w:afterAutospacing="0" w:line="240" w:lineRule="auto"/>
              <w:ind w:left="0" w:right="0" w:firstLine="0" w:firstLineChars="0"/>
              <w:jc w:val="center"/>
              <w:outlineLvl w:val="9"/>
              <w:rPr>
                <w:rFonts w:hint="default"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26</w:t>
            </w:r>
          </w:p>
        </w:tc>
        <w:tc>
          <w:tcPr>
            <w:tcW w:w="1727" w:type="dxa"/>
            <w:vAlign w:val="center"/>
          </w:tcPr>
          <w:p>
            <w:pPr>
              <w:keepNext w:val="0"/>
              <w:keepLines w:val="0"/>
              <w:widowControl/>
              <w:suppressLineNumbers w:val="0"/>
              <w:adjustRightInd/>
              <w:spacing w:before="0" w:beforeAutospacing="0" w:after="0" w:afterAutospacing="0" w:line="240" w:lineRule="auto"/>
              <w:ind w:left="0" w:right="0"/>
              <w:jc w:val="center"/>
              <w:outlineLvl w:val="9"/>
              <w:rPr>
                <w:rFonts w:hint="eastAsia" w:ascii="仿宋" w:hAnsi="仿宋" w:eastAsia="仿宋" w:cs="仿宋"/>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761" w:type="dxa"/>
            <w:vAlign w:val="center"/>
          </w:tcPr>
          <w:p>
            <w:pPr>
              <w:keepNext w:val="0"/>
              <w:keepLines w:val="0"/>
              <w:suppressLineNumbers w:val="0"/>
              <w:spacing w:before="0" w:beforeAutospacing="0" w:after="0" w:afterAutospacing="0" w:line="360" w:lineRule="auto"/>
              <w:ind w:left="0" w:right="0" w:firstLine="0" w:firstLineChars="0"/>
              <w:jc w:val="center"/>
              <w:outlineLvl w:val="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3.1</w:t>
            </w:r>
          </w:p>
        </w:tc>
        <w:tc>
          <w:tcPr>
            <w:tcW w:w="6619" w:type="dxa"/>
            <w:vAlign w:val="center"/>
          </w:tcPr>
          <w:p>
            <w:pPr>
              <w:keepNext w:val="0"/>
              <w:keepLines w:val="0"/>
              <w:suppressLineNumbers w:val="0"/>
              <w:spacing w:before="0" w:beforeAutospacing="0" w:after="0" w:afterAutospacing="0" w:line="240" w:lineRule="auto"/>
              <w:ind w:left="0" w:right="0"/>
              <w:outlineLvl w:val="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①演示时间不超过15分钟。（超时扣分）；</w:t>
            </w:r>
          </w:p>
          <w:p>
            <w:pPr>
              <w:keepNext w:val="0"/>
              <w:keepLines w:val="0"/>
              <w:suppressLineNumbers w:val="0"/>
              <w:spacing w:before="0" w:beforeAutospacing="0" w:after="0" w:afterAutospacing="0" w:line="240" w:lineRule="auto"/>
              <w:ind w:left="0" w:right="0"/>
              <w:outlineLvl w:val="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②演示功能需要通过真实系统加以展示。通过WORD、PPT或软件DEMO等其他方式演示的</w:t>
            </w:r>
            <w:r>
              <w:rPr>
                <w:rFonts w:hint="eastAsia" w:ascii="仿宋" w:hAnsi="仿宋" w:eastAsia="仿宋" w:cs="仿宋"/>
                <w:b/>
                <w:bCs/>
                <w:color w:val="auto"/>
                <w:sz w:val="24"/>
                <w:szCs w:val="24"/>
                <w:highlight w:val="none"/>
                <w:lang w:val="en-US" w:eastAsia="zh-CN"/>
              </w:rPr>
              <w:t>不得分</w:t>
            </w:r>
            <w:r>
              <w:rPr>
                <w:rFonts w:hint="eastAsia" w:ascii="仿宋" w:hAnsi="仿宋" w:eastAsia="仿宋" w:cs="仿宋"/>
                <w:b/>
                <w:bCs/>
                <w:color w:val="auto"/>
                <w:sz w:val="24"/>
                <w:szCs w:val="24"/>
                <w:highlight w:val="none"/>
              </w:rPr>
              <w:t>，本项最高得10分；</w:t>
            </w:r>
          </w:p>
          <w:p>
            <w:pPr>
              <w:keepNext w:val="0"/>
              <w:keepLines w:val="0"/>
              <w:suppressLineNumbers w:val="0"/>
              <w:spacing w:before="0" w:beforeAutospacing="0" w:after="0" w:afterAutospacing="0" w:line="240" w:lineRule="auto"/>
              <w:ind w:left="0" w:right="0"/>
              <w:outlineLvl w:val="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③讲解次序以现场演示签到时间先后次序为准，讲解演示人员不超过2人。讲解演示结束后按要求解答评标委员会提问。</w:t>
            </w:r>
          </w:p>
          <w:p>
            <w:pPr>
              <w:keepNext w:val="0"/>
              <w:keepLines w:val="0"/>
              <w:suppressLineNumbers w:val="0"/>
              <w:spacing w:before="0" w:beforeAutospacing="0" w:after="0" w:afterAutospacing="0" w:line="240" w:lineRule="auto"/>
              <w:ind w:left="0" w:right="0"/>
              <w:outlineLvl w:val="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④现场讲解。现场讲解地点为浙江省杭州市古墩路701号紫金广场A座15楼1505室等候，讲解演示所用电脑等设备由投标人自备。</w:t>
            </w:r>
          </w:p>
          <w:p>
            <w:pPr>
              <w:keepNext w:val="0"/>
              <w:keepLines w:val="0"/>
              <w:suppressLineNumbers w:val="0"/>
              <w:spacing w:before="0" w:beforeAutospacing="0" w:after="0" w:afterAutospacing="0" w:line="240" w:lineRule="auto"/>
              <w:ind w:left="0" w:right="0"/>
              <w:outlineLvl w:val="0"/>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一、业务功能演示：</w:t>
            </w:r>
          </w:p>
          <w:p>
            <w:pPr>
              <w:keepNext w:val="0"/>
              <w:keepLines w:val="0"/>
              <w:suppressLineNumbers w:val="0"/>
              <w:spacing w:before="0" w:beforeAutospacing="0" w:after="0" w:afterAutospacing="0" w:line="240" w:lineRule="auto"/>
              <w:ind w:left="0" w:right="0"/>
              <w:outlineLvl w:val="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Hans"/>
              </w:rPr>
              <w:t>（</w:t>
            </w:r>
            <w:r>
              <w:rPr>
                <w:rFonts w:hint="eastAsia" w:ascii="仿宋" w:hAnsi="仿宋" w:eastAsia="仿宋" w:cs="仿宋"/>
                <w:color w:val="auto"/>
                <w:sz w:val="24"/>
                <w:szCs w:val="24"/>
                <w:highlight w:val="none"/>
                <w:lang w:eastAsia="zh-Hans"/>
              </w:rPr>
              <w:t>1</w:t>
            </w:r>
            <w:r>
              <w:rPr>
                <w:rFonts w:hint="eastAsia" w:ascii="仿宋" w:hAnsi="仿宋" w:eastAsia="仿宋" w:cs="仿宋"/>
                <w:color w:val="auto"/>
                <w:sz w:val="24"/>
                <w:szCs w:val="24"/>
                <w:highlight w:val="none"/>
                <w:lang w:val="en-US" w:eastAsia="zh-Hans"/>
              </w:rPr>
              <w:t>）</w:t>
            </w:r>
            <w:r>
              <w:rPr>
                <w:rFonts w:hint="eastAsia" w:ascii="仿宋" w:hAnsi="仿宋" w:eastAsia="仿宋" w:cs="仿宋"/>
                <w:b/>
                <w:bCs/>
                <w:color w:val="auto"/>
                <w:sz w:val="24"/>
                <w:szCs w:val="24"/>
                <w:highlight w:val="none"/>
                <w:lang w:val="en-US" w:eastAsia="zh-Hans"/>
              </w:rPr>
              <w:t>系统首页：</w:t>
            </w:r>
            <w:r>
              <w:rPr>
                <w:rFonts w:hint="eastAsia" w:ascii="仿宋" w:hAnsi="仿宋" w:eastAsia="仿宋" w:cs="仿宋"/>
                <w:color w:val="auto"/>
                <w:sz w:val="24"/>
                <w:szCs w:val="24"/>
                <w:highlight w:val="none"/>
                <w:lang w:val="en-US" w:eastAsia="zh-Hans"/>
              </w:rPr>
              <w:t>集成通知公告、待办事项、数据中心、监督管理、现场管理、机械管理、人员管理、系统管理等子应用；</w:t>
            </w:r>
            <w:r>
              <w:rPr>
                <w:rFonts w:hint="eastAsia" w:ascii="仿宋" w:hAnsi="仿宋" w:eastAsia="仿宋" w:cs="仿宋"/>
                <w:b/>
                <w:bCs/>
                <w:color w:val="auto"/>
                <w:sz w:val="24"/>
                <w:szCs w:val="24"/>
                <w:highlight w:val="none"/>
                <w:lang w:val="en-US" w:eastAsia="zh-CN"/>
              </w:rPr>
              <w:t>(2分。完整、合理的得2分，略有缺陷的得1分，未表述不得分。)</w:t>
            </w:r>
          </w:p>
          <w:p>
            <w:pPr>
              <w:keepNext w:val="0"/>
              <w:keepLines w:val="0"/>
              <w:suppressLineNumbers w:val="0"/>
              <w:spacing w:before="0" w:beforeAutospacing="0" w:after="0" w:afterAutospacing="0" w:line="240" w:lineRule="auto"/>
              <w:ind w:left="0" w:right="0"/>
              <w:outlineLvl w:val="0"/>
              <w:rPr>
                <w:rFonts w:hint="eastAsia" w:ascii="仿宋" w:hAnsi="仿宋" w:eastAsia="仿宋" w:cs="仿宋"/>
                <w:color w:val="auto"/>
                <w:sz w:val="24"/>
                <w:szCs w:val="24"/>
                <w:highlight w:val="none"/>
                <w:lang w:val="en-US" w:eastAsia="zh-Hans"/>
              </w:rPr>
            </w:pPr>
            <w:r>
              <w:rPr>
                <w:rFonts w:hint="eastAsia" w:ascii="仿宋" w:hAnsi="仿宋" w:eastAsia="仿宋" w:cs="仿宋"/>
                <w:color w:val="auto"/>
                <w:sz w:val="24"/>
                <w:szCs w:val="24"/>
                <w:highlight w:val="none"/>
                <w:lang w:val="en-US" w:eastAsia="zh-Hans"/>
              </w:rPr>
              <w:t>（2）</w:t>
            </w:r>
            <w:r>
              <w:rPr>
                <w:rFonts w:hint="eastAsia" w:ascii="仿宋" w:hAnsi="仿宋" w:eastAsia="仿宋" w:cs="仿宋"/>
                <w:b/>
                <w:bCs/>
                <w:color w:val="auto"/>
                <w:sz w:val="24"/>
                <w:szCs w:val="24"/>
                <w:highlight w:val="none"/>
                <w:lang w:val="en-US" w:eastAsia="zh-Hans"/>
              </w:rPr>
              <w:t>通知公告：</w:t>
            </w:r>
            <w:r>
              <w:rPr>
                <w:rFonts w:hint="eastAsia" w:ascii="仿宋" w:hAnsi="仿宋" w:eastAsia="仿宋" w:cs="仿宋"/>
                <w:color w:val="auto"/>
                <w:sz w:val="24"/>
                <w:szCs w:val="24"/>
                <w:highlight w:val="none"/>
                <w:lang w:val="en-US" w:eastAsia="zh-Hans"/>
              </w:rPr>
              <w:t>新建公告时，接收对象可选择对外公开、企业公开、项目公开、政府公开、指定账号公开等；公告类别可选择外部公告、内部公告、政策法规等。</w:t>
            </w:r>
            <w:r>
              <w:rPr>
                <w:rFonts w:hint="eastAsia" w:ascii="仿宋" w:hAnsi="仿宋" w:eastAsia="仿宋" w:cs="仿宋"/>
                <w:b/>
                <w:bCs/>
                <w:color w:val="auto"/>
                <w:sz w:val="24"/>
                <w:szCs w:val="24"/>
                <w:highlight w:val="none"/>
                <w:lang w:val="en-US" w:eastAsia="zh-CN"/>
              </w:rPr>
              <w:t>(2分。完整、合理的得2分，略有缺陷的得1分，未表述不得分。)</w:t>
            </w:r>
          </w:p>
          <w:p>
            <w:pPr>
              <w:keepNext w:val="0"/>
              <w:keepLines w:val="0"/>
              <w:suppressLineNumbers w:val="0"/>
              <w:spacing w:before="0" w:beforeAutospacing="0" w:after="0" w:afterAutospacing="0" w:line="240" w:lineRule="auto"/>
              <w:ind w:left="0" w:right="0"/>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r>
              <w:rPr>
                <w:rFonts w:hint="eastAsia" w:ascii="仿宋" w:hAnsi="仿宋" w:eastAsia="仿宋" w:cs="仿宋"/>
                <w:b/>
                <w:bCs/>
                <w:color w:val="auto"/>
                <w:sz w:val="24"/>
                <w:szCs w:val="24"/>
                <w:highlight w:val="none"/>
                <w:lang w:val="en-US" w:eastAsia="zh-CN"/>
              </w:rPr>
              <w:t>待办事项：</w:t>
            </w:r>
            <w:r>
              <w:rPr>
                <w:rFonts w:hint="eastAsia" w:ascii="仿宋" w:hAnsi="仿宋" w:eastAsia="仿宋" w:cs="仿宋"/>
                <w:color w:val="auto"/>
                <w:sz w:val="24"/>
                <w:szCs w:val="24"/>
                <w:highlight w:val="none"/>
                <w:lang w:val="en-US" w:eastAsia="zh-CN"/>
              </w:rPr>
              <w:t>分为待办事项和已办事项。事项类型，可选择企业注册、人员变更、过程验收、整改台账、考勤请假等事项，支持关键字搜索、时间段查询等功能；</w:t>
            </w:r>
            <w:r>
              <w:rPr>
                <w:rFonts w:hint="eastAsia" w:ascii="仿宋" w:hAnsi="仿宋" w:eastAsia="仿宋" w:cs="仿宋"/>
                <w:b/>
                <w:bCs/>
                <w:color w:val="auto"/>
                <w:sz w:val="24"/>
                <w:szCs w:val="24"/>
                <w:highlight w:val="none"/>
                <w:lang w:val="en-US" w:eastAsia="zh-CN"/>
              </w:rPr>
              <w:t>(2分。完整、合理的得2分，略有缺陷的得1分，未表述不得分。)</w:t>
            </w:r>
          </w:p>
          <w:p>
            <w:pPr>
              <w:keepNext w:val="0"/>
              <w:keepLines w:val="0"/>
              <w:suppressLineNumbers w:val="0"/>
              <w:spacing w:before="0" w:beforeAutospacing="0" w:after="0" w:afterAutospacing="0" w:line="240" w:lineRule="auto"/>
              <w:ind w:left="0" w:right="0"/>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r>
              <w:rPr>
                <w:rFonts w:hint="eastAsia" w:ascii="仿宋" w:hAnsi="仿宋" w:eastAsia="仿宋" w:cs="仿宋"/>
                <w:b/>
                <w:bCs/>
                <w:color w:val="auto"/>
                <w:sz w:val="24"/>
                <w:szCs w:val="24"/>
                <w:highlight w:val="none"/>
                <w:lang w:val="en-US" w:eastAsia="zh-CN"/>
              </w:rPr>
              <w:t>数据中心：</w:t>
            </w:r>
            <w:r>
              <w:rPr>
                <w:rFonts w:hint="eastAsia" w:ascii="仿宋" w:hAnsi="仿宋" w:eastAsia="仿宋" w:cs="仿宋"/>
                <w:color w:val="auto"/>
                <w:sz w:val="24"/>
                <w:szCs w:val="24"/>
                <w:highlight w:val="none"/>
                <w:lang w:val="en-US" w:eastAsia="zh-CN"/>
              </w:rPr>
              <w:t>基础数据库包括人员库、企业库、项目库、设备库等数据，分别展示每个数据库的详细数据信息；</w:t>
            </w:r>
            <w:r>
              <w:rPr>
                <w:rFonts w:hint="eastAsia" w:ascii="仿宋" w:hAnsi="仿宋" w:eastAsia="仿宋" w:cs="仿宋"/>
                <w:b/>
                <w:bCs/>
                <w:color w:val="auto"/>
                <w:sz w:val="24"/>
                <w:szCs w:val="24"/>
                <w:highlight w:val="none"/>
                <w:lang w:val="en-US" w:eastAsia="zh-CN"/>
              </w:rPr>
              <w:t>(1分。完整、合理的得1分，略有缺陷的得0.5分，未表述不得分。)（5）监督管理：</w:t>
            </w:r>
            <w:r>
              <w:rPr>
                <w:rFonts w:hint="eastAsia" w:ascii="仿宋" w:hAnsi="仿宋" w:eastAsia="仿宋" w:cs="仿宋"/>
                <w:color w:val="auto"/>
                <w:sz w:val="24"/>
                <w:szCs w:val="24"/>
                <w:highlight w:val="none"/>
                <w:lang w:val="en-US" w:eastAsia="zh-CN"/>
              </w:rPr>
              <w:t>包括街道检查、第三方巡检、夜间施工申请、危大工程管理等功能。</w:t>
            </w:r>
            <w:r>
              <w:rPr>
                <w:rFonts w:hint="eastAsia" w:ascii="仿宋" w:hAnsi="仿宋" w:eastAsia="仿宋" w:cs="仿宋"/>
                <w:b/>
                <w:bCs/>
                <w:color w:val="auto"/>
                <w:sz w:val="24"/>
                <w:szCs w:val="24"/>
                <w:highlight w:val="none"/>
                <w:lang w:val="en-US" w:eastAsia="zh-CN"/>
              </w:rPr>
              <w:t>（3分。完整、合理的得3分，略有缺陷的得1分，未表述不得分。)</w:t>
            </w:r>
          </w:p>
          <w:p>
            <w:pPr>
              <w:keepNext w:val="0"/>
              <w:keepLines w:val="0"/>
              <w:suppressLineNumbers w:val="0"/>
              <w:spacing w:before="0" w:beforeAutospacing="0" w:after="0" w:afterAutospacing="0" w:line="240" w:lineRule="auto"/>
              <w:ind w:left="0" w:right="0"/>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①</w:t>
            </w:r>
            <w:r>
              <w:rPr>
                <w:rFonts w:hint="eastAsia" w:ascii="仿宋" w:hAnsi="仿宋" w:eastAsia="仿宋" w:cs="仿宋"/>
                <w:color w:val="auto"/>
                <w:sz w:val="24"/>
                <w:szCs w:val="24"/>
                <w:highlight w:val="none"/>
                <w:lang w:val="en-US" w:eastAsia="zh-CN"/>
              </w:rPr>
              <w:t>监督检查内容包括检查日期、检查编号、项目名称、整改类型、通知书编号等指标；</w:t>
            </w:r>
          </w:p>
          <w:p>
            <w:pPr>
              <w:keepNext w:val="0"/>
              <w:keepLines w:val="0"/>
              <w:suppressLineNumbers w:val="0"/>
              <w:spacing w:before="0" w:beforeAutospacing="0" w:after="0" w:afterAutospacing="0" w:line="240" w:lineRule="auto"/>
              <w:ind w:left="0" w:right="0"/>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②</w:t>
            </w:r>
            <w:r>
              <w:rPr>
                <w:rFonts w:hint="eastAsia" w:ascii="仿宋" w:hAnsi="仿宋" w:eastAsia="仿宋" w:cs="仿宋"/>
                <w:color w:val="auto"/>
                <w:sz w:val="24"/>
                <w:szCs w:val="24"/>
                <w:highlight w:val="none"/>
                <w:lang w:val="en-US" w:eastAsia="zh-CN"/>
              </w:rPr>
              <w:t>夜间施工申请，提供申请日期、申请状态、夜间施工理由、项目名称、施工单位等字段的检索查询；</w:t>
            </w:r>
          </w:p>
          <w:p>
            <w:pPr>
              <w:keepNext w:val="0"/>
              <w:keepLines w:val="0"/>
              <w:suppressLineNumbers w:val="0"/>
              <w:spacing w:before="0" w:beforeAutospacing="0" w:after="0" w:afterAutospacing="0" w:line="240" w:lineRule="auto"/>
              <w:ind w:left="0" w:right="0"/>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③</w:t>
            </w:r>
            <w:r>
              <w:rPr>
                <w:rFonts w:hint="eastAsia" w:ascii="仿宋" w:hAnsi="仿宋" w:eastAsia="仿宋" w:cs="仿宋"/>
                <w:color w:val="auto"/>
                <w:sz w:val="24"/>
                <w:szCs w:val="24"/>
                <w:highlight w:val="none"/>
                <w:lang w:val="en-US" w:eastAsia="zh-CN"/>
              </w:rPr>
              <w:t xml:space="preserve"> 危大工程管理，分别演示业务总览、清单上报、开工备案、完工销号、统计报表等应用功能。</w:t>
            </w:r>
          </w:p>
          <w:p>
            <w:pPr>
              <w:keepNext w:val="0"/>
              <w:keepLines w:val="0"/>
              <w:suppressLineNumbers w:val="0"/>
              <w:spacing w:before="0" w:beforeAutospacing="0" w:after="0" w:afterAutospacing="0" w:line="240" w:lineRule="auto"/>
              <w:ind w:left="0" w:right="0"/>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（6）现场管理：(2分。完整、合理的得2分，略有缺陷的得1分，未表述不得分。)</w:t>
            </w:r>
          </w:p>
          <w:p>
            <w:pPr>
              <w:keepNext w:val="0"/>
              <w:keepLines w:val="0"/>
              <w:suppressLineNumbers w:val="0"/>
              <w:spacing w:before="0" w:beforeAutospacing="0" w:after="0" w:afterAutospacing="0" w:line="240" w:lineRule="auto"/>
              <w:ind w:left="0" w:right="0"/>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①应急管理：分别演示避难场所登记、避难场所申报、安置避难场所、应急物资登记、应急物资上报、应急指令管理、应急任务上报等功能。</w:t>
            </w:r>
          </w:p>
          <w:p>
            <w:pPr>
              <w:keepNext w:val="0"/>
              <w:keepLines w:val="0"/>
              <w:suppressLineNumbers w:val="0"/>
              <w:spacing w:before="0" w:beforeAutospacing="0" w:after="0" w:afterAutospacing="0" w:line="240" w:lineRule="auto"/>
              <w:ind w:left="0" w:right="0"/>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②项目管理：分别演示工地一码通、企业报告、专项报告、带班检查、创优评杯、投保记录、民工学校、职工培训等功能。</w:t>
            </w:r>
          </w:p>
          <w:p>
            <w:pPr>
              <w:keepNext w:val="0"/>
              <w:keepLines w:val="0"/>
              <w:suppressLineNumbers w:val="0"/>
              <w:spacing w:before="0" w:beforeAutospacing="0" w:after="0" w:afterAutospacing="0" w:line="240" w:lineRule="auto"/>
              <w:ind w:left="0" w:right="0"/>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（7）机械管理：</w:t>
            </w:r>
            <w:r>
              <w:rPr>
                <w:rFonts w:hint="eastAsia" w:ascii="仿宋" w:hAnsi="仿宋" w:eastAsia="仿宋" w:cs="仿宋"/>
                <w:color w:val="auto"/>
                <w:sz w:val="24"/>
                <w:szCs w:val="24"/>
                <w:highlight w:val="none"/>
                <w:lang w:val="en-US" w:eastAsia="zh-CN"/>
              </w:rPr>
              <w:t>演示业务总览、监控登记、实时监测、预警信息、报警信息等功能。</w:t>
            </w:r>
            <w:r>
              <w:rPr>
                <w:rFonts w:hint="eastAsia" w:ascii="仿宋" w:hAnsi="仿宋" w:eastAsia="仿宋" w:cs="仿宋"/>
                <w:b/>
                <w:bCs/>
                <w:color w:val="auto"/>
                <w:sz w:val="24"/>
                <w:szCs w:val="24"/>
                <w:highlight w:val="none"/>
                <w:lang w:val="en-US" w:eastAsia="zh-CN"/>
              </w:rPr>
              <w:t>(2分。完整、合理的得2分，略有缺陷的得1分，未表述不得分。)</w:t>
            </w:r>
          </w:p>
          <w:p>
            <w:pPr>
              <w:keepNext w:val="0"/>
              <w:keepLines w:val="0"/>
              <w:suppressLineNumbers w:val="0"/>
              <w:spacing w:before="0" w:beforeAutospacing="0" w:after="0" w:afterAutospacing="0" w:line="240" w:lineRule="auto"/>
              <w:ind w:left="0" w:right="0"/>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（8）人员管理：（3分。完整、合理的得3分，略有缺陷的得1分，未表述不得分。)</w:t>
            </w:r>
          </w:p>
          <w:p>
            <w:pPr>
              <w:keepNext w:val="0"/>
              <w:keepLines w:val="0"/>
              <w:suppressLineNumbers w:val="0"/>
              <w:spacing w:before="0" w:beforeAutospacing="0" w:after="0" w:afterAutospacing="0" w:line="240" w:lineRule="auto"/>
              <w:ind w:left="0" w:right="0"/>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①业务总览：包括应考勤项目数、正在考勤项目数、今日考勤率、在建项目参建企业数等指标，支持对项目名称、施工单位、项目状态、考勤状态等检索查询；</w:t>
            </w:r>
          </w:p>
          <w:p>
            <w:pPr>
              <w:keepNext w:val="0"/>
              <w:keepLines w:val="0"/>
              <w:suppressLineNumbers w:val="0"/>
              <w:spacing w:before="0" w:beforeAutospacing="0" w:after="0" w:afterAutospacing="0" w:line="240" w:lineRule="auto"/>
              <w:ind w:left="0" w:right="0"/>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②</w:t>
            </w:r>
            <w:r>
              <w:rPr>
                <w:rFonts w:hint="eastAsia" w:ascii="仿宋" w:hAnsi="仿宋" w:eastAsia="仿宋" w:cs="仿宋"/>
                <w:color w:val="auto"/>
                <w:sz w:val="24"/>
                <w:szCs w:val="24"/>
                <w:highlight w:val="none"/>
                <w:lang w:val="en-US" w:eastAsia="zh-CN"/>
              </w:rPr>
              <w:t>专户管理：包括项目状态、项目类型、项目名称、银行联行号、开户行、专户名称等专户信息；</w:t>
            </w:r>
          </w:p>
          <w:p>
            <w:pPr>
              <w:keepNext w:val="0"/>
              <w:keepLines w:val="0"/>
              <w:suppressLineNumbers w:val="0"/>
              <w:spacing w:before="0" w:beforeAutospacing="0" w:after="0" w:afterAutospacing="0" w:line="240" w:lineRule="auto"/>
              <w:ind w:left="0" w:right="0"/>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③</w:t>
            </w:r>
            <w:r>
              <w:rPr>
                <w:rFonts w:hint="eastAsia" w:ascii="仿宋" w:hAnsi="仿宋" w:eastAsia="仿宋" w:cs="仿宋"/>
                <w:color w:val="auto"/>
                <w:sz w:val="24"/>
                <w:szCs w:val="24"/>
                <w:highlight w:val="none"/>
                <w:lang w:val="en-US" w:eastAsia="zh-CN"/>
              </w:rPr>
              <w:t>项目考勤汇总：提供考勤日期、项目状态、项目名称的检索，汇总报表内容包括项目名称、所属街道、当天考勤率、未考勤人数等指标。</w:t>
            </w:r>
          </w:p>
          <w:p>
            <w:pPr>
              <w:keepNext w:val="0"/>
              <w:keepLines w:val="0"/>
              <w:suppressLineNumbers w:val="0"/>
              <w:spacing w:before="0" w:beforeAutospacing="0" w:after="0" w:afterAutospacing="0" w:line="240" w:lineRule="auto"/>
              <w:ind w:left="0" w:right="0"/>
              <w:outlineLvl w:val="0"/>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二、综合驾驶舱</w:t>
            </w:r>
          </w:p>
          <w:p>
            <w:pPr>
              <w:keepNext w:val="0"/>
              <w:keepLines w:val="0"/>
              <w:suppressLineNumbers w:val="0"/>
              <w:spacing w:before="0" w:beforeAutospacing="0" w:after="0" w:afterAutospacing="0" w:line="240" w:lineRule="auto"/>
              <w:ind w:left="0" w:right="0"/>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（1）在建工程：</w:t>
            </w:r>
            <w:r>
              <w:rPr>
                <w:rFonts w:hint="eastAsia" w:ascii="仿宋" w:hAnsi="仿宋" w:eastAsia="仿宋" w:cs="仿宋"/>
                <w:color w:val="auto"/>
                <w:sz w:val="24"/>
                <w:szCs w:val="24"/>
                <w:highlight w:val="none"/>
                <w:lang w:val="en-US" w:eastAsia="zh-CN"/>
              </w:rPr>
              <w:t>数据统计施工企业总数、在监项目总数、智慧工地项目数、终止监督项目数量；点击在监项目数量，弹窗显示项目明细表，明细表包括项目名称、施工单位、开工日期、竣工日期等内容；。</w:t>
            </w:r>
            <w:r>
              <w:rPr>
                <w:rFonts w:hint="eastAsia" w:ascii="仿宋" w:hAnsi="仿宋" w:eastAsia="仿宋" w:cs="仿宋"/>
                <w:b/>
                <w:bCs/>
                <w:color w:val="auto"/>
                <w:sz w:val="24"/>
                <w:szCs w:val="24"/>
                <w:highlight w:val="none"/>
                <w:lang w:val="en-US" w:eastAsia="zh-CN"/>
              </w:rPr>
              <w:t>(2分。完整、合理的得2分，略有缺陷的得1分，未表述不得分。)</w:t>
            </w:r>
          </w:p>
          <w:p>
            <w:pPr>
              <w:keepNext w:val="0"/>
              <w:keepLines w:val="0"/>
              <w:suppressLineNumbers w:val="0"/>
              <w:spacing w:before="0" w:beforeAutospacing="0" w:after="0" w:afterAutospacing="0" w:line="240" w:lineRule="auto"/>
              <w:ind w:left="0" w:right="0"/>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（2）安全监督：</w:t>
            </w:r>
            <w:r>
              <w:rPr>
                <w:rFonts w:hint="eastAsia" w:ascii="仿宋" w:hAnsi="仿宋" w:eastAsia="仿宋" w:cs="仿宋"/>
                <w:color w:val="auto"/>
                <w:sz w:val="24"/>
                <w:szCs w:val="24"/>
                <w:highlight w:val="none"/>
                <w:lang w:val="en-US" w:eastAsia="zh-CN"/>
              </w:rPr>
              <w:t>图形化显示整改单闭合情况，包括按期整改率、超期整改率、超期未整改率、未超期未整改率等；点击整改单总量数字，弹窗显示整改台账明细表，明细表内容包括安监机构、项目所属科室、项目名称、施工单位名称等；。</w:t>
            </w:r>
            <w:r>
              <w:rPr>
                <w:rFonts w:hint="eastAsia" w:ascii="仿宋" w:hAnsi="仿宋" w:eastAsia="仿宋" w:cs="仿宋"/>
                <w:b/>
                <w:bCs/>
                <w:color w:val="auto"/>
                <w:sz w:val="24"/>
                <w:szCs w:val="24"/>
                <w:highlight w:val="none"/>
                <w:lang w:val="en-US" w:eastAsia="zh-CN"/>
              </w:rPr>
              <w:t>(2分。完整、合理的得2分，略有缺陷的得1分，未表述不得分。)</w:t>
            </w:r>
          </w:p>
          <w:p>
            <w:pPr>
              <w:keepNext w:val="0"/>
              <w:keepLines w:val="0"/>
              <w:suppressLineNumbers w:val="0"/>
              <w:spacing w:before="0" w:beforeAutospacing="0" w:after="0" w:afterAutospacing="0" w:line="240" w:lineRule="auto"/>
              <w:ind w:left="0" w:right="0"/>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（3）人员管理：</w:t>
            </w:r>
            <w:r>
              <w:rPr>
                <w:rFonts w:hint="eastAsia" w:ascii="仿宋" w:hAnsi="仿宋" w:eastAsia="仿宋" w:cs="仿宋"/>
                <w:color w:val="auto"/>
                <w:sz w:val="24"/>
                <w:szCs w:val="24"/>
                <w:highlight w:val="none"/>
                <w:lang w:val="en-US" w:eastAsia="zh-CN"/>
              </w:rPr>
              <w:t>地图动态显示本区域务工人员的来源地热力图，并以不同颜色区分各来源地的热力程度；并分别按年龄、性别、工种统计在场劳务工人数量；。</w:t>
            </w:r>
            <w:r>
              <w:rPr>
                <w:rFonts w:hint="eastAsia" w:ascii="仿宋" w:hAnsi="仿宋" w:eastAsia="仿宋" w:cs="仿宋"/>
                <w:b/>
                <w:bCs/>
                <w:color w:val="auto"/>
                <w:sz w:val="24"/>
                <w:szCs w:val="24"/>
                <w:highlight w:val="none"/>
                <w:lang w:val="en-US" w:eastAsia="zh-CN"/>
              </w:rPr>
              <w:t>(2分。完整、合理的得2分，略有缺陷的得1分，未表述不得分。)</w:t>
            </w:r>
          </w:p>
          <w:p>
            <w:pPr>
              <w:keepNext w:val="0"/>
              <w:keepLines w:val="0"/>
              <w:suppressLineNumbers w:val="0"/>
              <w:spacing w:before="0" w:beforeAutospacing="0" w:after="0" w:afterAutospacing="0" w:line="240" w:lineRule="auto"/>
              <w:ind w:left="0" w:right="0"/>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（4）隐患排查：</w:t>
            </w:r>
            <w:r>
              <w:rPr>
                <w:rFonts w:hint="eastAsia" w:ascii="仿宋" w:hAnsi="仿宋" w:eastAsia="仿宋" w:cs="仿宋"/>
                <w:color w:val="auto"/>
                <w:sz w:val="24"/>
                <w:szCs w:val="24"/>
                <w:highlight w:val="none"/>
                <w:lang w:val="en-US" w:eastAsia="zh-CN"/>
              </w:rPr>
              <w:t>数据统计项目自查次数、企业检查次数、移动巡检次数等；点击项目自查次数，弹窗显示项目自查明细表，明细表内容包括项目名称、最近检查日期、自查次数、施工单位名称、建设单位名称等；。</w:t>
            </w:r>
            <w:r>
              <w:rPr>
                <w:rFonts w:hint="eastAsia" w:ascii="仿宋" w:hAnsi="仿宋" w:eastAsia="仿宋" w:cs="仿宋"/>
                <w:b/>
                <w:bCs/>
                <w:color w:val="auto"/>
                <w:sz w:val="24"/>
                <w:szCs w:val="24"/>
                <w:highlight w:val="none"/>
                <w:lang w:val="en-US" w:eastAsia="zh-CN"/>
              </w:rPr>
              <w:t>(2分。完整、合理的得2分，略有缺陷的得1分，未表述不得分。)</w:t>
            </w:r>
          </w:p>
          <w:p>
            <w:pPr>
              <w:keepNext w:val="0"/>
              <w:keepLines w:val="0"/>
              <w:suppressLineNumbers w:val="0"/>
              <w:spacing w:before="0" w:beforeAutospacing="0" w:after="0" w:afterAutospacing="0" w:line="240" w:lineRule="auto"/>
              <w:ind w:left="0" w:right="0"/>
              <w:outlineLvl w:val="0"/>
              <w:rPr>
                <w:rFonts w:hint="default"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（5）危大监测：</w:t>
            </w:r>
            <w:r>
              <w:rPr>
                <w:rFonts w:hint="eastAsia" w:ascii="仿宋" w:hAnsi="仿宋" w:eastAsia="仿宋" w:cs="仿宋"/>
                <w:color w:val="auto"/>
                <w:sz w:val="24"/>
                <w:szCs w:val="24"/>
                <w:highlight w:val="none"/>
                <w:lang w:val="en-US" w:eastAsia="zh-CN"/>
              </w:rPr>
              <w:t>数据统计显示塔机设备数量、升降机设备数量等；点击塔机设备数量，弹窗显示设备明细表，明细表内容包括项目名称、施工单位、设备数量；本弹窗内点击某项目的设备数量，弹窗显示设备明细表，明细表内容包括设备编号、设备型号、生产厂家、产权单位及其他详情信息。</w:t>
            </w:r>
            <w:r>
              <w:rPr>
                <w:rFonts w:hint="eastAsia" w:ascii="仿宋" w:hAnsi="仿宋" w:eastAsia="仿宋" w:cs="仿宋"/>
                <w:b/>
                <w:bCs/>
                <w:color w:val="auto"/>
                <w:sz w:val="24"/>
                <w:szCs w:val="24"/>
                <w:highlight w:val="none"/>
                <w:lang w:val="en-US" w:eastAsia="zh-CN"/>
              </w:rPr>
              <w:t>（1分。完整、合理的得2分，略有缺陷的得1分，未表述不得分。)</w:t>
            </w:r>
          </w:p>
        </w:tc>
        <w:tc>
          <w:tcPr>
            <w:tcW w:w="864" w:type="dxa"/>
            <w:vAlign w:val="center"/>
          </w:tcPr>
          <w:p>
            <w:pPr>
              <w:keepNext w:val="0"/>
              <w:keepLines w:val="0"/>
              <w:suppressLineNumbers w:val="0"/>
              <w:spacing w:before="0" w:beforeAutospacing="0" w:after="0" w:afterAutospacing="0" w:line="360" w:lineRule="auto"/>
              <w:ind w:left="0" w:right="0" w:firstLine="0" w:firstLineChars="0"/>
              <w:jc w:val="center"/>
              <w:outlineLvl w:val="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26</w:t>
            </w:r>
          </w:p>
        </w:tc>
        <w:tc>
          <w:tcPr>
            <w:tcW w:w="1727" w:type="dxa"/>
            <w:vAlign w:val="center"/>
          </w:tcPr>
          <w:p>
            <w:pPr>
              <w:keepNext w:val="0"/>
              <w:keepLines w:val="0"/>
              <w:suppressLineNumbers w:val="0"/>
              <w:spacing w:before="0" w:beforeAutospacing="0" w:after="0" w:afterAutospacing="0" w:line="360" w:lineRule="auto"/>
              <w:ind w:left="0" w:right="0"/>
              <w:jc w:val="center"/>
              <w:outlineLvl w:val="0"/>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1" w:type="dxa"/>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eastAsia" w:ascii="仿宋" w:hAnsi="仿宋" w:eastAsia="仿宋" w:cs="仿宋"/>
                <w:b/>
                <w:bCs/>
                <w:color w:val="auto"/>
                <w:sz w:val="24"/>
                <w:highlight w:val="none"/>
                <w:lang w:eastAsia="zh-CN"/>
              </w:rPr>
            </w:pPr>
            <w:r>
              <w:rPr>
                <w:rFonts w:hint="eastAsia" w:ascii="仿宋" w:hAnsi="仿宋" w:eastAsia="仿宋" w:cs="仿宋"/>
                <w:b/>
                <w:bCs/>
                <w:color w:val="auto"/>
                <w:sz w:val="24"/>
                <w:highlight w:val="none"/>
                <w:lang w:eastAsia="zh-CN"/>
              </w:rPr>
              <w:t>4</w:t>
            </w:r>
          </w:p>
        </w:tc>
        <w:tc>
          <w:tcPr>
            <w:tcW w:w="6619" w:type="dxa"/>
            <w:vAlign w:val="center"/>
          </w:tcPr>
          <w:p>
            <w:pPr>
              <w:keepNext w:val="0"/>
              <w:keepLines w:val="0"/>
              <w:widowControl/>
              <w:suppressLineNumbers w:val="0"/>
              <w:shd w:val="clear"/>
              <w:adjustRightInd/>
              <w:spacing w:before="0" w:beforeAutospacing="0" w:after="0" w:afterAutospacing="0" w:line="240" w:lineRule="auto"/>
              <w:ind w:left="0" w:right="0" w:firstLine="0"/>
              <w:jc w:val="center"/>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eastAsia="zh-CN"/>
              </w:rPr>
              <w:t>价格分</w:t>
            </w:r>
          </w:p>
        </w:tc>
        <w:tc>
          <w:tcPr>
            <w:tcW w:w="864" w:type="dxa"/>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eastAsia" w:ascii="仿宋" w:hAnsi="仿宋" w:eastAsia="仿宋" w:cs="仿宋"/>
                <w:b/>
                <w:bCs/>
                <w:color w:val="auto"/>
                <w:sz w:val="24"/>
                <w:highlight w:val="none"/>
                <w:lang w:eastAsia="zh-CN"/>
              </w:rPr>
            </w:pPr>
            <w:r>
              <w:rPr>
                <w:rFonts w:hint="eastAsia" w:ascii="仿宋" w:hAnsi="仿宋" w:eastAsia="仿宋" w:cs="仿宋"/>
                <w:b/>
                <w:bCs/>
                <w:color w:val="auto"/>
                <w:sz w:val="24"/>
                <w:highlight w:val="none"/>
                <w:lang w:eastAsia="zh-CN"/>
              </w:rPr>
              <w:t>10</w:t>
            </w:r>
          </w:p>
        </w:tc>
        <w:tc>
          <w:tcPr>
            <w:tcW w:w="1727" w:type="dxa"/>
            <w:vAlign w:val="center"/>
          </w:tcPr>
          <w:p>
            <w:pPr>
              <w:keepNext w:val="0"/>
              <w:keepLines w:val="0"/>
              <w:suppressLineNumbers w:val="0"/>
              <w:spacing w:before="0" w:beforeAutospacing="0" w:after="0" w:afterAutospacing="0" w:line="360" w:lineRule="auto"/>
              <w:ind w:left="0" w:right="0"/>
              <w:jc w:val="center"/>
              <w:outlineLvl w:val="0"/>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1" w:type="dxa"/>
            <w:vAlign w:val="center"/>
          </w:tcPr>
          <w:p>
            <w:pPr>
              <w:keepNext w:val="0"/>
              <w:keepLines w:val="0"/>
              <w:suppressLineNumbers w:val="0"/>
              <w:spacing w:before="0" w:beforeAutospacing="0" w:after="0" w:afterAutospacing="0" w:line="360" w:lineRule="auto"/>
              <w:ind w:left="0" w:right="0" w:firstLine="0" w:firstLineChars="0"/>
              <w:jc w:val="center"/>
              <w:outlineLvl w:val="0"/>
              <w:rPr>
                <w:rFonts w:hint="eastAsia" w:ascii="仿宋" w:hAnsi="仿宋" w:eastAsia="仿宋" w:cs="仿宋"/>
                <w:color w:val="auto"/>
                <w:sz w:val="24"/>
                <w:highlight w:val="none"/>
                <w:lang w:eastAsia="zh-CN"/>
              </w:rPr>
            </w:pPr>
            <w:r>
              <w:rPr>
                <w:rFonts w:hint="eastAsia" w:ascii="仿宋" w:hAnsi="仿宋" w:eastAsia="仿宋" w:cs="仿宋"/>
                <w:b/>
                <w:bCs/>
                <w:color w:val="auto"/>
                <w:sz w:val="24"/>
                <w:highlight w:val="none"/>
                <w:lang w:val="en-US" w:eastAsia="zh-CN"/>
              </w:rPr>
              <w:t>4</w:t>
            </w:r>
            <w:r>
              <w:rPr>
                <w:rFonts w:hint="eastAsia" w:ascii="仿宋" w:hAnsi="仿宋" w:eastAsia="仿宋" w:cs="仿宋"/>
                <w:b/>
                <w:bCs/>
                <w:color w:val="auto"/>
                <w:sz w:val="24"/>
                <w:highlight w:val="none"/>
                <w:lang w:eastAsia="zh-CN"/>
              </w:rPr>
              <w:t>.1</w:t>
            </w:r>
          </w:p>
        </w:tc>
        <w:tc>
          <w:tcPr>
            <w:tcW w:w="6619" w:type="dxa"/>
            <w:vAlign w:val="center"/>
          </w:tcPr>
          <w:p>
            <w:pPr>
              <w:keepNext w:val="0"/>
              <w:keepLines w:val="0"/>
              <w:suppressLineNumbers w:val="0"/>
              <w:spacing w:before="0" w:beforeAutospacing="0" w:after="0" w:afterAutospacing="0" w:line="240" w:lineRule="auto"/>
              <w:ind w:left="0" w:right="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有效投标报价的最低价作为评标基准价，其最低报价为满分；按［投标报价得分=（评标基准价/投标报价）*</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0］的计算公式计算。</w:t>
            </w:r>
          </w:p>
          <w:p>
            <w:pPr>
              <w:keepNext w:val="0"/>
              <w:keepLines w:val="0"/>
              <w:widowControl/>
              <w:suppressLineNumbers w:val="0"/>
              <w:shd w:val="clear" w:color="auto" w:fill="FFFFFF"/>
              <w:adjustRightInd/>
              <w:spacing w:before="0" w:beforeAutospacing="0" w:after="0" w:afterAutospacing="0" w:line="240" w:lineRule="auto"/>
              <w:ind w:left="0" w:right="0" w:firstLine="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评标过程中，不得去掉报价中的最高报价和最低报价。</w:t>
            </w:r>
          </w:p>
          <w:p>
            <w:pPr>
              <w:keepNext w:val="0"/>
              <w:keepLines w:val="0"/>
              <w:widowControl/>
              <w:suppressLineNumbers w:val="0"/>
              <w:shd w:val="clear" w:color="auto" w:fill="FFFFFF"/>
              <w:adjustRightInd/>
              <w:spacing w:before="0" w:beforeAutospacing="0" w:after="0" w:afterAutospacing="0" w:line="240" w:lineRule="auto"/>
              <w:ind w:left="0" w:right="0" w:firstLine="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因落实政府采购政策需要进行价格调整的，以调整后的价格计算评标基准价和投标报价。</w:t>
            </w:r>
          </w:p>
        </w:tc>
        <w:tc>
          <w:tcPr>
            <w:tcW w:w="864" w:type="dxa"/>
            <w:vAlign w:val="center"/>
          </w:tcPr>
          <w:p>
            <w:pPr>
              <w:keepNext w:val="0"/>
              <w:keepLines w:val="0"/>
              <w:suppressLineNumbers w:val="0"/>
              <w:spacing w:before="0" w:beforeAutospacing="0" w:after="0" w:afterAutospacing="0" w:line="360" w:lineRule="auto"/>
              <w:ind w:left="0" w:right="0" w:firstLine="0" w:firstLineChars="0"/>
              <w:jc w:val="center"/>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0</w:t>
            </w:r>
          </w:p>
        </w:tc>
        <w:tc>
          <w:tcPr>
            <w:tcW w:w="1727" w:type="dxa"/>
            <w:vAlign w:val="center"/>
          </w:tcPr>
          <w:p>
            <w:pPr>
              <w:keepNext w:val="0"/>
              <w:keepLines w:val="0"/>
              <w:suppressLineNumbers w:val="0"/>
              <w:spacing w:before="0" w:beforeAutospacing="0" w:after="0" w:afterAutospacing="0" w:line="360" w:lineRule="auto"/>
              <w:ind w:left="0" w:right="0"/>
              <w:jc w:val="center"/>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r>
    </w:tbl>
    <w:p>
      <w:pPr>
        <w:snapToGrid w:val="0"/>
        <w:spacing w:line="360" w:lineRule="auto"/>
        <w:rPr>
          <w:rFonts w:ascii="仿宋" w:hAnsi="仿宋" w:eastAsia="仿宋" w:cs="仿宋_GB2312"/>
          <w:b/>
          <w:sz w:val="24"/>
        </w:rPr>
      </w:pP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hint="eastAsia" w:ascii="仿宋_GB2312" w:hAnsi="仿宋" w:eastAsia="仿宋_GB2312" w:cs="Arial"/>
          <w:b/>
          <w:kern w:val="0"/>
          <w:sz w:val="24"/>
        </w:rPr>
        <w:t>3.1符合性审查。</w:t>
      </w:r>
      <w:r>
        <w:rPr>
          <w:rFonts w:hint="eastAsia" w:ascii="仿宋_GB2312" w:hAnsi="仿宋" w:eastAsia="仿宋_GB2312" w:cs="Arial"/>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_GB2312" w:hAnsi="仿宋" w:eastAsia="仿宋_GB2312" w:cs="Arial"/>
          <w:kern w:val="0"/>
          <w:sz w:val="24"/>
        </w:rPr>
      </w:pPr>
      <w:r>
        <w:rPr>
          <w:rFonts w:hint="eastAsia" w:ascii="仿宋_GB2312" w:hAnsi="仿宋" w:eastAsia="仿宋_GB2312" w:cs="Arial"/>
          <w:b/>
          <w:kern w:val="0"/>
          <w:sz w:val="24"/>
        </w:rPr>
        <w:t>3.2比较与评价。</w:t>
      </w:r>
      <w:r>
        <w:rPr>
          <w:rFonts w:hint="eastAsia"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hint="eastAsia"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hint="eastAsia" w:ascii="仿宋_GB2312" w:hAnsi="仿宋" w:eastAsia="仿宋_GB2312" w:cs="Arial"/>
          <w:b/>
          <w:kern w:val="0"/>
          <w:sz w:val="24"/>
        </w:rPr>
        <w:t>3.4报价评审。</w:t>
      </w:r>
    </w:p>
    <w:p>
      <w:pPr>
        <w:pStyle w:val="131"/>
        <w:spacing w:before="0"/>
        <w:ind w:firstLine="508" w:firstLineChars="212"/>
        <w:rPr>
          <w:rFonts w:ascii="仿宋_GB2312" w:hAnsi="仿宋" w:eastAsia="仿宋_GB2312" w:cs="Arial"/>
          <w:kern w:val="0"/>
        </w:rPr>
      </w:pPr>
      <w:r>
        <w:rPr>
          <w:rFonts w:hint="eastAsia" w:ascii="仿宋_GB2312" w:hAnsi="仿宋" w:eastAsia="仿宋_GB2312" w:cs="Arial"/>
          <w:kern w:val="0"/>
        </w:rPr>
        <w:t>3.4.1投标文件报价出现前后不一致的，按照下列规定修正：</w:t>
      </w:r>
    </w:p>
    <w:p>
      <w:pPr>
        <w:pStyle w:val="131"/>
        <w:spacing w:before="0"/>
        <w:ind w:firstLine="480"/>
        <w:rPr>
          <w:rFonts w:ascii="仿宋_GB2312" w:hAnsi="仿宋" w:eastAsia="仿宋_GB2312" w:cs="仿宋"/>
          <w:kern w:val="0"/>
          <w:szCs w:val="24"/>
        </w:rPr>
      </w:pPr>
      <w:r>
        <w:rPr>
          <w:rFonts w:hint="eastAsia" w:ascii="仿宋_GB2312" w:hAnsi="仿宋" w:eastAsia="仿宋_GB2312" w:cs="仿宋"/>
          <w:kern w:val="0"/>
          <w:szCs w:val="24"/>
        </w:rPr>
        <w:t>3.4.1.1投标文件中开标一览表(报价表)内容与投标文件中相应内容不一致的，以开标一览表(报价表)为准;</w:t>
      </w:r>
      <w:r>
        <w:rPr>
          <w:rFonts w:hint="eastAsia" w:ascii="仿宋" w:hAnsi="仿宋" w:eastAsia="仿宋" w:cs="仿宋"/>
          <w:color w:val="0000FF"/>
          <w:szCs w:val="24"/>
        </w:rPr>
        <w:t>但开标一览表(报价表)存在明显单位、文字错误的，则澄清、说明、补正；在政采云平台填报的开标一览表（报价表）与投标文件中开标一览表(报价表)内容不一致的，以投标文件为准。</w:t>
      </w:r>
    </w:p>
    <w:p>
      <w:pPr>
        <w:pStyle w:val="131"/>
        <w:spacing w:before="0"/>
        <w:ind w:firstLine="480"/>
        <w:rPr>
          <w:rFonts w:ascii="仿宋_GB2312" w:hAnsi="仿宋" w:eastAsia="仿宋_GB2312" w:cs="仿宋"/>
          <w:kern w:val="0"/>
          <w:szCs w:val="24"/>
        </w:rPr>
      </w:pPr>
      <w:r>
        <w:rPr>
          <w:rFonts w:hint="eastAsia" w:ascii="仿宋_GB2312" w:hAnsi="仿宋" w:eastAsia="仿宋_GB2312" w:cs="仿宋"/>
          <w:kern w:val="0"/>
          <w:szCs w:val="24"/>
        </w:rPr>
        <w:t>3.4.1.2大写金额和小写金额不一致的，以大写金额为准;</w:t>
      </w:r>
    </w:p>
    <w:p>
      <w:pPr>
        <w:pStyle w:val="131"/>
        <w:spacing w:before="0"/>
        <w:ind w:firstLine="480"/>
        <w:rPr>
          <w:rFonts w:ascii="仿宋_GB2312" w:hAnsi="仿宋" w:eastAsia="仿宋_GB2312" w:cs="仿宋"/>
          <w:kern w:val="0"/>
          <w:szCs w:val="24"/>
        </w:rPr>
      </w:pPr>
      <w:r>
        <w:rPr>
          <w:rFonts w:hint="eastAsia" w:ascii="仿宋_GB2312" w:hAnsi="仿宋" w:eastAsia="仿宋_GB2312" w:cs="仿宋"/>
          <w:kern w:val="0"/>
          <w:szCs w:val="24"/>
        </w:rPr>
        <w:t>3.4.1.3单价金额小数点或者百分比有明显错位的，以开标一览表的总价为准，并修改单价;</w:t>
      </w:r>
    </w:p>
    <w:p>
      <w:pPr>
        <w:pStyle w:val="131"/>
        <w:spacing w:before="0"/>
        <w:ind w:firstLine="480"/>
        <w:rPr>
          <w:rFonts w:ascii="仿宋_GB2312" w:hAnsi="仿宋" w:eastAsia="仿宋_GB2312" w:cs="仿宋"/>
          <w:kern w:val="0"/>
          <w:szCs w:val="24"/>
        </w:rPr>
      </w:pPr>
      <w:r>
        <w:rPr>
          <w:rFonts w:hint="eastAsia" w:ascii="仿宋_GB2312" w:hAnsi="仿宋" w:eastAsia="仿宋_GB2312" w:cs="仿宋"/>
          <w:kern w:val="0"/>
          <w:szCs w:val="24"/>
        </w:rPr>
        <w:t>3.4.1.4总价金额与按单价汇总金额不一致的，以单价金额计算结果为准；</w:t>
      </w:r>
    </w:p>
    <w:p>
      <w:pPr>
        <w:pStyle w:val="131"/>
        <w:spacing w:before="0"/>
        <w:ind w:firstLine="480"/>
        <w:rPr>
          <w:rFonts w:ascii="仿宋_GB2312" w:hAnsi="仿宋" w:eastAsia="仿宋_GB2312" w:cs="仿宋"/>
          <w:kern w:val="0"/>
          <w:szCs w:val="24"/>
        </w:rPr>
      </w:pPr>
      <w:r>
        <w:rPr>
          <w:rFonts w:hint="eastAsia" w:ascii="仿宋_GB2312" w:hAnsi="仿宋" w:eastAsia="仿宋_GB2312" w:cs="仿宋"/>
          <w:kern w:val="0"/>
          <w:szCs w:val="24"/>
        </w:rPr>
        <w:t>3.4.1.5同时出现两种以上不一致的，按照3.4.1规定的顺序修正。修正后的报价按照财政部第87号令《政府采购货物和服务招标投标管理办法》第五十一条第二款的规定经投标人确认后产生约束力。</w:t>
      </w:r>
    </w:p>
    <w:p>
      <w:pPr>
        <w:snapToGrid w:val="0"/>
        <w:spacing w:line="360" w:lineRule="auto"/>
        <w:ind w:firstLine="480" w:firstLineChars="200"/>
        <w:jc w:val="left"/>
        <w:rPr>
          <w:rFonts w:ascii="仿宋_GB2312" w:hAnsi="仿宋" w:eastAsia="仿宋_GB2312" w:cs="仿宋"/>
          <w:kern w:val="0"/>
          <w:sz w:val="24"/>
        </w:rPr>
      </w:pPr>
      <w:r>
        <w:rPr>
          <w:rFonts w:hint="eastAsia" w:ascii="仿宋_GB2312" w:hAnsi="仿宋" w:eastAsia="仿宋_GB2312" w:cs="仿宋"/>
          <w:kern w:val="0"/>
          <w:sz w:val="24"/>
        </w:rPr>
        <w:t>3.4.2投标文件出现不是唯一的、有选择性投标报价的，投标无效。</w:t>
      </w:r>
    </w:p>
    <w:p>
      <w:pPr>
        <w:snapToGrid w:val="0"/>
        <w:spacing w:line="360" w:lineRule="auto"/>
        <w:ind w:firstLine="480" w:firstLineChars="200"/>
        <w:jc w:val="left"/>
        <w:rPr>
          <w:rFonts w:ascii="仿宋_GB2312" w:hAnsi="仿宋" w:eastAsia="仿宋_GB2312" w:cs="仿宋"/>
          <w:kern w:val="0"/>
          <w:sz w:val="24"/>
        </w:rPr>
      </w:pPr>
      <w:r>
        <w:rPr>
          <w:rFonts w:hint="eastAsia" w:ascii="仿宋_GB2312" w:hAnsi="仿宋" w:eastAsia="仿宋_GB2312" w:cs="仿宋"/>
          <w:kern w:val="0"/>
          <w:sz w:val="24"/>
        </w:rPr>
        <w:t>3.4.3投标报价超过招标文件中规定的预算金额或者最高限价的，投标无效。</w:t>
      </w:r>
    </w:p>
    <w:p>
      <w:pPr>
        <w:pStyle w:val="131"/>
        <w:spacing w:before="0"/>
        <w:ind w:firstLine="480"/>
        <w:rPr>
          <w:rFonts w:ascii="仿宋_GB2312" w:hAnsi="仿宋" w:eastAsia="仿宋_GB2312" w:cs="仿宋"/>
          <w:kern w:val="0"/>
          <w:szCs w:val="24"/>
        </w:rPr>
      </w:pPr>
      <w:r>
        <w:rPr>
          <w:rFonts w:hint="eastAsia" w:ascii="仿宋_GB2312" w:hAnsi="仿宋" w:eastAsia="仿宋_GB2312" w:cs="仿宋"/>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1"/>
        <w:spacing w:before="0"/>
        <w:ind w:firstLine="480"/>
        <w:rPr>
          <w:rFonts w:ascii="仿宋_GB2312" w:hAnsi="仿宋" w:eastAsia="仿宋_GB2312" w:cs="仿宋"/>
          <w:kern w:val="0"/>
          <w:szCs w:val="24"/>
        </w:rPr>
      </w:pPr>
      <w:r>
        <w:rPr>
          <w:rFonts w:hint="eastAsia" w:ascii="仿宋_GB2312" w:hAnsi="仿宋" w:eastAsia="仿宋_GB2312" w:cs="仿宋"/>
          <w:kern w:val="0"/>
          <w:szCs w:val="24"/>
        </w:rPr>
        <w:t>3.4.5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hint="eastAsia" w:ascii="仿宋_GB2312" w:hAnsi="仿宋" w:eastAsia="仿宋_GB2312" w:cs="Arial"/>
          <w:b/>
          <w:kern w:val="0"/>
          <w:sz w:val="24"/>
        </w:rPr>
        <w:t>3.5排序与推荐。</w:t>
      </w:r>
      <w:r>
        <w:rPr>
          <w:rFonts w:hint="eastAsia"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 w:hAnsi="仿宋" w:eastAsia="仿宋" w:cs="仿宋"/>
          <w:color w:val="0000FF"/>
          <w:kern w:val="0"/>
          <w:sz w:val="24"/>
        </w:rPr>
        <w:t>本项目中标候选人为一名。</w:t>
      </w:r>
    </w:p>
    <w:p>
      <w:pPr>
        <w:spacing w:line="360" w:lineRule="auto"/>
        <w:ind w:firstLine="480" w:firstLineChars="200"/>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hint="eastAsia" w:ascii="仿宋_GB2312" w:hAnsi="仿宋" w:eastAsia="仿宋_GB2312" w:cs="Arial"/>
          <w:b/>
          <w:kern w:val="0"/>
          <w:sz w:val="24"/>
        </w:rPr>
        <w:t>3.6编写评标报告。</w:t>
      </w:r>
      <w:r>
        <w:rPr>
          <w:rFonts w:hint="eastAsia" w:ascii="仿宋_GB2312" w:hAnsi="仿宋" w:eastAsia="仿宋_GB2312" w:cs="Arial"/>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131"/>
        <w:spacing w:before="0"/>
        <w:ind w:firstLine="472" w:firstLineChars="196"/>
        <w:rPr>
          <w:rFonts w:ascii="仿宋_GB2312" w:hAnsi="仿宋" w:eastAsia="仿宋_GB2312" w:cs="Arial"/>
          <w:kern w:val="0"/>
          <w:szCs w:val="24"/>
        </w:rPr>
      </w:pPr>
      <w:r>
        <w:rPr>
          <w:rFonts w:hint="eastAsia" w:ascii="仿宋_GB2312" w:hAnsi="仿宋" w:eastAsia="仿宋_GB2312" w:cs="Arial"/>
          <w:b/>
          <w:kern w:val="0"/>
          <w:szCs w:val="24"/>
        </w:rPr>
        <w:t>4.1投标人澄清、说明或者补正。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17"/>
        <w:spacing w:line="360" w:lineRule="auto"/>
        <w:ind w:left="954" w:leftChars="226" w:hanging="479" w:firstLineChars="0"/>
        <w:rPr>
          <w:rFonts w:ascii="仿宋_GB2312" w:hAnsi="仿宋" w:eastAsia="仿宋_GB2312" w:cs="仿宋_GB2312"/>
          <w:szCs w:val="21"/>
        </w:rPr>
      </w:pPr>
      <w:r>
        <w:rPr>
          <w:rFonts w:hint="eastAsia"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4.2.5投标文件中承诺的投标有效期少于招标文件中载明的投标有效期的；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4.2.10投标人提供虚假材料投标的；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4.2.12投标人仅提交备份投标文件，没有在电子交易平台传输递交投标文件的，投标无效；</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4.2.13投标文件不满足招标文件的其它实质性要求的；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4.2.14法律、法规、规章（适用本市的）及省级以上规范性文件（适用本市的）规定的其他无效情形。</w:t>
      </w:r>
    </w:p>
    <w:p>
      <w:pPr>
        <w:pStyle w:val="17"/>
        <w:snapToGrid w:val="0"/>
        <w:spacing w:line="360" w:lineRule="auto"/>
        <w:ind w:firstLine="472" w:firstLineChars="196"/>
        <w:rPr>
          <w:rFonts w:ascii="仿宋_GB2312" w:hAnsi="仿宋" w:eastAsia="仿宋_GB2312" w:cs="仿宋_GB2312"/>
        </w:rPr>
      </w:pPr>
      <w:r>
        <w:rPr>
          <w:rFonts w:hint="eastAsia"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17"/>
        <w:snapToGrid w:val="0"/>
        <w:spacing w:line="360" w:lineRule="auto"/>
        <w:rPr>
          <w:rFonts w:ascii="仿宋_GB2312" w:hAnsi="仿宋" w:eastAsia="仿宋_GB2312" w:cs="仿宋_GB2312"/>
        </w:rPr>
      </w:pPr>
      <w:r>
        <w:rPr>
          <w:rFonts w:hint="eastAsia" w:ascii="仿宋_GB2312" w:hAnsi="仿宋" w:eastAsia="仿宋_GB2312" w:cs="仿宋_GB2312"/>
        </w:rPr>
        <w:t>5.1符合专业条件的供应商或者对招标文件作实质响应的供应商不足3家的；</w:t>
      </w:r>
    </w:p>
    <w:p>
      <w:pPr>
        <w:pStyle w:val="17"/>
        <w:snapToGrid w:val="0"/>
        <w:spacing w:line="360" w:lineRule="auto"/>
        <w:rPr>
          <w:rFonts w:ascii="仿宋_GB2312" w:hAnsi="仿宋" w:eastAsia="仿宋_GB2312" w:cs="仿宋_GB2312"/>
        </w:rPr>
      </w:pPr>
      <w:r>
        <w:rPr>
          <w:rFonts w:hint="eastAsia" w:ascii="仿宋_GB2312" w:hAnsi="仿宋" w:eastAsia="仿宋_GB2312" w:cs="仿宋_GB2312"/>
        </w:rPr>
        <w:t>5.2出现影响采购公正的违法、违规行为的；</w:t>
      </w:r>
    </w:p>
    <w:p>
      <w:pPr>
        <w:pStyle w:val="17"/>
        <w:snapToGrid w:val="0"/>
        <w:spacing w:line="360" w:lineRule="auto"/>
        <w:rPr>
          <w:rFonts w:ascii="仿宋_GB2312" w:hAnsi="仿宋" w:eastAsia="仿宋_GB2312" w:cs="仿宋_GB2312"/>
        </w:rPr>
      </w:pPr>
      <w:r>
        <w:rPr>
          <w:rFonts w:hint="eastAsia" w:ascii="仿宋_GB2312" w:hAnsi="仿宋" w:eastAsia="仿宋_GB2312" w:cs="仿宋_GB2312"/>
        </w:rPr>
        <w:t>5.3投标人的报价均超过了采购预算，采购人不能支付的；</w:t>
      </w:r>
    </w:p>
    <w:p>
      <w:pPr>
        <w:pStyle w:val="17"/>
        <w:snapToGrid w:val="0"/>
        <w:spacing w:line="360" w:lineRule="auto"/>
        <w:rPr>
          <w:rFonts w:ascii="仿宋_GB2312" w:hAnsi="仿宋" w:eastAsia="仿宋_GB2312" w:cs="仿宋_GB2312"/>
        </w:rPr>
      </w:pPr>
      <w:r>
        <w:rPr>
          <w:rFonts w:hint="eastAsia" w:ascii="仿宋_GB2312" w:hAnsi="仿宋" w:eastAsia="仿宋_GB2312" w:cs="仿宋_GB2312"/>
        </w:rPr>
        <w:t>5.4因重大变故，采购任务取消的。</w:t>
      </w:r>
    </w:p>
    <w:p>
      <w:pPr>
        <w:pStyle w:val="17"/>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17"/>
        <w:snapToGrid w:val="0"/>
        <w:spacing w:line="360" w:lineRule="auto"/>
        <w:ind w:firstLine="482"/>
        <w:rPr>
          <w:rFonts w:ascii="仿宋_GB2312" w:hAnsi="仿宋" w:eastAsia="仿宋_GB2312" w:cs="仿宋_GB2312"/>
        </w:rPr>
      </w:pPr>
      <w:r>
        <w:rPr>
          <w:rFonts w:hint="eastAsia"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17"/>
        <w:snapToGrid w:val="0"/>
        <w:spacing w:line="360" w:lineRule="auto"/>
        <w:ind w:firstLine="482"/>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17"/>
        <w:snapToGrid w:val="0"/>
        <w:spacing w:line="360" w:lineRule="auto"/>
        <w:rPr>
          <w:rFonts w:ascii="仿宋_GB2312" w:hAnsi="仿宋" w:eastAsia="仿宋_GB2312" w:cs="仿宋_GB2312"/>
        </w:rPr>
      </w:pPr>
      <w:r>
        <w:rPr>
          <w:rFonts w:hint="eastAsia" w:ascii="仿宋_GB2312" w:hAnsi="仿宋" w:eastAsia="仿宋_GB2312" w:cs="仿宋_GB2312"/>
        </w:rPr>
        <w:t>7.1未确定中标、成交供应商的，终止本次政府采购活动，重新开展政府采购活动。</w:t>
      </w:r>
    </w:p>
    <w:p>
      <w:pPr>
        <w:pStyle w:val="17"/>
        <w:snapToGrid w:val="0"/>
        <w:spacing w:line="360" w:lineRule="auto"/>
        <w:rPr>
          <w:rFonts w:ascii="仿宋_GB2312" w:hAnsi="仿宋" w:eastAsia="仿宋_GB2312" w:cs="仿宋_GB2312"/>
        </w:rPr>
      </w:pPr>
      <w:r>
        <w:rPr>
          <w:rFonts w:hint="eastAsia" w:ascii="仿宋_GB2312" w:hAnsi="仿宋" w:eastAsia="仿宋_GB2312" w:cs="仿宋_GB2312"/>
        </w:rPr>
        <w:t>7.2已确定中标、成交供应商但尚未签订政府采购合同的，中标、成交结果无效，从合格的中标、成交候选人中另行确定中标、成交候选人；没有合格的中标、成交候选人的，重新开展政府采购活动。</w:t>
      </w:r>
    </w:p>
    <w:p>
      <w:pPr>
        <w:pStyle w:val="17"/>
        <w:snapToGrid w:val="0"/>
        <w:spacing w:line="360" w:lineRule="auto"/>
        <w:rPr>
          <w:rFonts w:ascii="仿宋_GB2312" w:hAnsi="仿宋" w:eastAsia="仿宋_GB2312" w:cs="仿宋_GB2312"/>
        </w:rPr>
      </w:pPr>
      <w:r>
        <w:rPr>
          <w:rFonts w:hint="eastAsia" w:ascii="仿宋_GB2312" w:hAnsi="仿宋" w:eastAsia="仿宋_GB2312" w:cs="仿宋_GB2312"/>
        </w:rPr>
        <w:t>7.3政府采购合同已签订但尚未履行的，撤销合同，从合格的中标、成交候选人中另行确定中标、成交候选人；没有合格的中标、成交候选人的，重新开展政府采购活动。</w:t>
      </w:r>
    </w:p>
    <w:p>
      <w:pPr>
        <w:pStyle w:val="17"/>
        <w:snapToGrid w:val="0"/>
        <w:spacing w:line="360" w:lineRule="auto"/>
        <w:rPr>
          <w:rFonts w:ascii="仿宋_GB2312" w:hAnsi="仿宋" w:eastAsia="仿宋_GB2312" w:cs="仿宋_GB2312"/>
        </w:rPr>
      </w:pPr>
      <w:r>
        <w:rPr>
          <w:rFonts w:hint="eastAsia" w:ascii="仿宋_GB2312" w:hAnsi="仿宋" w:eastAsia="仿宋_GB2312" w:cs="仿宋_GB2312"/>
        </w:rPr>
        <w:t>7.4政府采购合同已经履行，给采购人、供应商造成损失的，由责任人承担赔偿责任。</w:t>
      </w:r>
    </w:p>
    <w:p>
      <w:pPr>
        <w:pStyle w:val="17"/>
        <w:snapToGrid w:val="0"/>
        <w:spacing w:line="360" w:lineRule="auto"/>
        <w:rPr>
          <w:rFonts w:ascii="仿宋_GB2312" w:hAnsi="仿宋" w:eastAsia="仿宋_GB2312" w:cs="仿宋_GB2312"/>
        </w:rPr>
      </w:pPr>
      <w:r>
        <w:rPr>
          <w:rFonts w:hint="eastAsia" w:ascii="仿宋_GB2312" w:hAnsi="仿宋" w:eastAsia="仿宋_GB2312" w:cs="仿宋_GB2312"/>
        </w:rPr>
        <w:t>7.5政府采购当事人有其他违反政府采购法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的行为，经改正后仍然影响或者可能影响中标、成交结果或者依法被认定为中标、成交无效的，依照7.1-7.4规定处理。</w:t>
      </w:r>
    </w:p>
    <w:p>
      <w:pPr>
        <w:pStyle w:val="17"/>
        <w:snapToGrid w:val="0"/>
        <w:spacing w:line="360" w:lineRule="auto"/>
        <w:ind w:firstLine="0" w:firstLineChars="0"/>
        <w:rPr>
          <w:rFonts w:ascii="仿宋_GB2312" w:hAnsi="仿宋" w:eastAsia="仿宋_GB2312" w:cs="仿宋_GB2312"/>
        </w:rPr>
      </w:pPr>
    </w:p>
    <w:bookmarkEnd w:id="26"/>
    <w:p>
      <w:pPr>
        <w:spacing w:line="360" w:lineRule="auto"/>
        <w:outlineLvl w:val="0"/>
        <w:rPr>
          <w:rFonts w:ascii="仿宋" w:hAnsi="仿宋" w:eastAsia="仿宋" w:cs="仿宋_GB2312"/>
          <w:b/>
          <w:sz w:val="36"/>
          <w:szCs w:val="36"/>
        </w:rPr>
      </w:pPr>
      <w:bookmarkStart w:id="407" w:name="第五部分"/>
      <w:bookmarkStart w:id="408" w:name="_Toc86217003"/>
    </w:p>
    <w:p>
      <w:pPr>
        <w:rPr>
          <w:rFonts w:ascii="仿宋" w:hAnsi="仿宋" w:eastAsia="仿宋" w:cs="仿宋_GB2312"/>
          <w:b/>
          <w:sz w:val="36"/>
          <w:szCs w:val="36"/>
        </w:rPr>
      </w:pPr>
      <w:r>
        <w:rPr>
          <w:rFonts w:ascii="仿宋" w:hAnsi="仿宋" w:eastAsia="仿宋" w:cs="仿宋_GB2312"/>
          <w:b/>
          <w:sz w:val="36"/>
          <w:szCs w:val="36"/>
        </w:rPr>
        <w:br w:type="page"/>
      </w:r>
    </w:p>
    <w:p>
      <w:pPr>
        <w:pStyle w:val="2"/>
      </w:pPr>
    </w:p>
    <w:p>
      <w:pPr>
        <w:rPr>
          <w:rFonts w:ascii="仿宋" w:hAnsi="仿宋" w:eastAsia="仿宋" w:cs="仿宋_GB2312"/>
          <w:b/>
          <w:sz w:val="36"/>
          <w:szCs w:val="36"/>
        </w:rPr>
      </w:pPr>
    </w:p>
    <w:p/>
    <w:p>
      <w:pPr>
        <w:pStyle w:val="59"/>
        <w:rPr>
          <w:rFonts w:hint="eastAsia" w:ascii="仿宋" w:hAnsi="仿宋" w:eastAsia="仿宋" w:cs="仿宋"/>
          <w:color w:val="auto"/>
          <w:sz w:val="44"/>
          <w:szCs w:val="44"/>
          <w:highlight w:val="none"/>
        </w:rPr>
      </w:pPr>
      <w:r>
        <w:rPr>
          <w:rFonts w:hint="eastAsia" w:ascii="仿宋" w:hAnsi="仿宋" w:eastAsia="仿宋" w:cs="仿宋_GB2312"/>
          <w:b/>
          <w:sz w:val="36"/>
          <w:szCs w:val="36"/>
        </w:rPr>
        <w:t>第五部分</w:t>
      </w:r>
      <w:r>
        <w:rPr>
          <w:rFonts w:hint="eastAsia" w:ascii="仿宋" w:hAnsi="仿宋" w:eastAsia="仿宋" w:cs="仿宋"/>
          <w:color w:val="auto"/>
          <w:sz w:val="44"/>
          <w:szCs w:val="44"/>
          <w:highlight w:val="none"/>
        </w:rPr>
        <w:t>拟签订的合同文本</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合同编号：</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p>
    <w:p>
      <w:pPr>
        <w:pStyle w:val="702"/>
        <w:ind w:leftChars="0" w:firstLine="2465" w:firstLineChars="682"/>
        <w:jc w:val="left"/>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政府采购合同书</w:t>
      </w:r>
    </w:p>
    <w:p>
      <w:pPr>
        <w:pStyle w:val="702"/>
        <w:rPr>
          <w:rFonts w:hint="eastAsia" w:ascii="仿宋" w:hAnsi="仿宋" w:eastAsia="仿宋" w:cs="仿宋"/>
          <w:color w:val="auto"/>
          <w:szCs w:val="24"/>
          <w:highlight w:val="none"/>
        </w:rPr>
      </w:pPr>
    </w:p>
    <w:p>
      <w:pPr>
        <w:pStyle w:val="702"/>
        <w:rPr>
          <w:rFonts w:hint="eastAsia" w:ascii="仿宋" w:hAnsi="仿宋" w:eastAsia="仿宋" w:cs="仿宋"/>
          <w:color w:val="auto"/>
          <w:szCs w:val="24"/>
          <w:highlight w:val="none"/>
        </w:rPr>
      </w:pPr>
    </w:p>
    <w:p>
      <w:pPr>
        <w:spacing w:before="120" w:line="360" w:lineRule="auto"/>
        <w:rPr>
          <w:rFonts w:hint="eastAsia" w:ascii="仿宋" w:hAnsi="仿宋" w:eastAsia="仿宋" w:cs="仿宋"/>
          <w:color w:val="auto"/>
          <w:sz w:val="24"/>
          <w:highlight w:val="none"/>
        </w:rPr>
      </w:pPr>
    </w:p>
    <w:p>
      <w:pPr>
        <w:spacing w:before="120" w:line="360" w:lineRule="auto"/>
        <w:ind w:left="960"/>
        <w:rPr>
          <w:rFonts w:hint="default" w:ascii="仿宋" w:hAnsi="仿宋" w:eastAsia="仿宋" w:cs="仿宋"/>
          <w:b w:val="0"/>
          <w:bCs w:val="0"/>
          <w:color w:val="auto"/>
          <w:sz w:val="24"/>
          <w:highlight w:val="none"/>
          <w:u w:val="single"/>
          <w:lang w:val="en-US"/>
        </w:rPr>
      </w:pPr>
      <w:r>
        <w:rPr>
          <w:rFonts w:hint="eastAsia" w:ascii="仿宋" w:hAnsi="仿宋" w:eastAsia="仿宋" w:cs="仿宋"/>
          <w:color w:val="auto"/>
          <w:sz w:val="24"/>
          <w:highlight w:val="none"/>
        </w:rPr>
        <w:t>项目名称：</w:t>
      </w:r>
      <w:r>
        <w:rPr>
          <w:rFonts w:hint="eastAsia" w:ascii="仿宋" w:hAnsi="仿宋" w:eastAsia="仿宋" w:cs="仿宋"/>
          <w:b w:val="0"/>
          <w:bCs w:val="0"/>
          <w:color w:val="auto"/>
          <w:sz w:val="24"/>
          <w:highlight w:val="none"/>
          <w:u w:val="single"/>
          <w:lang w:val="en-US" w:eastAsia="zh-CN"/>
        </w:rPr>
        <w:t xml:space="preserve"> </w:t>
      </w:r>
      <w:r>
        <w:rPr>
          <w:rFonts w:hint="eastAsia" w:ascii="仿宋" w:hAnsi="仿宋" w:eastAsia="仿宋" w:cs="仿宋"/>
          <w:color w:val="auto"/>
          <w:sz w:val="24"/>
          <w:highlight w:val="none"/>
          <w:u w:val="single"/>
          <w:lang w:val="zh-CN"/>
        </w:rPr>
        <w:t>拱墅区智慧工地监管平台项目</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b w:val="0"/>
          <w:bCs w:val="0"/>
          <w:color w:val="auto"/>
          <w:sz w:val="24"/>
          <w:highlight w:val="none"/>
          <w:u w:val="single"/>
          <w:lang w:val="en-US" w:eastAsia="zh-CN"/>
        </w:rPr>
        <w:t xml:space="preserve">                 </w:t>
      </w:r>
    </w:p>
    <w:p>
      <w:pPr>
        <w:pStyle w:val="599"/>
        <w:spacing w:before="120"/>
        <w:rPr>
          <w:rFonts w:hint="eastAsia" w:ascii="仿宋" w:hAnsi="仿宋" w:eastAsia="仿宋" w:cs="仿宋"/>
          <w:color w:val="auto"/>
          <w:szCs w:val="24"/>
          <w:highlight w:val="none"/>
        </w:rPr>
      </w:pPr>
    </w:p>
    <w:p>
      <w:pPr>
        <w:spacing w:line="360" w:lineRule="auto"/>
        <w:rPr>
          <w:rFonts w:hint="eastAsia" w:ascii="仿宋" w:hAnsi="仿宋" w:eastAsia="仿宋" w:cs="仿宋"/>
          <w:color w:val="auto"/>
          <w:sz w:val="24"/>
          <w:highlight w:val="none"/>
        </w:rPr>
      </w:pPr>
    </w:p>
    <w:p>
      <w:pPr>
        <w:spacing w:before="120" w:line="360" w:lineRule="auto"/>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甲方：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p>
    <w:p>
      <w:pPr>
        <w:spacing w:before="120" w:line="360" w:lineRule="auto"/>
        <w:rPr>
          <w:rFonts w:hint="eastAsia" w:ascii="仿宋" w:hAnsi="仿宋" w:eastAsia="仿宋" w:cs="仿宋"/>
          <w:color w:val="auto"/>
          <w:sz w:val="24"/>
          <w:highlight w:val="none"/>
        </w:rPr>
      </w:pPr>
    </w:p>
    <w:p>
      <w:pPr>
        <w:spacing w:before="120" w:line="360" w:lineRule="auto"/>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乙方：</w:t>
      </w:r>
      <w:r>
        <w:rPr>
          <w:rFonts w:hint="eastAsia" w:ascii="仿宋" w:hAnsi="仿宋" w:eastAsia="仿宋" w:cs="仿宋"/>
          <w:color w:val="auto"/>
          <w:sz w:val="24"/>
          <w:highlight w:val="none"/>
          <w:u w:val="single"/>
        </w:rPr>
        <w:t xml:space="preserve">                                       </w:t>
      </w:r>
    </w:p>
    <w:p>
      <w:pPr>
        <w:spacing w:before="120" w:line="360" w:lineRule="auto"/>
        <w:rPr>
          <w:rFonts w:hint="eastAsia" w:ascii="仿宋" w:hAnsi="仿宋" w:eastAsia="仿宋" w:cs="仿宋"/>
          <w:color w:val="auto"/>
          <w:sz w:val="24"/>
          <w:highlight w:val="none"/>
        </w:rPr>
      </w:pPr>
    </w:p>
    <w:p>
      <w:pPr>
        <w:spacing w:before="120" w:line="360" w:lineRule="auto"/>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签订地：</w:t>
      </w:r>
      <w:r>
        <w:rPr>
          <w:rFonts w:hint="eastAsia" w:ascii="仿宋" w:hAnsi="仿宋" w:eastAsia="仿宋" w:cs="仿宋"/>
          <w:color w:val="auto"/>
          <w:sz w:val="24"/>
          <w:highlight w:val="none"/>
          <w:u w:val="single"/>
        </w:rPr>
        <w:t xml:space="preserve">                                     </w:t>
      </w:r>
    </w:p>
    <w:p>
      <w:pPr>
        <w:spacing w:before="120" w:line="360" w:lineRule="auto"/>
        <w:rPr>
          <w:rFonts w:hint="eastAsia" w:ascii="仿宋" w:hAnsi="仿宋" w:eastAsia="仿宋" w:cs="仿宋"/>
          <w:color w:val="auto"/>
          <w:sz w:val="24"/>
          <w:highlight w:val="none"/>
        </w:rPr>
      </w:pPr>
    </w:p>
    <w:p>
      <w:pPr>
        <w:spacing w:before="120" w:line="360" w:lineRule="auto"/>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签订日期：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widowControl/>
        <w:adjustRightInd/>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br w:type="page"/>
      </w:r>
    </w:p>
    <w:p>
      <w:pPr>
        <w:spacing w:line="360" w:lineRule="auto"/>
        <w:ind w:firstLine="562" w:firstLineChars="200"/>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第一部分 合同书</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年</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月</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日</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（采购人名称）   </w:t>
      </w:r>
      <w:r>
        <w:rPr>
          <w:rFonts w:hint="eastAsia" w:ascii="仿宋" w:hAnsi="仿宋" w:eastAsia="仿宋" w:cs="仿宋"/>
          <w:color w:val="auto"/>
          <w:sz w:val="24"/>
          <w:highlight w:val="none"/>
        </w:rPr>
        <w:t>以</w:t>
      </w:r>
      <w:r>
        <w:rPr>
          <w:rFonts w:hint="eastAsia" w:ascii="仿宋" w:hAnsi="仿宋" w:eastAsia="仿宋" w:cs="仿宋"/>
          <w:color w:val="auto"/>
          <w:sz w:val="24"/>
          <w:highlight w:val="none"/>
          <w:u w:val="single"/>
        </w:rPr>
        <w:t xml:space="preserve">   （政府采购方式）  </w:t>
      </w:r>
      <w:r>
        <w:rPr>
          <w:rFonts w:hint="eastAsia" w:ascii="仿宋" w:hAnsi="仿宋" w:eastAsia="仿宋" w:cs="仿宋"/>
          <w:color w:val="auto"/>
          <w:sz w:val="24"/>
          <w:highlight w:val="none"/>
        </w:rPr>
        <w:t>对</w:t>
      </w:r>
      <w:r>
        <w:rPr>
          <w:rFonts w:hint="eastAsia" w:ascii="仿宋" w:hAnsi="仿宋" w:eastAsia="仿宋" w:cs="仿宋"/>
          <w:color w:val="auto"/>
          <w:sz w:val="24"/>
          <w:highlight w:val="none"/>
          <w:u w:val="single"/>
        </w:rPr>
        <w:t xml:space="preserve">   （同前页项目名称）   </w:t>
      </w:r>
      <w:r>
        <w:rPr>
          <w:rFonts w:hint="eastAsia" w:ascii="仿宋" w:hAnsi="仿宋" w:eastAsia="仿宋" w:cs="仿宋"/>
          <w:color w:val="auto"/>
          <w:sz w:val="24"/>
          <w:highlight w:val="none"/>
        </w:rPr>
        <w:t>项目进行了采购。经</w:t>
      </w:r>
      <w:r>
        <w:rPr>
          <w:rFonts w:hint="eastAsia" w:ascii="仿宋" w:hAnsi="仿宋" w:eastAsia="仿宋" w:cs="仿宋"/>
          <w:color w:val="auto"/>
          <w:sz w:val="24"/>
          <w:highlight w:val="none"/>
          <w:u w:val="single"/>
        </w:rPr>
        <w:t xml:space="preserve">   （相关评定主体名称）   </w:t>
      </w:r>
      <w:r>
        <w:rPr>
          <w:rFonts w:hint="eastAsia" w:ascii="仿宋" w:hAnsi="仿宋" w:eastAsia="仿宋" w:cs="仿宋"/>
          <w:color w:val="auto"/>
          <w:sz w:val="24"/>
          <w:highlight w:val="none"/>
        </w:rPr>
        <w:t>评定，</w:t>
      </w:r>
      <w:r>
        <w:rPr>
          <w:rFonts w:hint="eastAsia" w:ascii="仿宋" w:hAnsi="仿宋" w:eastAsia="仿宋" w:cs="仿宋"/>
          <w:color w:val="auto"/>
          <w:sz w:val="24"/>
          <w:highlight w:val="none"/>
          <w:u w:val="single"/>
        </w:rPr>
        <w:t xml:space="preserve">   （成交供应商名称）</w:t>
      </w:r>
      <w:r>
        <w:rPr>
          <w:rFonts w:hint="eastAsia" w:ascii="仿宋" w:hAnsi="仿宋" w:eastAsia="仿宋" w:cs="仿宋"/>
          <w:color w:val="auto"/>
          <w:sz w:val="24"/>
          <w:highlight w:val="none"/>
        </w:rPr>
        <w:t>为该项目成交供应商。现于成交通知书发出之日起十个工作日内，按照采购文件确定的事项签订本合同。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根据《中华人民共和国民法典》、《中华人民共和国政府采购法》等相关法律法规之规定，按照平等、自愿、公平和诚实信用的原则，经</w:t>
      </w:r>
      <w:r>
        <w:rPr>
          <w:rFonts w:hint="eastAsia" w:ascii="仿宋" w:hAnsi="仿宋" w:eastAsia="仿宋" w:cs="仿宋"/>
          <w:color w:val="auto"/>
          <w:sz w:val="24"/>
          <w:highlight w:val="none"/>
          <w:u w:val="single"/>
        </w:rPr>
        <w:t xml:space="preserve">   （采购人名称）   </w:t>
      </w:r>
      <w:r>
        <w:rPr>
          <w:rFonts w:hint="eastAsia" w:ascii="仿宋" w:hAnsi="仿宋" w:eastAsia="仿宋" w:cs="仿宋"/>
          <w:color w:val="auto"/>
          <w:sz w:val="24"/>
          <w:highlight w:val="none"/>
          <w:lang w:val="zh-CN"/>
        </w:rPr>
        <w:t>(以下简称：甲方)和</w:t>
      </w:r>
      <w:r>
        <w:rPr>
          <w:rFonts w:hint="eastAsia" w:ascii="仿宋" w:hAnsi="仿宋" w:eastAsia="仿宋" w:cs="仿宋"/>
          <w:color w:val="auto"/>
          <w:sz w:val="24"/>
          <w:highlight w:val="none"/>
          <w:u w:val="single"/>
        </w:rPr>
        <w:t xml:space="preserve">   （成交供应商名称）   </w:t>
      </w:r>
      <w:r>
        <w:rPr>
          <w:rFonts w:hint="eastAsia" w:ascii="仿宋" w:hAnsi="仿宋" w:eastAsia="仿宋" w:cs="仿宋"/>
          <w:color w:val="auto"/>
          <w:sz w:val="24"/>
          <w:highlight w:val="none"/>
          <w:lang w:val="zh-CN"/>
        </w:rPr>
        <w:t>(以下简称：乙方)协商一致，约定以下合同</w:t>
      </w:r>
      <w:r>
        <w:rPr>
          <w:rFonts w:hint="eastAsia" w:ascii="仿宋" w:hAnsi="仿宋" w:eastAsia="仿宋" w:cs="仿宋"/>
          <w:color w:val="auto"/>
          <w:sz w:val="24"/>
          <w:highlight w:val="none"/>
        </w:rPr>
        <w:t>条款，以兹共同遵守、全面履行。</w:t>
      </w:r>
    </w:p>
    <w:p>
      <w:pPr>
        <w:spacing w:line="360" w:lineRule="auto"/>
        <w:ind w:firstLine="482" w:firstLineChars="200"/>
        <w:outlineLvl w:val="0"/>
        <w:rPr>
          <w:rFonts w:hint="eastAsia" w:ascii="仿宋" w:hAnsi="仿宋" w:eastAsia="仿宋" w:cs="仿宋"/>
          <w:b/>
          <w:color w:val="auto"/>
          <w:sz w:val="24"/>
          <w:highlight w:val="none"/>
        </w:rPr>
      </w:pPr>
      <w:bookmarkStart w:id="409" w:name="_Toc2232"/>
      <w:bookmarkStart w:id="410" w:name="_Toc24059"/>
      <w:bookmarkStart w:id="411" w:name="_Toc3029"/>
      <w:r>
        <w:rPr>
          <w:rFonts w:hint="eastAsia" w:ascii="仿宋" w:hAnsi="仿宋" w:eastAsia="仿宋" w:cs="仿宋"/>
          <w:b/>
          <w:color w:val="auto"/>
          <w:sz w:val="24"/>
          <w:highlight w:val="none"/>
        </w:rPr>
        <w:t>1.1 合同组成部分</w:t>
      </w:r>
      <w:bookmarkEnd w:id="409"/>
      <w:bookmarkEnd w:id="410"/>
      <w:bookmarkEnd w:id="411"/>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1.1.1 本合同及其补充合同、变更协议；</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1.1.2 成交通知书；</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1.1.3 响应文件及“最后报价”（含澄清或者说明文件）；</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1.1.4 磋商文件（含澄清或者修改文件）；</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1.1.5 其他相关采购文件。</w:t>
      </w:r>
    </w:p>
    <w:p>
      <w:pPr>
        <w:spacing w:line="360" w:lineRule="auto"/>
        <w:ind w:firstLine="482" w:firstLineChars="200"/>
        <w:outlineLvl w:val="0"/>
        <w:rPr>
          <w:rFonts w:hint="eastAsia" w:ascii="仿宋" w:hAnsi="仿宋" w:eastAsia="仿宋" w:cs="仿宋"/>
          <w:b/>
          <w:color w:val="auto"/>
          <w:sz w:val="24"/>
          <w:highlight w:val="none"/>
        </w:rPr>
      </w:pPr>
      <w:bookmarkStart w:id="412" w:name="_Toc27126"/>
      <w:bookmarkStart w:id="413" w:name="_Toc21295"/>
      <w:bookmarkStart w:id="414" w:name="_Toc24300"/>
      <w:r>
        <w:rPr>
          <w:rFonts w:hint="eastAsia" w:ascii="仿宋" w:hAnsi="仿宋" w:eastAsia="仿宋" w:cs="仿宋"/>
          <w:b/>
          <w:color w:val="auto"/>
          <w:sz w:val="24"/>
          <w:highlight w:val="none"/>
        </w:rPr>
        <w:t>1.2 标的物</w:t>
      </w:r>
      <w:bookmarkEnd w:id="412"/>
      <w:bookmarkEnd w:id="413"/>
      <w:bookmarkEnd w:id="414"/>
    </w:p>
    <w:p>
      <w:pP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1.2.1 标的名称：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1.2.2 标的数量：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1.2.3 标的质量：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ind w:firstLine="482" w:firstLineChars="200"/>
        <w:outlineLvl w:val="0"/>
        <w:rPr>
          <w:rFonts w:hint="eastAsia" w:ascii="仿宋" w:hAnsi="仿宋" w:eastAsia="仿宋" w:cs="仿宋"/>
          <w:b/>
          <w:color w:val="auto"/>
          <w:sz w:val="24"/>
          <w:highlight w:val="none"/>
        </w:rPr>
      </w:pPr>
      <w:bookmarkStart w:id="415" w:name="_Toc21631"/>
      <w:bookmarkStart w:id="416" w:name="_Toc21551"/>
      <w:bookmarkStart w:id="417" w:name="_Toc23292"/>
      <w:r>
        <w:rPr>
          <w:rFonts w:hint="eastAsia" w:ascii="仿宋" w:hAnsi="仿宋" w:eastAsia="仿宋" w:cs="仿宋"/>
          <w:b/>
          <w:color w:val="auto"/>
          <w:sz w:val="24"/>
          <w:highlight w:val="none"/>
        </w:rPr>
        <w:t>1.3 价款</w:t>
      </w:r>
      <w:bookmarkEnd w:id="415"/>
      <w:bookmarkEnd w:id="416"/>
      <w:bookmarkEnd w:id="417"/>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本合同总价为：人民币</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元人民币）。</w:t>
      </w:r>
    </w:p>
    <w:p>
      <w:pP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keepNext w:val="0"/>
              <w:keepLines w:val="0"/>
              <w:suppressLineNumbers w:val="0"/>
              <w:spacing w:before="0" w:beforeAutospacing="0" w:after="0" w:afterAutospacing="0" w:line="360" w:lineRule="auto"/>
              <w:ind w:left="0" w:leftChars="0" w:right="0" w:firstLine="0" w:firstLineChars="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3402" w:type="dxa"/>
            <w:vAlign w:val="center"/>
          </w:tcPr>
          <w:p>
            <w:pPr>
              <w:pStyle w:val="318"/>
              <w:keepNext w:val="0"/>
              <w:keepLines w:val="0"/>
              <w:suppressLineNumbers w:val="0"/>
              <w:spacing w:before="0" w:beforeAutospacing="0" w:after="0" w:afterAutospacing="0" w:line="360" w:lineRule="auto"/>
              <w:ind w:right="0" w:firstLine="2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分项名称</w:t>
            </w:r>
          </w:p>
        </w:tc>
        <w:tc>
          <w:tcPr>
            <w:tcW w:w="2552" w:type="dxa"/>
            <w:vAlign w:val="center"/>
          </w:tcPr>
          <w:p>
            <w:pPr>
              <w:pStyle w:val="318"/>
              <w:keepNext w:val="0"/>
              <w:keepLines w:val="0"/>
              <w:suppressLineNumbers w:val="0"/>
              <w:spacing w:before="0" w:beforeAutospacing="0" w:after="0" w:afterAutospacing="0" w:line="360" w:lineRule="auto"/>
              <w:ind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keepNext w:val="0"/>
              <w:keepLines w:val="0"/>
              <w:suppressLineNumbers w:val="0"/>
              <w:spacing w:before="0" w:beforeAutospacing="0" w:after="0" w:afterAutospacing="0" w:line="360" w:lineRule="auto"/>
              <w:ind w:right="0" w:firstLine="200"/>
              <w:jc w:val="center"/>
              <w:rPr>
                <w:rFonts w:hint="eastAsia" w:ascii="仿宋" w:hAnsi="仿宋" w:eastAsia="仿宋" w:cs="仿宋"/>
                <w:color w:val="auto"/>
                <w:sz w:val="24"/>
                <w:szCs w:val="24"/>
                <w:highlight w:val="none"/>
              </w:rPr>
            </w:pPr>
          </w:p>
        </w:tc>
        <w:tc>
          <w:tcPr>
            <w:tcW w:w="3402" w:type="dxa"/>
            <w:vAlign w:val="center"/>
          </w:tcPr>
          <w:p>
            <w:pPr>
              <w:pStyle w:val="318"/>
              <w:keepNext w:val="0"/>
              <w:keepLines w:val="0"/>
              <w:suppressLineNumbers w:val="0"/>
              <w:spacing w:before="0" w:beforeAutospacing="0" w:after="0" w:afterAutospacing="0" w:line="360" w:lineRule="auto"/>
              <w:ind w:right="0" w:firstLine="200"/>
              <w:jc w:val="center"/>
              <w:rPr>
                <w:rFonts w:hint="eastAsia" w:ascii="仿宋" w:hAnsi="仿宋" w:eastAsia="仿宋" w:cs="仿宋"/>
                <w:color w:val="auto"/>
                <w:sz w:val="24"/>
                <w:szCs w:val="24"/>
                <w:highlight w:val="none"/>
              </w:rPr>
            </w:pPr>
          </w:p>
        </w:tc>
        <w:tc>
          <w:tcPr>
            <w:tcW w:w="2552" w:type="dxa"/>
            <w:vAlign w:val="center"/>
          </w:tcPr>
          <w:p>
            <w:pPr>
              <w:pStyle w:val="318"/>
              <w:keepNext w:val="0"/>
              <w:keepLines w:val="0"/>
              <w:suppressLineNumbers w:val="0"/>
              <w:spacing w:before="0" w:beforeAutospacing="0" w:after="0" w:afterAutospacing="0" w:line="360" w:lineRule="auto"/>
              <w:ind w:right="0"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keepNext w:val="0"/>
              <w:keepLines w:val="0"/>
              <w:suppressLineNumbers w:val="0"/>
              <w:spacing w:before="0" w:beforeAutospacing="0" w:after="0" w:afterAutospacing="0" w:line="360" w:lineRule="auto"/>
              <w:ind w:right="0" w:firstLine="200"/>
              <w:jc w:val="center"/>
              <w:rPr>
                <w:rFonts w:hint="eastAsia" w:ascii="仿宋" w:hAnsi="仿宋" w:eastAsia="仿宋" w:cs="仿宋"/>
                <w:color w:val="auto"/>
                <w:sz w:val="24"/>
                <w:szCs w:val="24"/>
                <w:highlight w:val="none"/>
              </w:rPr>
            </w:pPr>
          </w:p>
        </w:tc>
        <w:tc>
          <w:tcPr>
            <w:tcW w:w="3402" w:type="dxa"/>
            <w:vAlign w:val="center"/>
          </w:tcPr>
          <w:p>
            <w:pPr>
              <w:pStyle w:val="318"/>
              <w:keepNext w:val="0"/>
              <w:keepLines w:val="0"/>
              <w:suppressLineNumbers w:val="0"/>
              <w:spacing w:before="0" w:beforeAutospacing="0" w:after="0" w:afterAutospacing="0" w:line="360" w:lineRule="auto"/>
              <w:ind w:right="0" w:firstLine="200"/>
              <w:jc w:val="center"/>
              <w:rPr>
                <w:rFonts w:hint="eastAsia" w:ascii="仿宋" w:hAnsi="仿宋" w:eastAsia="仿宋" w:cs="仿宋"/>
                <w:color w:val="auto"/>
                <w:sz w:val="24"/>
                <w:szCs w:val="24"/>
                <w:highlight w:val="none"/>
              </w:rPr>
            </w:pPr>
          </w:p>
        </w:tc>
        <w:tc>
          <w:tcPr>
            <w:tcW w:w="2552" w:type="dxa"/>
            <w:vAlign w:val="center"/>
          </w:tcPr>
          <w:p>
            <w:pPr>
              <w:pStyle w:val="318"/>
              <w:keepNext w:val="0"/>
              <w:keepLines w:val="0"/>
              <w:suppressLineNumbers w:val="0"/>
              <w:spacing w:before="0" w:beforeAutospacing="0" w:after="0" w:afterAutospacing="0" w:line="360" w:lineRule="auto"/>
              <w:ind w:right="0"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1201" w:type="dxa"/>
            <w:vAlign w:val="center"/>
          </w:tcPr>
          <w:p>
            <w:pPr>
              <w:pStyle w:val="318"/>
              <w:keepNext w:val="0"/>
              <w:keepLines w:val="0"/>
              <w:suppressLineNumbers w:val="0"/>
              <w:spacing w:before="0" w:beforeAutospacing="0" w:after="0" w:afterAutospacing="0" w:line="360" w:lineRule="auto"/>
              <w:ind w:right="0" w:firstLine="200"/>
              <w:jc w:val="center"/>
              <w:rPr>
                <w:rFonts w:hint="eastAsia" w:ascii="仿宋" w:hAnsi="仿宋" w:eastAsia="仿宋" w:cs="仿宋"/>
                <w:color w:val="auto"/>
                <w:sz w:val="24"/>
                <w:szCs w:val="24"/>
                <w:highlight w:val="none"/>
              </w:rPr>
            </w:pPr>
          </w:p>
        </w:tc>
        <w:tc>
          <w:tcPr>
            <w:tcW w:w="3402" w:type="dxa"/>
            <w:vAlign w:val="center"/>
          </w:tcPr>
          <w:p>
            <w:pPr>
              <w:pStyle w:val="318"/>
              <w:keepNext w:val="0"/>
              <w:keepLines w:val="0"/>
              <w:suppressLineNumbers w:val="0"/>
              <w:spacing w:before="0" w:beforeAutospacing="0" w:after="0" w:afterAutospacing="0" w:line="360" w:lineRule="auto"/>
              <w:ind w:right="0" w:firstLine="200"/>
              <w:jc w:val="center"/>
              <w:rPr>
                <w:rFonts w:hint="eastAsia" w:ascii="仿宋" w:hAnsi="仿宋" w:eastAsia="仿宋" w:cs="仿宋"/>
                <w:color w:val="auto"/>
                <w:sz w:val="24"/>
                <w:szCs w:val="24"/>
                <w:highlight w:val="none"/>
              </w:rPr>
            </w:pPr>
          </w:p>
        </w:tc>
        <w:tc>
          <w:tcPr>
            <w:tcW w:w="2552" w:type="dxa"/>
            <w:vAlign w:val="center"/>
          </w:tcPr>
          <w:p>
            <w:pPr>
              <w:pStyle w:val="318"/>
              <w:keepNext w:val="0"/>
              <w:keepLines w:val="0"/>
              <w:suppressLineNumbers w:val="0"/>
              <w:spacing w:before="0" w:beforeAutospacing="0" w:after="0" w:afterAutospacing="0" w:line="360" w:lineRule="auto"/>
              <w:ind w:right="0"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8"/>
              <w:keepNext w:val="0"/>
              <w:keepLines w:val="0"/>
              <w:suppressLineNumbers w:val="0"/>
              <w:spacing w:before="0" w:beforeAutospacing="0" w:after="0" w:afterAutospacing="0" w:line="360" w:lineRule="auto"/>
              <w:ind w:right="0" w:firstLine="2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总价</w:t>
            </w:r>
          </w:p>
        </w:tc>
        <w:tc>
          <w:tcPr>
            <w:tcW w:w="2552" w:type="dxa"/>
            <w:vAlign w:val="center"/>
          </w:tcPr>
          <w:p>
            <w:pPr>
              <w:pStyle w:val="318"/>
              <w:keepNext w:val="0"/>
              <w:keepLines w:val="0"/>
              <w:suppressLineNumbers w:val="0"/>
              <w:spacing w:before="0" w:beforeAutospacing="0" w:after="0" w:afterAutospacing="0" w:line="360" w:lineRule="auto"/>
              <w:ind w:right="0" w:firstLine="200"/>
              <w:jc w:val="center"/>
              <w:rPr>
                <w:rFonts w:hint="eastAsia" w:ascii="仿宋" w:hAnsi="仿宋" w:eastAsia="仿宋" w:cs="仿宋"/>
                <w:color w:val="auto"/>
                <w:sz w:val="24"/>
                <w:szCs w:val="24"/>
                <w:highlight w:val="none"/>
              </w:rPr>
            </w:pPr>
          </w:p>
        </w:tc>
      </w:tr>
    </w:tbl>
    <w:p>
      <w:pPr>
        <w:pStyle w:val="959"/>
        <w:spacing w:before="0" w:beforeAutospacing="0" w:after="0" w:afterAutospacing="0" w:line="360" w:lineRule="auto"/>
        <w:ind w:firstLine="480"/>
        <w:rPr>
          <w:rFonts w:hint="eastAsia" w:ascii="仿宋" w:hAnsi="仿宋" w:eastAsia="仿宋" w:cs="仿宋"/>
          <w:color w:val="auto"/>
          <w:highlight w:val="none"/>
        </w:rPr>
      </w:pPr>
      <w:bookmarkStart w:id="418" w:name="_Toc32071"/>
      <w:bookmarkStart w:id="419" w:name="_Toc2846"/>
      <w:bookmarkStart w:id="420" w:name="_Toc19304"/>
      <w:r>
        <w:rPr>
          <w:rFonts w:hint="eastAsia" w:ascii="仿宋" w:hAnsi="仿宋" w:eastAsia="仿宋" w:cs="仿宋"/>
          <w:color w:val="auto"/>
          <w:highlight w:val="none"/>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1.4.2 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1.4.4资金支付的方式、时间和条件详见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1.5 履行期限、地点和方式</w:t>
      </w:r>
      <w:bookmarkEnd w:id="418"/>
      <w:bookmarkEnd w:id="419"/>
      <w:bookmarkEnd w:id="420"/>
    </w:p>
    <w:p>
      <w:pP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1.5.1 履行期限：</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1.5.2 履行地点：</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1.5.3 履行方式：</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360" w:lineRule="auto"/>
        <w:ind w:firstLine="482" w:firstLineChars="200"/>
        <w:outlineLvl w:val="0"/>
        <w:rPr>
          <w:rFonts w:hint="eastAsia" w:ascii="仿宋" w:hAnsi="仿宋" w:eastAsia="仿宋" w:cs="仿宋"/>
          <w:b/>
          <w:color w:val="auto"/>
          <w:sz w:val="24"/>
          <w:highlight w:val="none"/>
        </w:rPr>
      </w:pPr>
      <w:bookmarkStart w:id="421" w:name="_Toc19554"/>
      <w:bookmarkStart w:id="422" w:name="_Toc21423"/>
      <w:bookmarkStart w:id="423" w:name="_Toc27250"/>
      <w:r>
        <w:rPr>
          <w:rFonts w:hint="eastAsia" w:ascii="仿宋" w:hAnsi="仿宋" w:eastAsia="仿宋" w:cs="仿宋"/>
          <w:b/>
          <w:color w:val="auto"/>
          <w:sz w:val="24"/>
          <w:highlight w:val="none"/>
        </w:rPr>
        <w:t>1.6 违约责任</w:t>
      </w:r>
      <w:bookmarkEnd w:id="421"/>
      <w:bookmarkEnd w:id="422"/>
      <w:bookmarkEnd w:id="423"/>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1.6.1 除不可抗力外，如果乙方没有按照本合同约定的期限、地点和方式交付标的物，那么甲方可要求乙方支付违约金，违约金按每迟延交付标的物一日的应交付而未交付标的物价格的</w:t>
      </w:r>
      <w:r>
        <w:rPr>
          <w:rFonts w:hint="eastAsia" w:ascii="仿宋" w:hAnsi="仿宋" w:eastAsia="仿宋" w:cs="仿宋"/>
          <w:color w:val="auto"/>
          <w:sz w:val="24"/>
          <w:highlight w:val="none"/>
          <w:u w:val="single"/>
        </w:rPr>
        <w:t>万分之五</w:t>
      </w:r>
      <w:r>
        <w:rPr>
          <w:rFonts w:hint="eastAsia" w:ascii="仿宋" w:hAnsi="仿宋" w:eastAsia="仿宋" w:cs="仿宋"/>
          <w:color w:val="auto"/>
          <w:sz w:val="24"/>
          <w:highlight w:val="none"/>
        </w:rPr>
        <w:t>计算，最高限额为本合同总价的</w:t>
      </w:r>
      <w:r>
        <w:rPr>
          <w:rFonts w:hint="eastAsia" w:ascii="仿宋" w:hAnsi="仿宋" w:eastAsia="仿宋" w:cs="仿宋"/>
          <w:color w:val="auto"/>
          <w:sz w:val="24"/>
          <w:highlight w:val="none"/>
          <w:u w:val="single"/>
        </w:rPr>
        <w:t xml:space="preserve"> 20 </w:t>
      </w:r>
      <w:r>
        <w:rPr>
          <w:rFonts w:hint="eastAsia" w:ascii="仿宋" w:hAnsi="仿宋" w:eastAsia="仿宋" w:cs="仿宋"/>
          <w:color w:val="auto"/>
          <w:sz w:val="24"/>
          <w:highlight w:val="none"/>
        </w:rPr>
        <w:t>%；迟延交付标的物的违约金计算数额达到前述最高限额之日起，甲方有权在要求乙方支付违约金的同时，书面通知乙方解除本合同；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1.6.2 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sz w:val="24"/>
          <w:highlight w:val="none"/>
          <w:u w:val="single"/>
        </w:rPr>
        <w:t>万分之五</w:t>
      </w:r>
      <w:r>
        <w:rPr>
          <w:rFonts w:hint="eastAsia" w:ascii="仿宋" w:hAnsi="仿宋" w:eastAsia="仿宋" w:cs="仿宋"/>
          <w:color w:val="auto"/>
          <w:sz w:val="24"/>
          <w:highlight w:val="none"/>
        </w:rPr>
        <w:t>计算，最高限额为本合同总价的</w:t>
      </w:r>
      <w:r>
        <w:rPr>
          <w:rFonts w:hint="eastAsia" w:ascii="仿宋" w:hAnsi="仿宋" w:eastAsia="仿宋" w:cs="仿宋"/>
          <w:color w:val="auto"/>
          <w:sz w:val="24"/>
          <w:highlight w:val="none"/>
          <w:u w:val="single"/>
        </w:rPr>
        <w:t xml:space="preserve"> 20 </w:t>
      </w:r>
      <w:r>
        <w:rPr>
          <w:rFonts w:hint="eastAsia" w:ascii="仿宋" w:hAnsi="仿宋" w:eastAsia="仿宋" w:cs="仿宋"/>
          <w:color w:val="auto"/>
          <w:sz w:val="24"/>
          <w:highlight w:val="none"/>
        </w:rPr>
        <w:t>%；迟延付款的违约金计算数额达到前述最高限额之日起，乙方有权在要求甲方支付违约金的同时，书面通知甲方解除本合同；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1.6.6 如果出现政府采购监督管理部门在处理投诉事项期间，书面通知甲方暂停采购活动的情形，或者询问或质疑事项可能影响成交结果的，导致甲方中止履行合同的情形，均不视为甲方违约。</w:t>
      </w:r>
    </w:p>
    <w:p>
      <w:pPr>
        <w:spacing w:line="360" w:lineRule="auto"/>
        <w:ind w:firstLine="482" w:firstLineChars="200"/>
        <w:outlineLvl w:val="0"/>
        <w:rPr>
          <w:rFonts w:hint="eastAsia" w:ascii="仿宋" w:hAnsi="仿宋" w:eastAsia="仿宋" w:cs="仿宋"/>
          <w:b/>
          <w:color w:val="auto"/>
          <w:sz w:val="24"/>
          <w:highlight w:val="none"/>
        </w:rPr>
      </w:pPr>
      <w:bookmarkStart w:id="424" w:name="_Toc15583"/>
      <w:bookmarkStart w:id="425" w:name="_Toc28375"/>
      <w:bookmarkStart w:id="426" w:name="_Toc16021"/>
      <w:r>
        <w:rPr>
          <w:rFonts w:hint="eastAsia" w:ascii="仿宋" w:hAnsi="仿宋" w:eastAsia="仿宋" w:cs="仿宋"/>
          <w:b/>
          <w:color w:val="auto"/>
          <w:sz w:val="24"/>
          <w:highlight w:val="none"/>
        </w:rPr>
        <w:t>1.7 合同争议的解决</w:t>
      </w:r>
      <w:bookmarkEnd w:id="424"/>
      <w:bookmarkEnd w:id="425"/>
      <w:bookmarkEnd w:id="426"/>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本合同履行过程中发生的任何争议，双方当事人均可通过和解或者调解解决；不愿和解、调解或者和解、调解不成的，可以选择下列第</w:t>
      </w:r>
      <w:r>
        <w:rPr>
          <w:rFonts w:hint="eastAsia" w:ascii="仿宋" w:hAnsi="仿宋" w:eastAsia="仿宋" w:cs="仿宋"/>
          <w:color w:val="auto"/>
          <w:sz w:val="24"/>
          <w:highlight w:val="none"/>
          <w:u w:val="single"/>
        </w:rPr>
        <w:t xml:space="preserve">  </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种方式解决：</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1.7.1 将争议提交</w:t>
      </w:r>
      <w:r>
        <w:rPr>
          <w:rFonts w:hint="eastAsia" w:ascii="仿宋" w:hAnsi="仿宋" w:eastAsia="仿宋" w:cs="仿宋"/>
          <w:color w:val="auto"/>
          <w:sz w:val="24"/>
          <w:highlight w:val="none"/>
          <w:u w:val="single"/>
        </w:rPr>
        <w:t xml:space="preserve">  </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仲裁委员会依申请仲裁时其现行有效的仲裁规则裁决；</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1.7.2 向</w:t>
      </w:r>
      <w:r>
        <w:rPr>
          <w:rFonts w:hint="eastAsia" w:ascii="仿宋" w:hAnsi="仿宋" w:eastAsia="仿宋" w:cs="仿宋"/>
          <w:color w:val="auto"/>
          <w:sz w:val="24"/>
          <w:highlight w:val="none"/>
          <w:u w:val="single"/>
        </w:rPr>
        <w:t xml:space="preserve">  </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人民法院起诉。</w:t>
      </w:r>
    </w:p>
    <w:p>
      <w:pPr>
        <w:spacing w:line="360" w:lineRule="auto"/>
        <w:ind w:firstLine="482" w:firstLineChars="200"/>
        <w:outlineLvl w:val="0"/>
        <w:rPr>
          <w:rFonts w:hint="eastAsia" w:ascii="仿宋" w:hAnsi="仿宋" w:eastAsia="仿宋" w:cs="仿宋"/>
          <w:b/>
          <w:color w:val="auto"/>
          <w:sz w:val="24"/>
          <w:highlight w:val="none"/>
        </w:rPr>
      </w:pPr>
      <w:bookmarkStart w:id="427" w:name="_Toc11173"/>
      <w:bookmarkStart w:id="428" w:name="_Toc7245"/>
      <w:bookmarkStart w:id="429" w:name="_Toc15322"/>
      <w:r>
        <w:rPr>
          <w:rFonts w:hint="eastAsia" w:ascii="仿宋" w:hAnsi="仿宋" w:eastAsia="仿宋" w:cs="仿宋"/>
          <w:b/>
          <w:color w:val="auto"/>
          <w:sz w:val="24"/>
          <w:highlight w:val="none"/>
        </w:rPr>
        <w:t>1.8 合同生效</w:t>
      </w:r>
      <w:bookmarkEnd w:id="427"/>
      <w:bookmarkEnd w:id="428"/>
      <w:bookmarkEnd w:id="429"/>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本合同自双方当事人盖章或者签字时生效。</w:t>
      </w:r>
    </w:p>
    <w:p>
      <w:pPr>
        <w:autoSpaceDE w:val="0"/>
        <w:autoSpaceDN w:val="0"/>
        <w:spacing w:line="360" w:lineRule="auto"/>
        <w:rPr>
          <w:rFonts w:hint="eastAsia" w:ascii="仿宋" w:hAnsi="仿宋" w:eastAsia="仿宋" w:cs="仿宋"/>
          <w:color w:val="auto"/>
          <w:sz w:val="24"/>
          <w:highlight w:val="none"/>
          <w:lang w:val="zh-CN"/>
        </w:rPr>
      </w:pPr>
    </w:p>
    <w:p>
      <w:pPr>
        <w:autoSpaceDE w:val="0"/>
        <w:autoSpaceDN w:val="0"/>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甲方：                                   乙方：</w:t>
      </w:r>
    </w:p>
    <w:p>
      <w:pPr>
        <w:autoSpaceDE w:val="0"/>
        <w:autoSpaceDN w:val="0"/>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统一社会信用代码：                        统一社会信用代码或身份证号码：</w:t>
      </w:r>
    </w:p>
    <w:p>
      <w:pPr>
        <w:autoSpaceDE w:val="0"/>
        <w:autoSpaceDN w:val="0"/>
        <w:spacing w:line="360" w:lineRule="auto"/>
        <w:rPr>
          <w:rFonts w:hint="eastAsia" w:ascii="仿宋" w:hAnsi="仿宋" w:eastAsia="仿宋" w:cs="仿宋"/>
          <w:color w:val="auto"/>
          <w:sz w:val="24"/>
          <w:highlight w:val="none"/>
          <w:lang w:val="zh-CN"/>
        </w:rPr>
      </w:pPr>
    </w:p>
    <w:p>
      <w:pPr>
        <w:autoSpaceDE w:val="0"/>
        <w:autoSpaceDN w:val="0"/>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住所：                                   住所：</w:t>
      </w:r>
    </w:p>
    <w:p>
      <w:pPr>
        <w:autoSpaceDE w:val="0"/>
        <w:autoSpaceDN w:val="0"/>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法定代表人或                             法定代表人</w:t>
      </w:r>
    </w:p>
    <w:p>
      <w:pPr>
        <w:autoSpaceDE w:val="0"/>
        <w:autoSpaceDN w:val="0"/>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授权代表（签字）：                        或授权代表（签字）: </w:t>
      </w:r>
    </w:p>
    <w:p>
      <w:pPr>
        <w:autoSpaceDE w:val="0"/>
        <w:autoSpaceDN w:val="0"/>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联系人：                                 联系人：</w:t>
      </w:r>
    </w:p>
    <w:p>
      <w:pPr>
        <w:autoSpaceDE w:val="0"/>
        <w:autoSpaceDN w:val="0"/>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约定送达地址：                           约定送达地址：</w:t>
      </w:r>
    </w:p>
    <w:p>
      <w:pPr>
        <w:autoSpaceDE w:val="0"/>
        <w:autoSpaceDN w:val="0"/>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邮政编码：                               邮政编码：</w:t>
      </w:r>
    </w:p>
    <w:p>
      <w:pPr>
        <w:autoSpaceDE w:val="0"/>
        <w:autoSpaceDN w:val="0"/>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电话:                                    电话: </w:t>
      </w:r>
    </w:p>
    <w:p>
      <w:pPr>
        <w:autoSpaceDE w:val="0"/>
        <w:autoSpaceDN w:val="0"/>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传真:                                    传真:</w:t>
      </w:r>
    </w:p>
    <w:p>
      <w:pPr>
        <w:autoSpaceDE w:val="0"/>
        <w:autoSpaceDN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电子邮箱：                               电子邮箱：</w:t>
      </w:r>
    </w:p>
    <w:p>
      <w:pPr>
        <w:autoSpaceDE w:val="0"/>
        <w:autoSpaceDN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开户银行：                               开户银行： </w:t>
      </w:r>
    </w:p>
    <w:p>
      <w:pPr>
        <w:autoSpaceDE w:val="0"/>
        <w:autoSpaceDN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开户名称：                               开户名称： </w:t>
      </w:r>
    </w:p>
    <w:p>
      <w:pPr>
        <w:autoSpaceDE w:val="0"/>
        <w:autoSpaceDN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开户账号：</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开户账号：</w:t>
      </w:r>
    </w:p>
    <w:p>
      <w:pPr>
        <w:widowControl/>
        <w:adjustRightInd/>
        <w:ind w:firstLine="482"/>
        <w:jc w:val="center"/>
        <w:rPr>
          <w:rFonts w:hint="eastAsia" w:ascii="仿宋" w:hAnsi="仿宋" w:eastAsia="仿宋" w:cs="仿宋"/>
          <w:b/>
          <w:color w:val="auto"/>
          <w:sz w:val="28"/>
          <w:szCs w:val="28"/>
          <w:highlight w:val="none"/>
        </w:rPr>
      </w:pPr>
      <w:bookmarkStart w:id="430" w:name="_Toc331685783"/>
      <w:r>
        <w:rPr>
          <w:rFonts w:hint="eastAsia" w:ascii="仿宋" w:hAnsi="仿宋" w:eastAsia="仿宋" w:cs="仿宋"/>
          <w:b/>
          <w:color w:val="auto"/>
          <w:highlight w:val="none"/>
        </w:rPr>
        <w:br w:type="page"/>
      </w:r>
      <w:r>
        <w:rPr>
          <w:rFonts w:hint="eastAsia" w:ascii="仿宋" w:hAnsi="仿宋" w:eastAsia="仿宋" w:cs="仿宋"/>
          <w:b/>
          <w:color w:val="auto"/>
          <w:sz w:val="28"/>
          <w:szCs w:val="28"/>
          <w:highlight w:val="none"/>
        </w:rPr>
        <w:t>第二部分 合同一般条款</w:t>
      </w:r>
      <w:bookmarkEnd w:id="430"/>
    </w:p>
    <w:p>
      <w:pPr>
        <w:spacing w:line="360" w:lineRule="auto"/>
        <w:ind w:firstLine="482" w:firstLineChars="200"/>
        <w:outlineLvl w:val="0"/>
        <w:rPr>
          <w:rFonts w:hint="eastAsia" w:ascii="仿宋" w:hAnsi="仿宋" w:eastAsia="仿宋" w:cs="仿宋"/>
          <w:b/>
          <w:color w:val="auto"/>
          <w:sz w:val="24"/>
          <w:highlight w:val="none"/>
        </w:rPr>
      </w:pPr>
      <w:bookmarkStart w:id="431" w:name="_Ref467378499"/>
      <w:bookmarkStart w:id="432" w:name="_Ref467378463"/>
      <w:bookmarkStart w:id="433" w:name="_Toc259093669"/>
      <w:bookmarkStart w:id="434" w:name="_Toc16917"/>
      <w:bookmarkStart w:id="435" w:name="_Toc19614"/>
      <w:bookmarkStart w:id="436" w:name="_Ref467379205"/>
      <w:bookmarkStart w:id="437" w:name="_Ref467379225"/>
      <w:bookmarkStart w:id="438" w:name="_Toc279701240"/>
      <w:bookmarkStart w:id="439" w:name="_Ref467379214"/>
      <w:bookmarkStart w:id="440" w:name="_Toc487900349"/>
      <w:bookmarkStart w:id="441" w:name="_Ref467379109"/>
      <w:bookmarkStart w:id="442" w:name="_Ref467379195"/>
      <w:bookmarkStart w:id="443" w:name="_Ref467379094"/>
      <w:bookmarkStart w:id="444" w:name="_Ref467378404"/>
      <w:bookmarkStart w:id="445" w:name="_Ref467379101"/>
      <w:bookmarkStart w:id="446" w:name="_Toc28763"/>
      <w:r>
        <w:rPr>
          <w:rFonts w:hint="eastAsia" w:ascii="仿宋" w:hAnsi="仿宋" w:eastAsia="仿宋" w:cs="仿宋"/>
          <w:b/>
          <w:color w:val="auto"/>
          <w:sz w:val="24"/>
          <w:highlight w:val="none"/>
        </w:rPr>
        <w:t>2.1 定义</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本合同中的下列词语应按以下内容进行解释：</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 “合同”系指采购人和成交供应商签订的载明双方当事人所达成的协议，并包括所有的附件、附录和构成合同的其他文件。</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 “合同价”系指根据合同约定，成交供应商在完全履行合同义务后，采购人应支付给成交供应商的价格。</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2.1.3 “标的物”系指成交供应商根据合同约定应向采购人交付的一切各种形态和种类的货物、服务和工程，包括但不限于原材料、燃料、设备、机械、仪表、备件、计算机软件、信息化系统、信息化维保、物业服务、产品等，并包括工具、手册等其他相关资料。</w:t>
      </w:r>
    </w:p>
    <w:p>
      <w:pPr>
        <w:spacing w:line="360" w:lineRule="auto"/>
        <w:ind w:firstLine="480" w:firstLineChars="200"/>
        <w:rPr>
          <w:rFonts w:hint="eastAsia" w:ascii="仿宋" w:hAnsi="仿宋" w:eastAsia="仿宋" w:cs="仿宋"/>
          <w:color w:val="auto"/>
          <w:sz w:val="24"/>
          <w:highlight w:val="none"/>
        </w:rPr>
      </w:pPr>
      <w:bookmarkStart w:id="447" w:name="_Ref467378840"/>
      <w:r>
        <w:rPr>
          <w:rFonts w:hint="eastAsia" w:ascii="仿宋" w:hAnsi="仿宋" w:eastAsia="仿宋" w:cs="仿宋"/>
          <w:color w:val="auto"/>
          <w:sz w:val="24"/>
          <w:highlight w:val="none"/>
        </w:rPr>
        <w:t>2.1.4 “甲方”系指与成交供应商签署合同的采购人</w:t>
      </w:r>
      <w:bookmarkEnd w:id="447"/>
      <w:r>
        <w:rPr>
          <w:rFonts w:hint="eastAsia" w:ascii="仿宋" w:hAnsi="仿宋" w:eastAsia="仿宋" w:cs="仿宋"/>
          <w:color w:val="auto"/>
          <w:sz w:val="24"/>
          <w:highlight w:val="none"/>
        </w:rPr>
        <w:t>；采购人委托采购机构代表其与乙方签订合同的，采购人的授权委托书作为合同附件。</w:t>
      </w:r>
    </w:p>
    <w:p>
      <w:pPr>
        <w:spacing w:line="360" w:lineRule="auto"/>
        <w:ind w:firstLine="480" w:firstLineChars="200"/>
        <w:rPr>
          <w:rFonts w:hint="eastAsia" w:ascii="仿宋" w:hAnsi="仿宋" w:eastAsia="仿宋" w:cs="仿宋"/>
          <w:color w:val="auto"/>
          <w:sz w:val="24"/>
          <w:highlight w:val="none"/>
        </w:rPr>
      </w:pPr>
      <w:bookmarkStart w:id="448" w:name="_Ref467379400"/>
      <w:r>
        <w:rPr>
          <w:rFonts w:hint="eastAsia" w:ascii="仿宋" w:hAnsi="仿宋" w:eastAsia="仿宋" w:cs="仿宋"/>
          <w:color w:val="auto"/>
          <w:sz w:val="24"/>
          <w:highlight w:val="none"/>
        </w:rPr>
        <w:t>2.1.5 “乙方”系指根据合同约定交付标的物的成交供应商</w:t>
      </w:r>
      <w:bookmarkEnd w:id="448"/>
      <w:r>
        <w:rPr>
          <w:rFonts w:hint="eastAsia" w:ascii="仿宋" w:hAnsi="仿宋" w:eastAsia="仿宋" w:cs="仿宋"/>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hint="eastAsia" w:ascii="仿宋" w:hAnsi="仿宋" w:eastAsia="仿宋" w:cs="仿宋"/>
          <w:color w:val="auto"/>
          <w:sz w:val="24"/>
          <w:highlight w:val="none"/>
        </w:rPr>
      </w:pPr>
      <w:bookmarkStart w:id="449" w:name="_Ref467379436"/>
      <w:r>
        <w:rPr>
          <w:rFonts w:hint="eastAsia" w:ascii="仿宋" w:hAnsi="仿宋" w:eastAsia="仿宋" w:cs="仿宋"/>
          <w:color w:val="auto"/>
          <w:sz w:val="24"/>
          <w:highlight w:val="none"/>
        </w:rPr>
        <w:t>2.1.6 “现场”系指合同约定标的物将要运至或者实施或者安装的地点。</w:t>
      </w:r>
      <w:bookmarkEnd w:id="449"/>
    </w:p>
    <w:p>
      <w:pPr>
        <w:spacing w:line="360" w:lineRule="auto"/>
        <w:ind w:firstLine="482" w:firstLineChars="200"/>
        <w:outlineLvl w:val="0"/>
        <w:rPr>
          <w:rFonts w:hint="eastAsia" w:ascii="仿宋" w:hAnsi="仿宋" w:eastAsia="仿宋" w:cs="仿宋"/>
          <w:b/>
          <w:color w:val="auto"/>
          <w:sz w:val="24"/>
          <w:highlight w:val="none"/>
        </w:rPr>
      </w:pPr>
      <w:bookmarkStart w:id="450" w:name="_Toc259093670"/>
      <w:bookmarkStart w:id="451" w:name="_Toc13336"/>
      <w:bookmarkStart w:id="452" w:name="_Toc487900350"/>
      <w:bookmarkStart w:id="453" w:name="_Toc32504"/>
      <w:bookmarkStart w:id="454" w:name="_Toc27635"/>
      <w:bookmarkStart w:id="455" w:name="_Toc279701241"/>
      <w:r>
        <w:rPr>
          <w:rFonts w:hint="eastAsia" w:ascii="仿宋" w:hAnsi="仿宋" w:eastAsia="仿宋" w:cs="仿宋"/>
          <w:b/>
          <w:color w:val="auto"/>
          <w:sz w:val="24"/>
          <w:highlight w:val="none"/>
        </w:rPr>
        <w:t>2.2 技术规范</w:t>
      </w:r>
      <w:bookmarkEnd w:id="450"/>
      <w:bookmarkEnd w:id="451"/>
      <w:bookmarkEnd w:id="452"/>
      <w:bookmarkEnd w:id="453"/>
      <w:bookmarkEnd w:id="454"/>
      <w:bookmarkEnd w:id="455"/>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标的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outlineLvl w:val="0"/>
        <w:rPr>
          <w:rFonts w:hint="eastAsia" w:ascii="仿宋" w:hAnsi="仿宋" w:eastAsia="仿宋" w:cs="仿宋"/>
          <w:b/>
          <w:color w:val="auto"/>
          <w:sz w:val="24"/>
          <w:highlight w:val="none"/>
        </w:rPr>
      </w:pPr>
      <w:bookmarkStart w:id="456" w:name="_Toc9829"/>
      <w:bookmarkStart w:id="457" w:name="_Toc31634"/>
      <w:bookmarkStart w:id="458" w:name="_Toc279701242"/>
      <w:bookmarkStart w:id="459" w:name="_Toc27853"/>
      <w:bookmarkStart w:id="460" w:name="_Toc487900351"/>
      <w:bookmarkStart w:id="461" w:name="_Toc259093671"/>
      <w:r>
        <w:rPr>
          <w:rFonts w:hint="eastAsia" w:ascii="仿宋" w:hAnsi="仿宋" w:eastAsia="仿宋" w:cs="仿宋"/>
          <w:b/>
          <w:color w:val="auto"/>
          <w:sz w:val="24"/>
          <w:highlight w:val="none"/>
        </w:rPr>
        <w:t>2.3 知识产权</w:t>
      </w:r>
      <w:bookmarkEnd w:id="456"/>
      <w:bookmarkEnd w:id="457"/>
      <w:bookmarkEnd w:id="458"/>
      <w:bookmarkEnd w:id="459"/>
      <w:bookmarkEnd w:id="460"/>
      <w:bookmarkEnd w:id="461"/>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2.3.1 乙方应保证甲方在使用该标的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2.3.2具有知识产权的计算机软件等标的物的知识产权归属，详见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360" w:lineRule="auto"/>
        <w:ind w:firstLine="482" w:firstLineChars="200"/>
        <w:outlineLvl w:val="0"/>
        <w:rPr>
          <w:rFonts w:hint="eastAsia" w:ascii="仿宋" w:hAnsi="仿宋" w:eastAsia="仿宋" w:cs="仿宋"/>
          <w:b/>
          <w:color w:val="auto"/>
          <w:sz w:val="24"/>
          <w:highlight w:val="none"/>
        </w:rPr>
      </w:pPr>
      <w:bookmarkStart w:id="462" w:name="_Toc4194"/>
      <w:bookmarkStart w:id="463" w:name="_Toc11932"/>
      <w:bookmarkStart w:id="464" w:name="_Toc29149"/>
      <w:r>
        <w:rPr>
          <w:rFonts w:hint="eastAsia" w:ascii="仿宋" w:hAnsi="仿宋" w:eastAsia="仿宋" w:cs="仿宋"/>
          <w:b/>
          <w:color w:val="auto"/>
          <w:sz w:val="24"/>
          <w:highlight w:val="none"/>
        </w:rPr>
        <w:t>2.4 包装和装运</w:t>
      </w:r>
      <w:bookmarkEnd w:id="462"/>
      <w:bookmarkEnd w:id="463"/>
      <w:bookmarkEnd w:id="464"/>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2.4.1除</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另有约定外,乙方交付的全部标的物,均应采用本行业通用的方式进行包装，没有通用方式的，应当采取足以保护标的物的包装方式，且该包装应符合国家有关包装的法律、法规的规定。如有必要，包装应适用于远距离运输、防潮、防震、防锈和防粗暴装卸，确保标的物安全无损地运抵现场。由于包装不善所引起的标的物锈蚀、损坏和损失等一切风险均由乙方承担。</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2.4.2 装运标的物的要求和通知，详见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360" w:lineRule="auto"/>
        <w:ind w:firstLine="482" w:firstLineChars="200"/>
        <w:outlineLvl w:val="0"/>
        <w:rPr>
          <w:rFonts w:hint="eastAsia" w:ascii="仿宋" w:hAnsi="仿宋" w:eastAsia="仿宋" w:cs="仿宋"/>
          <w:b/>
          <w:color w:val="auto"/>
          <w:sz w:val="24"/>
          <w:highlight w:val="none"/>
        </w:rPr>
      </w:pPr>
      <w:bookmarkStart w:id="465" w:name="_Toc279701245"/>
      <w:bookmarkStart w:id="466" w:name="_Ref467379542"/>
      <w:bookmarkStart w:id="467" w:name="_Ref467379527"/>
      <w:bookmarkStart w:id="468" w:name="_Ref467378541"/>
      <w:bookmarkStart w:id="469" w:name="_Ref467378591"/>
      <w:bookmarkStart w:id="470" w:name="_Toc487900354"/>
      <w:bookmarkStart w:id="471" w:name="_Ref467379536"/>
      <w:bookmarkStart w:id="472" w:name="_Toc259093674"/>
      <w:bookmarkStart w:id="473" w:name="_Toc26182"/>
      <w:bookmarkStart w:id="474" w:name="_Toc30272"/>
      <w:bookmarkStart w:id="475" w:name="_Toc19074"/>
      <w:r>
        <w:rPr>
          <w:rFonts w:hint="eastAsia" w:ascii="仿宋" w:hAnsi="仿宋" w:eastAsia="仿宋" w:cs="仿宋"/>
          <w:b/>
          <w:color w:val="auto"/>
          <w:sz w:val="24"/>
          <w:highlight w:val="none"/>
        </w:rPr>
        <w:t>2.</w:t>
      </w:r>
      <w:bookmarkEnd w:id="465"/>
      <w:bookmarkEnd w:id="466"/>
      <w:bookmarkEnd w:id="467"/>
      <w:bookmarkEnd w:id="468"/>
      <w:bookmarkEnd w:id="469"/>
      <w:bookmarkEnd w:id="470"/>
      <w:bookmarkEnd w:id="471"/>
      <w:bookmarkEnd w:id="472"/>
      <w:r>
        <w:rPr>
          <w:rFonts w:hint="eastAsia" w:ascii="仿宋" w:hAnsi="仿宋" w:eastAsia="仿宋" w:cs="仿宋"/>
          <w:b/>
          <w:color w:val="auto"/>
          <w:sz w:val="24"/>
          <w:highlight w:val="none"/>
        </w:rPr>
        <w:t>5 履约检查和问题反馈</w:t>
      </w:r>
      <w:bookmarkEnd w:id="473"/>
      <w:bookmarkEnd w:id="474"/>
      <w:bookmarkEnd w:id="475"/>
    </w:p>
    <w:p>
      <w:pPr>
        <w:spacing w:line="360" w:lineRule="auto"/>
        <w:ind w:firstLine="480" w:firstLineChars="200"/>
        <w:rPr>
          <w:rFonts w:hint="eastAsia" w:ascii="仿宋" w:hAnsi="仿宋" w:eastAsia="仿宋" w:cs="仿宋"/>
          <w:color w:val="auto"/>
          <w:sz w:val="24"/>
          <w:highlight w:val="none"/>
        </w:rPr>
      </w:pPr>
      <w:bookmarkStart w:id="476" w:name="_Ref467379657"/>
      <w:r>
        <w:rPr>
          <w:rFonts w:hint="eastAsia" w:ascii="仿宋" w:hAnsi="仿宋" w:eastAsia="仿宋" w:cs="仿宋"/>
          <w:color w:val="auto"/>
          <w:sz w:val="24"/>
          <w:highlight w:val="none"/>
        </w:rPr>
        <w:t>2.5.1</w:t>
      </w:r>
      <w:bookmarkEnd w:id="476"/>
      <w:bookmarkStart w:id="477" w:name="_Toc186431854"/>
      <w:bookmarkStart w:id="478" w:name="_Ref467379807"/>
      <w:bookmarkStart w:id="479" w:name="_Toc279701247"/>
      <w:bookmarkStart w:id="480" w:name="_Toc259093676"/>
      <w:bookmarkStart w:id="481" w:name="_Toc487900357"/>
      <w:bookmarkStart w:id="482" w:name="_Ref467379793"/>
      <w:r>
        <w:rPr>
          <w:rFonts w:hint="eastAsia" w:ascii="仿宋" w:hAnsi="仿宋" w:eastAsia="仿宋" w:cs="仿宋"/>
          <w:color w:val="auto"/>
          <w:sz w:val="24"/>
          <w:highlight w:val="none"/>
        </w:rPr>
        <w:t>甲方有权在其认为必要时，对乙方是否能够按照合同约定交付标的物进行履约检查，以确保乙方所交付的标的物能够依约满足甲方之项目需求，但不得因履约检查妨碍乙方的正常工作，乙方应予积极配合；</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2.5.2 合同履行期间，甲方有权将履行过程中出现的问题反馈给乙方，双方当事人应以书面形式约定需要完善和改进的内容</w:t>
      </w:r>
      <w:bookmarkEnd w:id="477"/>
      <w:bookmarkStart w:id="483" w:name="_Toc186431855"/>
      <w:r>
        <w:rPr>
          <w:rFonts w:hint="eastAsia" w:ascii="仿宋" w:hAnsi="仿宋" w:eastAsia="仿宋" w:cs="仿宋"/>
          <w:color w:val="auto"/>
          <w:sz w:val="24"/>
          <w:highlight w:val="none"/>
        </w:rPr>
        <w:t>。</w:t>
      </w:r>
    </w:p>
    <w:bookmarkEnd w:id="483"/>
    <w:p>
      <w:pPr>
        <w:spacing w:line="360" w:lineRule="auto"/>
        <w:ind w:firstLine="482" w:firstLineChars="200"/>
        <w:outlineLvl w:val="0"/>
        <w:rPr>
          <w:rFonts w:hint="eastAsia" w:ascii="仿宋" w:hAnsi="仿宋" w:eastAsia="仿宋" w:cs="仿宋"/>
          <w:b/>
          <w:color w:val="auto"/>
          <w:sz w:val="24"/>
          <w:highlight w:val="none"/>
        </w:rPr>
      </w:pPr>
      <w:bookmarkStart w:id="484" w:name="_Toc7836"/>
      <w:bookmarkStart w:id="485" w:name="_Toc19219"/>
      <w:bookmarkStart w:id="486" w:name="_Toc28451"/>
      <w:r>
        <w:rPr>
          <w:rFonts w:hint="eastAsia" w:ascii="仿宋" w:hAnsi="仿宋" w:eastAsia="仿宋" w:cs="仿宋"/>
          <w:b/>
          <w:color w:val="auto"/>
          <w:sz w:val="24"/>
          <w:highlight w:val="none"/>
        </w:rPr>
        <w:t>2.6 结算方式和付款条件</w:t>
      </w:r>
      <w:bookmarkEnd w:id="478"/>
      <w:bookmarkEnd w:id="479"/>
      <w:bookmarkEnd w:id="480"/>
      <w:bookmarkEnd w:id="481"/>
      <w:bookmarkEnd w:id="482"/>
      <w:bookmarkEnd w:id="484"/>
      <w:bookmarkEnd w:id="485"/>
      <w:bookmarkEnd w:id="486"/>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360" w:lineRule="auto"/>
        <w:ind w:firstLine="482" w:firstLineChars="200"/>
        <w:outlineLvl w:val="0"/>
        <w:rPr>
          <w:rFonts w:hint="eastAsia" w:ascii="仿宋" w:hAnsi="仿宋" w:eastAsia="仿宋" w:cs="仿宋"/>
          <w:b/>
          <w:color w:val="auto"/>
          <w:sz w:val="24"/>
          <w:highlight w:val="none"/>
        </w:rPr>
      </w:pPr>
      <w:bookmarkStart w:id="487" w:name="_Toc279701248"/>
      <w:bookmarkStart w:id="488" w:name="_Toc487900358"/>
      <w:bookmarkStart w:id="489" w:name="_Toc259093677"/>
      <w:bookmarkStart w:id="490" w:name="_Ref467379863"/>
      <w:bookmarkStart w:id="491" w:name="_Ref467379852"/>
      <w:bookmarkStart w:id="492" w:name="_Ref467379923"/>
      <w:bookmarkStart w:id="493" w:name="_Toc774"/>
      <w:bookmarkStart w:id="494" w:name="_Toc3225"/>
      <w:bookmarkStart w:id="495" w:name="_Toc16110"/>
      <w:r>
        <w:rPr>
          <w:rFonts w:hint="eastAsia" w:ascii="仿宋" w:hAnsi="仿宋" w:eastAsia="仿宋" w:cs="仿宋"/>
          <w:b/>
          <w:color w:val="auto"/>
          <w:sz w:val="24"/>
          <w:highlight w:val="none"/>
        </w:rPr>
        <w:t>2.7 技术资料</w:t>
      </w:r>
      <w:bookmarkEnd w:id="487"/>
      <w:bookmarkEnd w:id="488"/>
      <w:bookmarkEnd w:id="489"/>
      <w:bookmarkEnd w:id="490"/>
      <w:bookmarkEnd w:id="491"/>
      <w:bookmarkEnd w:id="492"/>
      <w:r>
        <w:rPr>
          <w:rFonts w:hint="eastAsia" w:ascii="仿宋" w:hAnsi="仿宋" w:eastAsia="仿宋" w:cs="仿宋"/>
          <w:b/>
          <w:color w:val="auto"/>
          <w:sz w:val="24"/>
          <w:highlight w:val="none"/>
        </w:rPr>
        <w:t>和保密义务</w:t>
      </w:r>
      <w:bookmarkEnd w:id="493"/>
      <w:bookmarkEnd w:id="494"/>
      <w:bookmarkEnd w:id="495"/>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2.7.1 乙方有权依据合同约定和项目需要，向甲方了解有关情况，调阅有关资料等，甲方应予积极配合；</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2.7.2 乙方有义务妥善保管和保护由甲方提供的前款信息和资料等；</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及方式防止任何第三方接触到对方当事人的上述保密信息和资料。</w:t>
      </w:r>
    </w:p>
    <w:p>
      <w:pPr>
        <w:spacing w:line="360" w:lineRule="auto"/>
        <w:ind w:firstLine="482" w:firstLineChars="200"/>
        <w:outlineLvl w:val="0"/>
        <w:rPr>
          <w:rFonts w:hint="eastAsia" w:ascii="仿宋" w:hAnsi="仿宋" w:eastAsia="仿宋" w:cs="仿宋"/>
          <w:b/>
          <w:color w:val="auto"/>
          <w:sz w:val="24"/>
          <w:highlight w:val="none"/>
        </w:rPr>
      </w:pPr>
      <w:bookmarkStart w:id="496" w:name="_Toc7860"/>
      <w:r>
        <w:rPr>
          <w:rFonts w:hint="eastAsia" w:ascii="仿宋" w:hAnsi="仿宋" w:eastAsia="仿宋" w:cs="仿宋"/>
          <w:b/>
          <w:color w:val="auto"/>
          <w:sz w:val="24"/>
          <w:highlight w:val="none"/>
        </w:rPr>
        <w:t>2.8 质量保证</w:t>
      </w:r>
      <w:bookmarkEnd w:id="496"/>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2.8.1 乙方应建立和完善履行合同的内部质量保证体系，并提供相关内部规章制度给甲方，以便甲方进行监督检查；</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2.8.2 乙方应保证履行合同的人员数量和素质、软件和硬件设备的配置、场地、环境和设施等满足全面履行合同的要求，并应接受甲方的监督检查。</w:t>
      </w:r>
    </w:p>
    <w:p>
      <w:pPr>
        <w:spacing w:line="360" w:lineRule="auto"/>
        <w:ind w:firstLine="482" w:firstLineChars="200"/>
        <w:outlineLvl w:val="0"/>
        <w:rPr>
          <w:rFonts w:hint="eastAsia" w:ascii="仿宋" w:hAnsi="仿宋" w:eastAsia="仿宋" w:cs="仿宋"/>
          <w:b/>
          <w:color w:val="auto"/>
          <w:sz w:val="24"/>
          <w:highlight w:val="none"/>
        </w:rPr>
      </w:pPr>
      <w:bookmarkStart w:id="497" w:name="_Toc17244"/>
      <w:bookmarkStart w:id="498" w:name="_Toc259093681"/>
      <w:bookmarkStart w:id="499" w:name="_Toc279701252"/>
      <w:bookmarkStart w:id="500" w:name="_Toc487900362"/>
      <w:r>
        <w:rPr>
          <w:rFonts w:hint="eastAsia" w:ascii="仿宋" w:hAnsi="仿宋" w:eastAsia="仿宋" w:cs="仿宋"/>
          <w:b/>
          <w:color w:val="auto"/>
          <w:sz w:val="24"/>
          <w:highlight w:val="none"/>
        </w:rPr>
        <w:t>2.9 标的物的风险负担</w:t>
      </w:r>
      <w:bookmarkEnd w:id="497"/>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标的物或者在途标的物或者交付给第一承运人后的标的物毁损、灭失的风险负担详见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360" w:lineRule="auto"/>
        <w:ind w:firstLine="482" w:firstLineChars="200"/>
        <w:outlineLvl w:val="0"/>
        <w:rPr>
          <w:rFonts w:hint="eastAsia" w:ascii="仿宋" w:hAnsi="仿宋" w:eastAsia="仿宋" w:cs="仿宋"/>
          <w:b/>
          <w:color w:val="auto"/>
          <w:sz w:val="24"/>
          <w:highlight w:val="none"/>
        </w:rPr>
      </w:pPr>
      <w:bookmarkStart w:id="501" w:name="_Toc14055"/>
      <w:r>
        <w:rPr>
          <w:rFonts w:hint="eastAsia" w:ascii="仿宋" w:hAnsi="仿宋" w:eastAsia="仿宋" w:cs="仿宋"/>
          <w:b/>
          <w:color w:val="auto"/>
          <w:sz w:val="24"/>
          <w:highlight w:val="none"/>
        </w:rPr>
        <w:t>2.10 延迟交货</w:t>
      </w:r>
      <w:bookmarkEnd w:id="498"/>
      <w:bookmarkEnd w:id="499"/>
      <w:bookmarkEnd w:id="500"/>
      <w:bookmarkEnd w:id="501"/>
      <w:r>
        <w:rPr>
          <w:rFonts w:hint="eastAsia" w:ascii="仿宋" w:hAnsi="仿宋" w:eastAsia="仿宋" w:cs="仿宋"/>
          <w:b/>
          <w:color w:val="auto"/>
          <w:sz w:val="24"/>
          <w:highlight w:val="none"/>
        </w:rPr>
        <w:t>/交付</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在合同履行过程中，如果乙方遇到不能按时交付标的物的情况，应及时以书面形式将不能按时交付标的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hint="eastAsia" w:ascii="仿宋" w:hAnsi="仿宋" w:eastAsia="仿宋" w:cs="仿宋"/>
          <w:b/>
          <w:color w:val="auto"/>
          <w:sz w:val="24"/>
          <w:highlight w:val="none"/>
        </w:rPr>
      </w:pPr>
      <w:bookmarkStart w:id="502" w:name="_Toc7502"/>
      <w:bookmarkStart w:id="503" w:name="_Toc259093683"/>
      <w:bookmarkStart w:id="504" w:name="_Toc487900364"/>
      <w:bookmarkStart w:id="505" w:name="_Ref467378121"/>
      <w:bookmarkStart w:id="506" w:name="_Toc279701254"/>
      <w:r>
        <w:rPr>
          <w:rFonts w:hint="eastAsia" w:ascii="仿宋" w:hAnsi="仿宋" w:eastAsia="仿宋" w:cs="仿宋"/>
          <w:b/>
          <w:color w:val="auto"/>
          <w:sz w:val="24"/>
          <w:highlight w:val="none"/>
        </w:rPr>
        <w:t>2.11 合同变更</w:t>
      </w:r>
      <w:bookmarkEnd w:id="502"/>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2.11.1双方当事人协商一致，可以签订书面补充合同的形式变更合同，但不得违背采购文件确定的事项。如果系追加与合同标的相同的标的物的，那么需经采购监督管理部门同意，且所有补充合同的采购金额不得超过原合同价的10%；</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2.11.2 合同继续履行将损害国家利益和社会公共利益的，双方当事人应当以书面形式变更合同。有过错的一方应当承担赔偿责任，双方当事人都有过错的，各自承担相应的责任。</w:t>
      </w:r>
      <w:bookmarkStart w:id="507" w:name="_Toc279701259"/>
      <w:bookmarkStart w:id="508" w:name="_Toc487900369"/>
      <w:bookmarkStart w:id="509" w:name="_Toc259093688"/>
    </w:p>
    <w:p>
      <w:pPr>
        <w:spacing w:line="360" w:lineRule="auto"/>
        <w:ind w:firstLine="482" w:firstLineChars="200"/>
        <w:outlineLvl w:val="0"/>
        <w:rPr>
          <w:rFonts w:hint="eastAsia" w:ascii="仿宋" w:hAnsi="仿宋" w:eastAsia="仿宋" w:cs="仿宋"/>
          <w:b/>
          <w:color w:val="auto"/>
          <w:sz w:val="24"/>
          <w:highlight w:val="none"/>
        </w:rPr>
      </w:pPr>
      <w:bookmarkStart w:id="510" w:name="_Toc22955"/>
      <w:bookmarkStart w:id="511" w:name="_Toc10366"/>
      <w:bookmarkStart w:id="512" w:name="_Toc15237"/>
      <w:r>
        <w:rPr>
          <w:rFonts w:hint="eastAsia" w:ascii="仿宋" w:hAnsi="仿宋" w:eastAsia="仿宋" w:cs="仿宋"/>
          <w:b/>
          <w:color w:val="auto"/>
          <w:sz w:val="24"/>
          <w:highlight w:val="none"/>
        </w:rPr>
        <w:t>2.12 合同转让</w:t>
      </w:r>
      <w:bookmarkEnd w:id="507"/>
      <w:bookmarkEnd w:id="508"/>
      <w:bookmarkEnd w:id="509"/>
      <w:r>
        <w:rPr>
          <w:rFonts w:hint="eastAsia" w:ascii="仿宋" w:hAnsi="仿宋" w:eastAsia="仿宋" w:cs="仿宋"/>
          <w:b/>
          <w:color w:val="auto"/>
          <w:sz w:val="24"/>
          <w:highlight w:val="none"/>
        </w:rPr>
        <w:t>和分包</w:t>
      </w:r>
      <w:bookmarkEnd w:id="510"/>
      <w:bookmarkEnd w:id="511"/>
      <w:bookmarkEnd w:id="512"/>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合同的权利义务依法不得转让，但经甲方书面同意，乙方可以依法采取分包方式履行合同，即：依法可以将合同项下的部分非主体、非关键性工作分包给他人完成，接受分包的供应商应当具备相应的资格条件，并不得再次分包，且乙方应就分包项目向甲方负责，并与分包供应商就分包项目向甲方承担连带责任。</w:t>
      </w:r>
    </w:p>
    <w:p>
      <w:pPr>
        <w:spacing w:line="360" w:lineRule="auto"/>
        <w:ind w:firstLine="482" w:firstLineChars="200"/>
        <w:outlineLvl w:val="0"/>
        <w:rPr>
          <w:rFonts w:hint="eastAsia" w:ascii="仿宋" w:hAnsi="仿宋" w:eastAsia="仿宋" w:cs="仿宋"/>
          <w:b/>
          <w:color w:val="auto"/>
          <w:sz w:val="24"/>
          <w:highlight w:val="none"/>
        </w:rPr>
      </w:pPr>
      <w:bookmarkStart w:id="513" w:name="_Toc14066"/>
      <w:bookmarkStart w:id="514" w:name="_Toc16508"/>
      <w:bookmarkStart w:id="515" w:name="_Toc13566"/>
      <w:r>
        <w:rPr>
          <w:rFonts w:hint="eastAsia" w:ascii="仿宋" w:hAnsi="仿宋" w:eastAsia="仿宋" w:cs="仿宋"/>
          <w:b/>
          <w:color w:val="auto"/>
          <w:sz w:val="24"/>
          <w:highlight w:val="none"/>
        </w:rPr>
        <w:t>2.13 不可抗力</w:t>
      </w:r>
      <w:bookmarkEnd w:id="513"/>
      <w:bookmarkEnd w:id="514"/>
      <w:bookmarkEnd w:id="515"/>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2.13.1如果任何一方遭遇法律规定的不可抗力，致使合同履行受阻时，履行合同的期限应予延长，延长的期限应相当于不可抗力所影响的时间；</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2.13.2受不可抗力影响的一方在不可抗力发生后，应在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约定时间内以书面形式通知对方当事人，并在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约定时间内，将有关部门出具的证明文件送达对方当事人。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2.13.3 因不可抗力致使不能实现合同目的的，当事人可以解除合同；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2.13.4 因不可抗力致使合同有变更必要的，双方当事人应在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约定时间内以书面形式变更合同；</w:t>
      </w:r>
    </w:p>
    <w:p>
      <w:pPr>
        <w:spacing w:line="360" w:lineRule="auto"/>
        <w:ind w:firstLine="482" w:firstLineChars="200"/>
        <w:outlineLvl w:val="0"/>
        <w:rPr>
          <w:rFonts w:hint="eastAsia" w:ascii="仿宋" w:hAnsi="仿宋" w:eastAsia="仿宋" w:cs="仿宋"/>
          <w:b/>
          <w:color w:val="auto"/>
          <w:sz w:val="24"/>
          <w:highlight w:val="none"/>
        </w:rPr>
      </w:pPr>
      <w:bookmarkStart w:id="516" w:name="_Toc259093684"/>
      <w:bookmarkStart w:id="517" w:name="_Toc689"/>
      <w:bookmarkStart w:id="518" w:name="_Toc279701255"/>
      <w:bookmarkStart w:id="519" w:name="_Toc6969"/>
      <w:bookmarkStart w:id="520" w:name="_Toc30676"/>
      <w:bookmarkStart w:id="521" w:name="_Toc487900365"/>
      <w:r>
        <w:rPr>
          <w:rFonts w:hint="eastAsia" w:ascii="仿宋" w:hAnsi="仿宋" w:eastAsia="仿宋" w:cs="仿宋"/>
          <w:b/>
          <w:color w:val="auto"/>
          <w:sz w:val="24"/>
          <w:highlight w:val="none"/>
        </w:rPr>
        <w:t>2.14 税费</w:t>
      </w:r>
      <w:bookmarkEnd w:id="516"/>
      <w:bookmarkEnd w:id="517"/>
      <w:bookmarkEnd w:id="518"/>
      <w:bookmarkEnd w:id="519"/>
      <w:bookmarkEnd w:id="520"/>
      <w:bookmarkEnd w:id="521"/>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与合同有关的一切税费，均按照中华人民共和国法律的相关规定执行。</w:t>
      </w:r>
    </w:p>
    <w:p>
      <w:pPr>
        <w:spacing w:line="360" w:lineRule="auto"/>
        <w:ind w:firstLine="482" w:firstLineChars="200"/>
        <w:outlineLvl w:val="0"/>
        <w:rPr>
          <w:rFonts w:hint="eastAsia" w:ascii="仿宋" w:hAnsi="仿宋" w:eastAsia="仿宋" w:cs="仿宋"/>
          <w:b/>
          <w:color w:val="auto"/>
          <w:sz w:val="24"/>
          <w:highlight w:val="none"/>
        </w:rPr>
      </w:pPr>
      <w:bookmarkStart w:id="522" w:name="_Toc487900368"/>
      <w:bookmarkStart w:id="523" w:name="_Toc16959"/>
      <w:bookmarkStart w:id="524" w:name="_Toc8298"/>
      <w:bookmarkStart w:id="525" w:name="_Toc259093687"/>
      <w:bookmarkStart w:id="526" w:name="_Toc7102"/>
      <w:bookmarkStart w:id="527" w:name="_Toc279701258"/>
      <w:r>
        <w:rPr>
          <w:rFonts w:hint="eastAsia" w:ascii="仿宋" w:hAnsi="仿宋" w:eastAsia="仿宋" w:cs="仿宋"/>
          <w:b/>
          <w:color w:val="auto"/>
          <w:sz w:val="24"/>
          <w:highlight w:val="none"/>
        </w:rPr>
        <w:t>2.15 乙方破产</w:t>
      </w:r>
      <w:bookmarkEnd w:id="522"/>
      <w:bookmarkEnd w:id="523"/>
      <w:bookmarkEnd w:id="524"/>
      <w:bookmarkEnd w:id="525"/>
      <w:bookmarkEnd w:id="526"/>
      <w:bookmarkEnd w:id="527"/>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hint="eastAsia" w:ascii="仿宋" w:hAnsi="仿宋" w:eastAsia="仿宋" w:cs="仿宋"/>
          <w:b/>
          <w:color w:val="auto"/>
          <w:sz w:val="24"/>
          <w:highlight w:val="none"/>
        </w:rPr>
      </w:pPr>
      <w:bookmarkStart w:id="528" w:name="_Toc6134"/>
      <w:bookmarkStart w:id="529" w:name="_Toc29333"/>
      <w:bookmarkStart w:id="530" w:name="_Toc15387"/>
      <w:r>
        <w:rPr>
          <w:rFonts w:hint="eastAsia" w:ascii="仿宋" w:hAnsi="仿宋" w:eastAsia="仿宋" w:cs="仿宋"/>
          <w:b/>
          <w:color w:val="auto"/>
          <w:sz w:val="24"/>
          <w:highlight w:val="none"/>
        </w:rPr>
        <w:t>2.16 合同中止、终止</w:t>
      </w:r>
      <w:bookmarkEnd w:id="528"/>
      <w:bookmarkEnd w:id="529"/>
      <w:bookmarkEnd w:id="530"/>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2.16.1 双方当事人不得擅自中止或者终止合同；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2.16.2合同继续履行将损害国家利益和社会公共利益的，双方当事人应当中止或者终止合同。有过错的一方应当承担赔偿责任，双方当事人都有过错的，各自承担相应的责任；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2.16.3因甲方原因导致变更、中止或终止合同的，甲方应对乙方受到的损失予以赔偿或者补偿。</w:t>
      </w:r>
    </w:p>
    <w:p>
      <w:pPr>
        <w:spacing w:line="360" w:lineRule="auto"/>
        <w:ind w:firstLine="482" w:firstLineChars="200"/>
        <w:rPr>
          <w:rFonts w:hint="eastAsia" w:ascii="仿宋" w:hAnsi="仿宋" w:eastAsia="仿宋" w:cs="仿宋"/>
          <w:b/>
          <w:color w:val="auto"/>
          <w:sz w:val="24"/>
          <w:highlight w:val="none"/>
        </w:rPr>
      </w:pPr>
      <w:bookmarkStart w:id="531" w:name="_Toc1125"/>
      <w:bookmarkStart w:id="532" w:name="_Toc6596"/>
      <w:bookmarkStart w:id="533" w:name="_Toc14563"/>
      <w:r>
        <w:rPr>
          <w:rFonts w:hint="eastAsia" w:ascii="仿宋" w:hAnsi="仿宋" w:eastAsia="仿宋" w:cs="仿宋"/>
          <w:b/>
          <w:color w:val="auto"/>
          <w:sz w:val="24"/>
          <w:highlight w:val="none"/>
        </w:rPr>
        <w:t>2.17 检验和验收</w:t>
      </w:r>
      <w:bookmarkEnd w:id="531"/>
      <w:bookmarkEnd w:id="532"/>
      <w:bookmarkEnd w:id="533"/>
    </w:p>
    <w:p>
      <w:pPr>
        <w:tabs>
          <w:tab w:val="left" w:pos="360"/>
          <w:tab w:val="left" w:pos="540"/>
          <w:tab w:val="left" w:pos="1080"/>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2.17.1标的物交付前，乙方应对标的物的质量、数量等方面进行详细、全面的检验，并向甲方出具证明标的物符合合同约定的文件；标的物交付时，乙方在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约定时间内组织验收，并可依法邀请相关方参加，验收应出具验收书。</w:t>
      </w:r>
    </w:p>
    <w:p>
      <w:pPr>
        <w:tabs>
          <w:tab w:val="left" w:pos="360"/>
          <w:tab w:val="left" w:pos="540"/>
          <w:tab w:val="left" w:pos="1080"/>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2.17.3 检验和验收标准、程序等具体内容以及前述验收书的效力详见</w:t>
      </w:r>
      <w:r>
        <w:rPr>
          <w:rFonts w:hint="eastAsia" w:ascii="仿宋" w:hAnsi="仿宋" w:eastAsia="仿宋" w:cs="仿宋"/>
          <w:b/>
          <w:i/>
          <w:color w:val="auto"/>
          <w:sz w:val="24"/>
          <w:highlight w:val="none"/>
          <w:u w:val="single"/>
        </w:rPr>
        <w:t>合同专用条款</w:t>
      </w:r>
      <w:r>
        <w:rPr>
          <w:rFonts w:hint="eastAsia" w:ascii="仿宋" w:hAnsi="仿宋" w:eastAsia="仿宋" w:cs="仿宋"/>
          <w:i/>
          <w:color w:val="auto"/>
          <w:sz w:val="24"/>
          <w:highlight w:val="none"/>
        </w:rPr>
        <w:t>。</w:t>
      </w:r>
    </w:p>
    <w:bookmarkEnd w:id="503"/>
    <w:bookmarkEnd w:id="504"/>
    <w:bookmarkEnd w:id="505"/>
    <w:bookmarkEnd w:id="506"/>
    <w:p>
      <w:pPr>
        <w:spacing w:line="360" w:lineRule="auto"/>
        <w:ind w:firstLine="482" w:firstLineChars="200"/>
        <w:outlineLvl w:val="0"/>
        <w:rPr>
          <w:rFonts w:hint="eastAsia" w:ascii="仿宋" w:hAnsi="仿宋" w:eastAsia="仿宋" w:cs="仿宋"/>
          <w:b/>
          <w:color w:val="auto"/>
          <w:sz w:val="24"/>
          <w:highlight w:val="none"/>
        </w:rPr>
      </w:pPr>
      <w:bookmarkStart w:id="534" w:name="_Toc487900371"/>
      <w:bookmarkStart w:id="535" w:name="_Toc259093690"/>
      <w:bookmarkStart w:id="536" w:name="_Toc279701261"/>
      <w:bookmarkStart w:id="537" w:name="_Toc11284"/>
      <w:bookmarkStart w:id="538" w:name="_Toc19604"/>
      <w:bookmarkStart w:id="539" w:name="_Toc25182"/>
      <w:r>
        <w:rPr>
          <w:rFonts w:hint="eastAsia" w:ascii="仿宋" w:hAnsi="仿宋" w:eastAsia="仿宋" w:cs="仿宋"/>
          <w:b/>
          <w:color w:val="auto"/>
          <w:sz w:val="24"/>
          <w:highlight w:val="none"/>
        </w:rPr>
        <w:t>2.18 通知</w:t>
      </w:r>
      <w:bookmarkEnd w:id="534"/>
      <w:bookmarkEnd w:id="535"/>
      <w:bookmarkEnd w:id="536"/>
      <w:r>
        <w:rPr>
          <w:rFonts w:hint="eastAsia" w:ascii="仿宋" w:hAnsi="仿宋" w:eastAsia="仿宋" w:cs="仿宋"/>
          <w:b/>
          <w:color w:val="auto"/>
          <w:sz w:val="24"/>
          <w:highlight w:val="none"/>
        </w:rPr>
        <w:t>和送达</w:t>
      </w:r>
      <w:bookmarkEnd w:id="537"/>
      <w:bookmarkEnd w:id="538"/>
      <w:bookmarkEnd w:id="539"/>
    </w:p>
    <w:p>
      <w:pPr>
        <w:spacing w:line="360" w:lineRule="auto"/>
        <w:ind w:firstLine="480" w:firstLineChars="200"/>
        <w:rPr>
          <w:rFonts w:hint="eastAsia" w:ascii="仿宋" w:hAnsi="仿宋" w:eastAsia="仿宋" w:cs="仿宋"/>
          <w:color w:val="auto"/>
          <w:sz w:val="24"/>
          <w:highlight w:val="none"/>
        </w:rPr>
      </w:pPr>
      <w:bookmarkStart w:id="540" w:name="_Toc6698"/>
      <w:bookmarkStart w:id="541" w:name="_Toc3135"/>
      <w:bookmarkStart w:id="542" w:name="_Toc279701262"/>
      <w:bookmarkStart w:id="543" w:name="_Toc259093691"/>
      <w:bookmarkStart w:id="544" w:name="_Toc487900372"/>
      <w:r>
        <w:rPr>
          <w:rFonts w:hint="eastAsia" w:ascii="仿宋" w:hAnsi="仿宋" w:eastAsia="仿宋" w:cs="仿宋"/>
          <w:color w:val="auto"/>
          <w:sz w:val="24"/>
          <w:highlight w:val="none"/>
        </w:rPr>
        <w:t>2.18.1 任何一方因履行合同而以合同第一部分尾部所列明的</w:t>
      </w:r>
      <w:r>
        <w:rPr>
          <w:rFonts w:hint="eastAsia" w:ascii="仿宋" w:hAnsi="仿宋" w:eastAsia="仿宋" w:cs="仿宋"/>
          <w:color w:val="auto"/>
          <w:sz w:val="24"/>
          <w:highlight w:val="none"/>
          <w:u w:val="single"/>
        </w:rPr>
        <w:t>“约定送达地址”</w:t>
      </w:r>
      <w:r>
        <w:rPr>
          <w:rFonts w:hint="eastAsia" w:ascii="仿宋" w:hAnsi="仿宋" w:eastAsia="仿宋" w:cs="仿宋"/>
          <w:color w:val="auto"/>
          <w:sz w:val="24"/>
          <w:highlight w:val="none"/>
        </w:rPr>
        <w:t>为收件地址的所有通知、文件、材料，均视为已向对方当事人送达；任何一方变更上述送达方式或者地址的，应于</w:t>
      </w:r>
      <w:r>
        <w:rPr>
          <w:rFonts w:hint="eastAsia" w:ascii="仿宋" w:hAnsi="仿宋" w:eastAsia="仿宋" w:cs="仿宋"/>
          <w:color w:val="auto"/>
          <w:sz w:val="24"/>
          <w:highlight w:val="none"/>
          <w:u w:val="single"/>
        </w:rPr>
        <w:t xml:space="preserve"> 5 </w:t>
      </w:r>
      <w:r>
        <w:rPr>
          <w:rFonts w:hint="eastAsia" w:ascii="仿宋" w:hAnsi="仿宋" w:eastAsia="仿宋" w:cs="仿宋"/>
          <w:color w:val="auto"/>
          <w:sz w:val="24"/>
          <w:highlight w:val="none"/>
        </w:rPr>
        <w:t>个工作日内书面通知对方当事人，在对方当事人收到有关变更通知之前，变更前的约定送达方式或者地址仍视为有效。</w:t>
      </w:r>
      <w:bookmarkEnd w:id="540"/>
      <w:bookmarkEnd w:id="541"/>
    </w:p>
    <w:p>
      <w:pPr>
        <w:spacing w:line="360" w:lineRule="auto"/>
        <w:ind w:firstLine="480" w:firstLineChars="200"/>
        <w:rPr>
          <w:rFonts w:hint="eastAsia" w:ascii="仿宋" w:hAnsi="仿宋" w:eastAsia="仿宋" w:cs="仿宋"/>
          <w:color w:val="auto"/>
          <w:sz w:val="24"/>
          <w:highlight w:val="none"/>
        </w:rPr>
      </w:pPr>
      <w:bookmarkStart w:id="545" w:name="_Toc23294"/>
      <w:bookmarkStart w:id="546" w:name="_Toc23128"/>
      <w:r>
        <w:rPr>
          <w:rFonts w:hint="eastAsia" w:ascii="仿宋" w:hAnsi="仿宋" w:eastAsia="仿宋" w:cs="仿宋"/>
          <w:color w:val="auto"/>
          <w:sz w:val="24"/>
          <w:highlight w:val="none"/>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545"/>
      <w:bookmarkEnd w:id="546"/>
    </w:p>
    <w:p>
      <w:pPr>
        <w:spacing w:line="360" w:lineRule="auto"/>
        <w:ind w:firstLine="482" w:firstLineChars="200"/>
        <w:outlineLvl w:val="0"/>
        <w:rPr>
          <w:rFonts w:hint="eastAsia" w:ascii="仿宋" w:hAnsi="仿宋" w:eastAsia="仿宋" w:cs="仿宋"/>
          <w:b/>
          <w:color w:val="auto"/>
          <w:sz w:val="24"/>
          <w:highlight w:val="none"/>
        </w:rPr>
      </w:pPr>
      <w:bookmarkStart w:id="547" w:name="_Toc4355"/>
      <w:bookmarkStart w:id="548" w:name="_Toc30599"/>
      <w:bookmarkStart w:id="549" w:name="_Toc18540"/>
      <w:r>
        <w:rPr>
          <w:rFonts w:hint="eastAsia" w:ascii="仿宋" w:hAnsi="仿宋" w:eastAsia="仿宋" w:cs="仿宋"/>
          <w:b/>
          <w:color w:val="auto"/>
          <w:sz w:val="24"/>
          <w:highlight w:val="none"/>
        </w:rPr>
        <w:t>2.19 计量单位</w:t>
      </w:r>
      <w:bookmarkEnd w:id="542"/>
      <w:bookmarkEnd w:id="543"/>
      <w:bookmarkEnd w:id="544"/>
      <w:bookmarkEnd w:id="547"/>
      <w:bookmarkEnd w:id="548"/>
      <w:bookmarkEnd w:id="549"/>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除技术规范中另有规定外,合同的计量单位均使用国家法定计量单位。</w:t>
      </w:r>
    </w:p>
    <w:p>
      <w:pPr>
        <w:spacing w:line="360" w:lineRule="auto"/>
        <w:ind w:firstLine="482" w:firstLineChars="200"/>
        <w:outlineLvl w:val="0"/>
        <w:rPr>
          <w:rFonts w:hint="eastAsia" w:ascii="仿宋" w:hAnsi="仿宋" w:eastAsia="仿宋" w:cs="仿宋"/>
          <w:b/>
          <w:color w:val="auto"/>
          <w:sz w:val="24"/>
          <w:highlight w:val="none"/>
        </w:rPr>
      </w:pPr>
      <w:bookmarkStart w:id="550" w:name="_Toc487900373"/>
      <w:bookmarkStart w:id="551" w:name="_Toc10330"/>
      <w:bookmarkStart w:id="552" w:name="_Toc279701263"/>
      <w:bookmarkStart w:id="553" w:name="_Toc259093692"/>
      <w:bookmarkStart w:id="554" w:name="_Toc18567"/>
      <w:bookmarkStart w:id="555" w:name="_Toc12773"/>
      <w:r>
        <w:rPr>
          <w:rFonts w:hint="eastAsia" w:ascii="仿宋" w:hAnsi="仿宋" w:eastAsia="仿宋" w:cs="仿宋"/>
          <w:b/>
          <w:color w:val="auto"/>
          <w:sz w:val="24"/>
          <w:highlight w:val="none"/>
        </w:rPr>
        <w:t>2.20 合同使用的文字和适用的法律</w:t>
      </w:r>
      <w:bookmarkEnd w:id="550"/>
      <w:bookmarkEnd w:id="551"/>
      <w:bookmarkEnd w:id="552"/>
      <w:bookmarkEnd w:id="553"/>
      <w:bookmarkEnd w:id="554"/>
      <w:bookmarkEnd w:id="555"/>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2.20.1 合同使用汉语书就、变更和解释；</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2.20.2 合同适用中华人民共和国法律。</w:t>
      </w:r>
    </w:p>
    <w:p>
      <w:pPr>
        <w:spacing w:line="360" w:lineRule="auto"/>
        <w:ind w:firstLine="482" w:firstLineChars="200"/>
        <w:outlineLvl w:val="0"/>
        <w:rPr>
          <w:rFonts w:hint="eastAsia" w:ascii="仿宋" w:hAnsi="仿宋" w:eastAsia="仿宋" w:cs="仿宋"/>
          <w:b/>
          <w:color w:val="auto"/>
          <w:sz w:val="24"/>
          <w:highlight w:val="none"/>
        </w:rPr>
      </w:pPr>
      <w:bookmarkStart w:id="556" w:name="_Toc12004"/>
      <w:bookmarkStart w:id="557" w:name="_Toc259093693"/>
      <w:bookmarkStart w:id="558" w:name="_Toc279701264"/>
      <w:bookmarkStart w:id="559" w:name="_Toc3148"/>
      <w:bookmarkStart w:id="560" w:name="_Toc16673"/>
      <w:bookmarkStart w:id="561" w:name="_Toc487900374"/>
      <w:r>
        <w:rPr>
          <w:rFonts w:hint="eastAsia" w:ascii="仿宋" w:hAnsi="仿宋" w:eastAsia="仿宋" w:cs="仿宋"/>
          <w:b/>
          <w:color w:val="auto"/>
          <w:sz w:val="24"/>
          <w:highlight w:val="none"/>
        </w:rPr>
        <w:t>2.21 履约保证金</w:t>
      </w:r>
      <w:bookmarkEnd w:id="556"/>
      <w:bookmarkEnd w:id="557"/>
      <w:bookmarkEnd w:id="558"/>
      <w:bookmarkEnd w:id="559"/>
      <w:bookmarkEnd w:id="560"/>
    </w:p>
    <w:p>
      <w:pPr>
        <w:pStyle w:val="959"/>
        <w:spacing w:before="0" w:beforeAutospacing="0" w:after="0" w:afterAutospacing="0" w:line="360" w:lineRule="auto"/>
        <w:ind w:firstLine="420"/>
        <w:rPr>
          <w:rFonts w:hint="eastAsia" w:ascii="仿宋" w:hAnsi="仿宋" w:eastAsia="仿宋" w:cs="仿宋"/>
          <w:color w:val="auto"/>
          <w:highlight w:val="none"/>
        </w:rPr>
      </w:pPr>
      <w:r>
        <w:rPr>
          <w:rFonts w:hint="eastAsia" w:ascii="仿宋" w:hAnsi="仿宋" w:eastAsia="仿宋" w:cs="仿宋"/>
          <w:color w:val="auto"/>
          <w:highlight w:val="none"/>
        </w:rPr>
        <w:t>2.21.1采购文件要求乙方提交履约保证金的，乙方应按</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rPr>
        <w:t>约定的方式，以支票、汇票、本票或者金融机构、担保机构出具的保函等非现金形式，提交不超过合同金额1%的履约保证金；鼓励和支持乙方以银行、保险公司出具的保函形式提供履约保证，乙方以银行、保险公司出具保函形式提交履约保证金的，甲方不得拒收。</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2.21.2  甲方在项目验收结束后及时退还履约保证金。甲方在项目通过验收之日起</w:t>
      </w:r>
      <w:r>
        <w:rPr>
          <w:rFonts w:hint="eastAsia" w:ascii="仿宋" w:hAnsi="仿宋" w:eastAsia="仿宋" w:cs="仿宋"/>
          <w:color w:val="auto"/>
          <w:sz w:val="24"/>
          <w:highlight w:val="none"/>
          <w:u w:val="single"/>
        </w:rPr>
        <w:t xml:space="preserve"> 5 </w:t>
      </w:r>
      <w:r>
        <w:rPr>
          <w:rFonts w:hint="eastAsia" w:ascii="仿宋" w:hAnsi="仿宋" w:eastAsia="仿宋" w:cs="仿宋"/>
          <w:color w:val="auto"/>
          <w:sz w:val="24"/>
          <w:highlight w:val="none"/>
        </w:rPr>
        <w:t>个工作日内，按</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约定的方式将履约保证金退还乙方，逾期退还的，乙方可要求甲方支付违约金，违约金按每迟延退还一日的应退还而未退还金额的</w:t>
      </w:r>
      <w:r>
        <w:rPr>
          <w:rFonts w:hint="eastAsia" w:ascii="仿宋" w:hAnsi="仿宋" w:eastAsia="仿宋" w:cs="仿宋"/>
          <w:color w:val="auto"/>
          <w:sz w:val="24"/>
          <w:highlight w:val="none"/>
          <w:u w:val="single"/>
        </w:rPr>
        <w:t xml:space="preserve">  0.05  </w:t>
      </w:r>
      <w:r>
        <w:rPr>
          <w:rFonts w:hint="eastAsia" w:ascii="仿宋" w:hAnsi="仿宋" w:eastAsia="仿宋" w:cs="仿宋"/>
          <w:color w:val="auto"/>
          <w:sz w:val="24"/>
          <w:highlight w:val="none"/>
        </w:rPr>
        <w:t>%计算，最高限额为本合同履约保证金的</w:t>
      </w:r>
      <w:r>
        <w:rPr>
          <w:rFonts w:hint="eastAsia" w:ascii="仿宋" w:hAnsi="仿宋" w:eastAsia="仿宋" w:cs="仿宋"/>
          <w:color w:val="auto"/>
          <w:sz w:val="24"/>
          <w:highlight w:val="none"/>
          <w:u w:val="single"/>
        </w:rPr>
        <w:t xml:space="preserve">  20  </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2.21.4甲方根据杭州市政府采购网公布的供应商履约评价情况减免履约保证金。乙方履约验收评价总分为100分的，甲方免收履约保证金。</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2.21.5甲方在乙方履行完合同约定义务事项后及时退还，延迟退还的，应当按照合同约定和法律规定承担相应的赔偿责任。</w:t>
      </w:r>
    </w:p>
    <w:p>
      <w:pPr>
        <w:spacing w:line="360" w:lineRule="auto"/>
        <w:ind w:firstLine="480"/>
        <w:outlineLvl w:val="0"/>
        <w:rPr>
          <w:rFonts w:hint="eastAsia" w:ascii="仿宋" w:hAnsi="仿宋" w:eastAsia="仿宋" w:cs="仿宋"/>
          <w:color w:val="auto"/>
          <w:kern w:val="0"/>
          <w:sz w:val="24"/>
          <w:highlight w:val="none"/>
          <w:lang w:val="zh-CN"/>
        </w:rPr>
      </w:pPr>
      <w:r>
        <w:rPr>
          <w:rFonts w:hint="eastAsia" w:ascii="仿宋" w:hAnsi="仿宋" w:eastAsia="仿宋" w:cs="仿宋"/>
          <w:b/>
          <w:color w:val="auto"/>
          <w:sz w:val="24"/>
          <w:highlight w:val="none"/>
        </w:rPr>
        <w:t>2.22 中小企业政策</w:t>
      </w:r>
    </w:p>
    <w:p>
      <w:pPr>
        <w:spacing w:line="360" w:lineRule="auto"/>
        <w:ind w:firstLine="480"/>
        <w:outlineLvl w:val="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2.22.1本合同（□是  □否）为可融资合同，关于中小企业信用融资事项可登陆杭州市政府采购网（http://cg.hzft.gov.cn）“中小企业信用融资”专栏进行查询。</w:t>
      </w:r>
    </w:p>
    <w:p>
      <w:pPr>
        <w:spacing w:line="360" w:lineRule="auto"/>
        <w:ind w:firstLine="480"/>
        <w:outlineLvl w:val="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2.22.2本合同（□是  □否）为中小企业预留合同。</w:t>
      </w:r>
    </w:p>
    <w:bookmarkEnd w:id="561"/>
    <w:p>
      <w:pPr>
        <w:spacing w:line="360" w:lineRule="auto"/>
        <w:ind w:firstLine="482" w:firstLineChars="200"/>
        <w:outlineLvl w:val="0"/>
        <w:rPr>
          <w:rFonts w:hint="eastAsia" w:ascii="仿宋" w:hAnsi="仿宋" w:eastAsia="仿宋" w:cs="仿宋"/>
          <w:b/>
          <w:color w:val="auto"/>
          <w:sz w:val="24"/>
          <w:highlight w:val="none"/>
        </w:rPr>
      </w:pPr>
      <w:bookmarkStart w:id="562" w:name="_Toc19890"/>
      <w:bookmarkStart w:id="563" w:name="_Toc6885"/>
      <w:bookmarkStart w:id="564" w:name="_Toc14001"/>
      <w:r>
        <w:rPr>
          <w:rFonts w:hint="eastAsia" w:ascii="仿宋" w:hAnsi="仿宋" w:eastAsia="仿宋" w:cs="仿宋"/>
          <w:b/>
          <w:color w:val="auto"/>
          <w:sz w:val="24"/>
          <w:highlight w:val="none"/>
        </w:rPr>
        <w:t>2.23 合同份数</w:t>
      </w:r>
      <w:bookmarkEnd w:id="562"/>
      <w:bookmarkEnd w:id="563"/>
      <w:bookmarkEnd w:id="564"/>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本合同一式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份，甲方执</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份，乙方执</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份。每份均具有同等法律效力。</w:t>
      </w:r>
    </w:p>
    <w:p>
      <w:pPr>
        <w:pStyle w:val="702"/>
        <w:jc w:val="center"/>
        <w:rPr>
          <w:rFonts w:hint="eastAsia" w:ascii="仿宋" w:hAnsi="仿宋" w:eastAsia="仿宋" w:cs="仿宋"/>
          <w:b/>
          <w:color w:val="auto"/>
          <w:szCs w:val="24"/>
          <w:highlight w:val="none"/>
        </w:rPr>
      </w:pPr>
      <w:r>
        <w:rPr>
          <w:rFonts w:hint="eastAsia" w:ascii="仿宋" w:hAnsi="仿宋" w:eastAsia="仿宋" w:cs="仿宋"/>
          <w:color w:val="auto"/>
          <w:szCs w:val="24"/>
          <w:highlight w:val="none"/>
        </w:rPr>
        <w:br w:type="page"/>
      </w:r>
      <w:bookmarkStart w:id="565" w:name="_Toc331685784"/>
      <w:r>
        <w:rPr>
          <w:rFonts w:hint="eastAsia" w:ascii="仿宋" w:hAnsi="仿宋" w:eastAsia="仿宋" w:cs="仿宋"/>
          <w:b/>
          <w:color w:val="auto"/>
          <w:szCs w:val="24"/>
          <w:highlight w:val="none"/>
        </w:rPr>
        <w:t xml:space="preserve">第三部分  </w:t>
      </w:r>
      <w:r>
        <w:rPr>
          <w:rFonts w:hint="eastAsia" w:ascii="仿宋" w:hAnsi="仿宋" w:eastAsia="仿宋" w:cs="仿宋"/>
          <w:b/>
          <w:color w:val="auto"/>
          <w:highlight w:val="none"/>
        </w:rPr>
        <w:t>※</w:t>
      </w:r>
      <w:r>
        <w:rPr>
          <w:rFonts w:hint="eastAsia" w:ascii="仿宋" w:hAnsi="仿宋" w:eastAsia="仿宋" w:cs="仿宋"/>
          <w:b/>
          <w:color w:val="auto"/>
          <w:szCs w:val="24"/>
          <w:highlight w:val="none"/>
        </w:rPr>
        <w:t>合同专用条款</w:t>
      </w:r>
      <w:bookmarkEnd w:id="565"/>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条款号</w:t>
            </w:r>
          </w:p>
        </w:tc>
        <w:tc>
          <w:tcPr>
            <w:tcW w:w="8185" w:type="dxa"/>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约定内容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keepNext w:val="0"/>
              <w:keepLines w:val="0"/>
              <w:suppressLineNumbers w:val="0"/>
              <w:spacing w:before="0" w:beforeAutospacing="0" w:after="0" w:afterAutospacing="0" w:line="360" w:lineRule="auto"/>
              <w:ind w:left="0" w:right="0"/>
              <w:rPr>
                <w:rFonts w:hint="eastAsia" w:ascii="仿宋" w:hAnsi="仿宋" w:eastAsia="仿宋" w:cs="仿宋"/>
                <w:color w:val="auto"/>
                <w:sz w:val="24"/>
                <w:highlight w:val="none"/>
              </w:rPr>
            </w:pPr>
            <w:r>
              <w:rPr>
                <w:rFonts w:hint="eastAsia" w:ascii="仿宋" w:hAnsi="仿宋" w:eastAsia="仿宋" w:cs="仿宋"/>
                <w:color w:val="auto"/>
                <w:sz w:val="24"/>
                <w:highlight w:val="none"/>
              </w:rPr>
              <w:t>1.4.4</w:t>
            </w:r>
          </w:p>
        </w:tc>
        <w:tc>
          <w:tcPr>
            <w:tcW w:w="8185" w:type="dxa"/>
          </w:tcPr>
          <w:p>
            <w:pPr>
              <w:keepNext w:val="0"/>
              <w:keepLines w:val="0"/>
              <w:widowControl/>
              <w:suppressLineNumbers w:val="0"/>
              <w:adjustRightInd/>
              <w:spacing w:before="0" w:beforeAutospacing="0" w:after="0" w:afterAutospacing="0"/>
              <w:ind w:left="0" w:right="0"/>
              <w:rPr>
                <w:rFonts w:hint="eastAsia" w:ascii="仿宋" w:hAnsi="仿宋" w:eastAsia="仿宋" w:cs="仿宋"/>
                <w:color w:val="auto"/>
                <w:sz w:val="24"/>
                <w:highlight w:val="none"/>
              </w:rPr>
            </w:pPr>
            <w:r>
              <w:rPr>
                <w:rFonts w:hint="eastAsia" w:ascii="仿宋" w:hAnsi="仿宋" w:eastAsia="仿宋" w:cs="仿宋"/>
                <w:color w:val="auto"/>
                <w:sz w:val="24"/>
                <w:highlight w:val="none"/>
              </w:rPr>
              <w:t>资金支付的方式、时间和条件：</w:t>
            </w:r>
          </w:p>
          <w:p>
            <w:pPr>
              <w:keepNext w:val="0"/>
              <w:keepLines w:val="0"/>
              <w:suppressLineNumbers w:val="0"/>
              <w:snapToGrid w:val="0"/>
              <w:spacing w:before="0" w:beforeAutospacing="0" w:after="0" w:afterAutospacing="0" w:line="360" w:lineRule="auto"/>
              <w:ind w:left="0" w:right="0"/>
              <w:rPr>
                <w:rFonts w:hint="eastAsia" w:ascii="仿宋" w:hAnsi="仿宋" w:eastAsia="仿宋" w:cs="仿宋"/>
                <w:color w:val="auto"/>
                <w:sz w:val="24"/>
                <w:highlight w:val="none"/>
              </w:rPr>
            </w:pPr>
            <w:r>
              <w:rPr>
                <w:rFonts w:hint="eastAsia" w:ascii="仿宋" w:hAnsi="仿宋" w:eastAsia="仿宋" w:cs="仿宋"/>
                <w:color w:val="auto"/>
                <w:sz w:val="24"/>
                <w:highlight w:val="none"/>
              </w:rPr>
              <w:t>在合同生效后7个工作日内，乙方应提交合同价</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%的履约保证金</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即人民币</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，以支票、汇票、本票或者金融机构、担保机构出具的保函等非现金形式；鼓励和支持乙方以银行、保险公司出具的保函形式提供履约保证。</w:t>
            </w:r>
          </w:p>
          <w:p>
            <w:pPr>
              <w:keepNext w:val="0"/>
              <w:keepLines w:val="0"/>
              <w:suppressLineNumbers w:val="0"/>
              <w:snapToGrid w:val="0"/>
              <w:spacing w:before="0" w:beforeAutospacing="0" w:after="0" w:afterAutospacing="0" w:line="360" w:lineRule="auto"/>
              <w:ind w:right="0"/>
              <w:rPr>
                <w:rFonts w:hint="eastAsia" w:ascii="仿宋" w:hAnsi="仿宋" w:eastAsia="仿宋" w:cs="仿宋"/>
                <w:kern w:val="2"/>
                <w:sz w:val="24"/>
                <w:szCs w:val="24"/>
                <w:highlight w:val="yellow"/>
                <w:lang w:val="en-US" w:eastAsia="zh-CN" w:bidi="ar-SA"/>
              </w:rPr>
            </w:pPr>
            <w:r>
              <w:rPr>
                <w:rFonts w:hint="eastAsia" w:ascii="仿宋" w:hAnsi="仿宋" w:eastAsia="仿宋" w:cs="仿宋"/>
                <w:kern w:val="2"/>
                <w:sz w:val="24"/>
                <w:szCs w:val="24"/>
                <w:highlight w:val="yellow"/>
                <w:lang w:val="en-US" w:eastAsia="zh-CN" w:bidi="ar-SA"/>
              </w:rPr>
              <w:t>1）合同生效后7个工作日内支付40%预付款。</w:t>
            </w:r>
          </w:p>
          <w:p>
            <w:pPr>
              <w:pStyle w:val="17"/>
              <w:snapToGrid w:val="0"/>
              <w:spacing w:line="360" w:lineRule="auto"/>
              <w:ind w:left="0" w:leftChars="0" w:firstLine="0" w:firstLineChars="0"/>
              <w:rPr>
                <w:rFonts w:hint="eastAsia" w:ascii="仿宋" w:hAnsi="仿宋" w:eastAsia="仿宋" w:cs="仿宋"/>
                <w:highlight w:val="yellow"/>
              </w:rPr>
            </w:pPr>
            <w:r>
              <w:rPr>
                <w:rFonts w:hint="eastAsia" w:ascii="仿宋" w:hAnsi="仿宋" w:eastAsia="仿宋" w:cs="仿宋"/>
                <w:kern w:val="2"/>
                <w:sz w:val="24"/>
                <w:szCs w:val="24"/>
                <w:highlight w:val="yellow"/>
                <w:lang w:val="en-US" w:eastAsia="zh-CN" w:bidi="ar-SA"/>
              </w:rPr>
              <w:t>2）本项目验收通过并经采购单位确认后于7个工作日内支</w:t>
            </w:r>
            <w:r>
              <w:rPr>
                <w:rFonts w:hint="eastAsia" w:ascii="仿宋" w:hAnsi="仿宋" w:eastAsia="仿宋" w:cs="仿宋"/>
                <w:highlight w:val="yellow"/>
              </w:rPr>
              <w:t>付合同额的50%；</w:t>
            </w:r>
          </w:p>
          <w:p>
            <w:pPr>
              <w:pStyle w:val="17"/>
              <w:snapToGrid w:val="0"/>
              <w:spacing w:line="360" w:lineRule="auto"/>
              <w:ind w:left="0" w:leftChars="0" w:firstLine="0" w:firstLineChars="0"/>
              <w:rPr>
                <w:rFonts w:hint="eastAsia" w:ascii="仿宋" w:hAnsi="仿宋" w:eastAsia="仿宋" w:cs="仿宋"/>
                <w:color w:val="auto"/>
                <w:sz w:val="24"/>
                <w:highlight w:val="none"/>
              </w:rPr>
            </w:pPr>
            <w:r>
              <w:rPr>
                <w:rFonts w:hint="eastAsia" w:ascii="仿宋" w:hAnsi="仿宋" w:eastAsia="仿宋" w:cs="仿宋"/>
                <w:highlight w:val="yellow"/>
                <w:lang w:val="en-US" w:eastAsia="zh-CN"/>
              </w:rPr>
              <w:t>3）</w:t>
            </w:r>
            <w:r>
              <w:rPr>
                <w:rFonts w:hint="eastAsia" w:ascii="仿宋" w:hAnsi="仿宋" w:eastAsia="仿宋" w:cs="仿宋"/>
                <w:highlight w:val="yellow"/>
              </w:rPr>
              <w:t>质保期到期</w:t>
            </w:r>
            <w:r>
              <w:rPr>
                <w:rFonts w:hint="eastAsia" w:ascii="仿宋" w:hAnsi="仿宋" w:eastAsia="仿宋" w:cs="仿宋"/>
                <w:highlight w:val="yellow"/>
                <w:lang w:val="en-US" w:eastAsia="zh-CN"/>
              </w:rPr>
              <w:t>后</w:t>
            </w:r>
            <w:r>
              <w:rPr>
                <w:rFonts w:hint="eastAsia" w:ascii="仿宋" w:hAnsi="仿宋" w:eastAsia="仿宋" w:cs="仿宋"/>
                <w:highlight w:val="yellow"/>
              </w:rPr>
              <w:t>，支付合同额的10%。</w:t>
            </w:r>
            <w:r>
              <w:rPr>
                <w:rFonts w:hint="eastAsia" w:ascii="仿宋" w:hAnsi="仿宋" w:eastAsia="仿宋" w:cs="仿宋"/>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keepNext w:val="0"/>
              <w:keepLines w:val="0"/>
              <w:suppressLineNumbers w:val="0"/>
              <w:spacing w:before="0" w:beforeAutospacing="0" w:after="0" w:afterAutospacing="0" w:line="360" w:lineRule="auto"/>
              <w:ind w:left="0" w:right="0"/>
              <w:rPr>
                <w:rFonts w:hint="eastAsia" w:ascii="仿宋" w:hAnsi="仿宋" w:eastAsia="仿宋" w:cs="仿宋"/>
                <w:color w:val="auto"/>
                <w:sz w:val="24"/>
                <w:highlight w:val="none"/>
              </w:rPr>
            </w:pPr>
            <w:r>
              <w:rPr>
                <w:rFonts w:hint="eastAsia" w:ascii="仿宋" w:hAnsi="仿宋" w:eastAsia="仿宋" w:cs="仿宋"/>
                <w:color w:val="auto"/>
                <w:sz w:val="24"/>
                <w:highlight w:val="none"/>
              </w:rPr>
              <w:t>1.5.1</w:t>
            </w:r>
          </w:p>
        </w:tc>
        <w:tc>
          <w:tcPr>
            <w:tcW w:w="8185" w:type="dxa"/>
          </w:tcPr>
          <w:p>
            <w:pPr>
              <w:keepNext w:val="0"/>
              <w:keepLines w:val="0"/>
              <w:suppressLineNumbers w:val="0"/>
              <w:spacing w:before="0" w:beforeAutospacing="0" w:after="0" w:afterAutospacing="0" w:line="360" w:lineRule="auto"/>
              <w:ind w:left="0" w:right="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服务期：</w:t>
            </w:r>
            <w:r>
              <w:rPr>
                <w:rFonts w:hint="eastAsia" w:ascii="仿宋_GB2312" w:hAnsi="仿宋" w:eastAsia="仿宋_GB2312" w:cs="仿宋_GB2312"/>
                <w:sz w:val="24"/>
                <w:highlight w:val="yellow"/>
              </w:rPr>
              <w:t>合同签订后30天内完成系统开发及应用部署。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keepNext w:val="0"/>
              <w:keepLines w:val="0"/>
              <w:suppressLineNumbers w:val="0"/>
              <w:spacing w:before="0" w:beforeAutospacing="0" w:after="0" w:afterAutospacing="0" w:line="360" w:lineRule="auto"/>
              <w:ind w:left="0" w:right="0"/>
              <w:rPr>
                <w:rFonts w:hint="eastAsia" w:ascii="仿宋" w:hAnsi="仿宋" w:eastAsia="仿宋" w:cs="仿宋"/>
                <w:color w:val="auto"/>
                <w:sz w:val="24"/>
                <w:highlight w:val="none"/>
              </w:rPr>
            </w:pPr>
            <w:r>
              <w:rPr>
                <w:rFonts w:hint="eastAsia" w:ascii="仿宋" w:hAnsi="仿宋" w:eastAsia="仿宋" w:cs="仿宋"/>
                <w:color w:val="auto"/>
                <w:sz w:val="24"/>
                <w:highlight w:val="none"/>
              </w:rPr>
              <w:t>1.5.2</w:t>
            </w:r>
          </w:p>
        </w:tc>
        <w:tc>
          <w:tcPr>
            <w:tcW w:w="8185" w:type="dxa"/>
            <w:vAlign w:val="center"/>
          </w:tcPr>
          <w:p>
            <w:pPr>
              <w:keepNext w:val="0"/>
              <w:keepLines w:val="0"/>
              <w:suppressLineNumbers w:val="0"/>
              <w:spacing w:before="0" w:beforeAutospacing="0" w:after="0" w:afterAutospacing="0" w:line="360" w:lineRule="auto"/>
              <w:ind w:left="0" w:leftChars="0" w:right="0" w:rightChars="0"/>
              <w:rPr>
                <w:rFonts w:hint="eastAsia" w:ascii="仿宋" w:hAnsi="仿宋" w:eastAsia="仿宋" w:cs="仿宋"/>
                <w:color w:val="auto"/>
                <w:kern w:val="2"/>
                <w:sz w:val="24"/>
                <w:szCs w:val="22"/>
                <w:highlight w:val="none"/>
                <w:lang w:val="en-US" w:eastAsia="zh-CN" w:bidi="ar-SA"/>
              </w:rPr>
            </w:pPr>
            <w:r>
              <w:rPr>
                <w:rFonts w:hint="eastAsia" w:ascii="仿宋" w:hAnsi="仿宋" w:eastAsia="仿宋" w:cs="仿宋"/>
                <w:color w:val="auto"/>
                <w:sz w:val="24"/>
                <w:highlight w:val="none"/>
              </w:rPr>
              <w:t>地点：杭州市</w:t>
            </w:r>
            <w:r>
              <w:rPr>
                <w:rFonts w:hint="eastAsia" w:ascii="仿宋" w:hAnsi="仿宋" w:eastAsia="仿宋" w:cs="仿宋"/>
                <w:color w:val="auto"/>
                <w:sz w:val="24"/>
                <w:highlight w:val="none"/>
                <w:lang w:val="en-US" w:eastAsia="zh-CN"/>
              </w:rPr>
              <w:t>拱墅区</w:t>
            </w:r>
            <w:r>
              <w:rPr>
                <w:rFonts w:hint="eastAsia" w:ascii="仿宋" w:hAnsi="仿宋" w:eastAsia="仿宋" w:cs="仿宋"/>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keepNext w:val="0"/>
              <w:keepLines w:val="0"/>
              <w:suppressLineNumbers w:val="0"/>
              <w:spacing w:before="0" w:beforeAutospacing="0" w:after="0" w:afterAutospacing="0" w:line="360" w:lineRule="auto"/>
              <w:ind w:left="0" w:right="0"/>
              <w:rPr>
                <w:rFonts w:hint="eastAsia" w:ascii="仿宋" w:hAnsi="仿宋" w:eastAsia="仿宋" w:cs="仿宋"/>
                <w:color w:val="auto"/>
                <w:sz w:val="24"/>
                <w:highlight w:val="none"/>
              </w:rPr>
            </w:pPr>
            <w:r>
              <w:rPr>
                <w:rFonts w:hint="eastAsia" w:ascii="仿宋" w:hAnsi="仿宋" w:eastAsia="仿宋" w:cs="仿宋"/>
                <w:color w:val="auto"/>
                <w:sz w:val="24"/>
                <w:highlight w:val="none"/>
              </w:rPr>
              <w:t>1.5.3</w:t>
            </w:r>
          </w:p>
        </w:tc>
        <w:tc>
          <w:tcPr>
            <w:tcW w:w="8185" w:type="dxa"/>
            <w:vAlign w:val="center"/>
          </w:tcPr>
          <w:p>
            <w:pPr>
              <w:keepNext w:val="0"/>
              <w:keepLines w:val="0"/>
              <w:suppressLineNumbers w:val="0"/>
              <w:spacing w:before="0" w:beforeAutospacing="0" w:after="0" w:afterAutospacing="0" w:line="360" w:lineRule="auto"/>
              <w:ind w:left="0" w:leftChars="0" w:right="0" w:rightChars="0"/>
              <w:rPr>
                <w:rFonts w:hint="eastAsia" w:ascii="仿宋" w:hAnsi="仿宋" w:eastAsia="仿宋" w:cs="仿宋"/>
                <w:color w:val="auto"/>
                <w:kern w:val="2"/>
                <w:sz w:val="24"/>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keepNext w:val="0"/>
              <w:keepLines w:val="0"/>
              <w:suppressLineNumbers w:val="0"/>
              <w:spacing w:before="0" w:beforeAutospacing="0" w:after="0" w:afterAutospacing="0" w:line="360" w:lineRule="auto"/>
              <w:ind w:left="0" w:right="0"/>
              <w:rPr>
                <w:rFonts w:hint="eastAsia" w:ascii="仿宋" w:hAnsi="仿宋" w:eastAsia="仿宋" w:cs="仿宋"/>
                <w:color w:val="auto"/>
                <w:sz w:val="24"/>
                <w:highlight w:val="none"/>
              </w:rPr>
            </w:pPr>
            <w:r>
              <w:rPr>
                <w:rFonts w:hint="eastAsia" w:ascii="仿宋" w:hAnsi="仿宋" w:eastAsia="仿宋" w:cs="仿宋"/>
                <w:color w:val="auto"/>
                <w:sz w:val="24"/>
                <w:highlight w:val="none"/>
              </w:rPr>
              <w:t>1.7</w:t>
            </w:r>
          </w:p>
        </w:tc>
        <w:tc>
          <w:tcPr>
            <w:tcW w:w="8185" w:type="dxa"/>
          </w:tcPr>
          <w:p>
            <w:pPr>
              <w:keepNext w:val="0"/>
              <w:keepLines w:val="0"/>
              <w:suppressLineNumbers w:val="0"/>
              <w:spacing w:before="0" w:beforeAutospacing="0" w:after="0" w:afterAutospacing="0" w:line="360" w:lineRule="auto"/>
              <w:ind w:left="0" w:right="0"/>
              <w:rPr>
                <w:rFonts w:hint="eastAsia" w:ascii="仿宋" w:hAnsi="仿宋" w:eastAsia="仿宋" w:cs="仿宋"/>
                <w:color w:val="auto"/>
                <w:sz w:val="24"/>
                <w:highlight w:val="none"/>
              </w:rPr>
            </w:pPr>
            <w:r>
              <w:rPr>
                <w:rFonts w:hint="eastAsia" w:ascii="仿宋" w:hAnsi="仿宋" w:eastAsia="仿宋" w:cs="仿宋"/>
                <w:bCs/>
                <w:color w:val="auto"/>
                <w:sz w:val="24"/>
                <w:highlight w:val="none"/>
              </w:rPr>
              <w:t>合同争议的解决：选择以下第1.7.2条款规定的方式解决。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keepNext w:val="0"/>
              <w:keepLines w:val="0"/>
              <w:suppressLineNumbers w:val="0"/>
              <w:spacing w:before="0" w:beforeAutospacing="0" w:after="0" w:afterAutospacing="0" w:line="360" w:lineRule="auto"/>
              <w:ind w:left="0" w:right="0"/>
              <w:rPr>
                <w:rFonts w:hint="eastAsia" w:ascii="仿宋" w:hAnsi="仿宋" w:eastAsia="仿宋" w:cs="仿宋"/>
                <w:color w:val="auto"/>
                <w:sz w:val="24"/>
                <w:highlight w:val="none"/>
              </w:rPr>
            </w:pPr>
            <w:r>
              <w:rPr>
                <w:rFonts w:hint="eastAsia" w:ascii="仿宋" w:hAnsi="仿宋" w:eastAsia="仿宋" w:cs="仿宋"/>
                <w:color w:val="auto"/>
                <w:sz w:val="24"/>
                <w:highlight w:val="none"/>
              </w:rPr>
              <w:t>1.7.1</w:t>
            </w:r>
          </w:p>
        </w:tc>
        <w:tc>
          <w:tcPr>
            <w:tcW w:w="8185" w:type="dxa"/>
            <w:vAlign w:val="center"/>
          </w:tcPr>
          <w:p>
            <w:pPr>
              <w:keepNext w:val="0"/>
              <w:keepLines w:val="0"/>
              <w:suppressLineNumbers w:val="0"/>
              <w:spacing w:before="0" w:beforeAutospacing="0" w:after="0" w:afterAutospacing="0" w:line="360" w:lineRule="auto"/>
              <w:ind w:left="0" w:right="0"/>
              <w:rPr>
                <w:rFonts w:hint="eastAsia" w:ascii="仿宋" w:hAnsi="仿宋" w:eastAsia="仿宋" w:cs="Times New Roman"/>
                <w:color w:val="auto"/>
                <w:kern w:val="2"/>
                <w:sz w:val="24"/>
                <w:szCs w:val="22"/>
                <w:highlight w:val="none"/>
                <w:lang w:val="en-US" w:eastAsia="zh-CN" w:bidi="ar-SA"/>
              </w:rPr>
            </w:pPr>
            <w:r>
              <w:rPr>
                <w:rFonts w:hint="eastAsia" w:ascii="仿宋" w:hAnsi="仿宋" w:eastAsia="仿宋" w:cs="仿宋"/>
                <w:bCs/>
                <w:color w:val="auto"/>
                <w:sz w:val="24"/>
                <w:highlight w:val="none"/>
              </w:rPr>
              <w:t>将争议提交杭州市仲裁委员会依申请仲裁时其现行有效的仲裁规则裁决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keepNext w:val="0"/>
              <w:keepLines w:val="0"/>
              <w:suppressLineNumbers w:val="0"/>
              <w:spacing w:before="0" w:beforeAutospacing="0" w:after="0" w:afterAutospacing="0" w:line="360" w:lineRule="auto"/>
              <w:ind w:left="0" w:right="0"/>
              <w:rPr>
                <w:rFonts w:hint="eastAsia" w:ascii="仿宋" w:hAnsi="仿宋" w:eastAsia="仿宋" w:cs="仿宋"/>
                <w:color w:val="auto"/>
                <w:sz w:val="24"/>
                <w:highlight w:val="none"/>
              </w:rPr>
            </w:pPr>
            <w:r>
              <w:rPr>
                <w:rFonts w:hint="eastAsia" w:ascii="仿宋" w:hAnsi="仿宋" w:eastAsia="仿宋" w:cs="仿宋"/>
                <w:color w:val="auto"/>
                <w:sz w:val="24"/>
                <w:highlight w:val="none"/>
              </w:rPr>
              <w:t>1.7.2</w:t>
            </w:r>
          </w:p>
        </w:tc>
        <w:tc>
          <w:tcPr>
            <w:tcW w:w="8185" w:type="dxa"/>
            <w:vAlign w:val="center"/>
          </w:tcPr>
          <w:p>
            <w:pPr>
              <w:keepNext w:val="0"/>
              <w:keepLines w:val="0"/>
              <w:suppressLineNumbers w:val="0"/>
              <w:spacing w:before="0" w:beforeAutospacing="0" w:after="0" w:afterAutospacing="0" w:line="360" w:lineRule="auto"/>
              <w:ind w:left="0" w:right="0"/>
              <w:rPr>
                <w:rFonts w:hint="eastAsia" w:ascii="仿宋" w:hAnsi="仿宋" w:eastAsia="仿宋" w:cs="Times New Roman"/>
                <w:color w:val="auto"/>
                <w:kern w:val="2"/>
                <w:sz w:val="24"/>
                <w:szCs w:val="22"/>
                <w:highlight w:val="none"/>
                <w:lang w:val="en-US" w:eastAsia="zh-CN" w:bidi="ar-SA"/>
              </w:rPr>
            </w:pPr>
            <w:r>
              <w:rPr>
                <w:rFonts w:hint="eastAsia" w:ascii="仿宋" w:hAnsi="仿宋" w:eastAsia="仿宋" w:cs="仿宋"/>
                <w:bCs/>
                <w:color w:val="auto"/>
                <w:sz w:val="24"/>
                <w:highlight w:val="none"/>
              </w:rPr>
              <w:t>向杭州市</w:t>
            </w:r>
            <w:r>
              <w:rPr>
                <w:rFonts w:hint="eastAsia" w:ascii="仿宋" w:hAnsi="仿宋" w:eastAsia="仿宋" w:cs="仿宋"/>
                <w:bCs/>
                <w:color w:val="auto"/>
                <w:sz w:val="24"/>
                <w:highlight w:val="none"/>
                <w:lang w:val="en-US" w:eastAsia="zh-CN"/>
              </w:rPr>
              <w:t>拱墅区</w:t>
            </w:r>
            <w:r>
              <w:rPr>
                <w:rFonts w:hint="eastAsia" w:ascii="仿宋" w:hAnsi="仿宋" w:eastAsia="仿宋" w:cs="仿宋"/>
                <w:bCs/>
                <w:color w:val="auto"/>
                <w:sz w:val="24"/>
                <w:highlight w:val="none"/>
              </w:rPr>
              <w:t>人民法院起诉。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keepNext w:val="0"/>
              <w:keepLines w:val="0"/>
              <w:suppressLineNumbers w:val="0"/>
              <w:spacing w:before="0" w:beforeAutospacing="0" w:after="0" w:afterAutospacing="0" w:line="360" w:lineRule="auto"/>
              <w:ind w:left="0" w:right="0"/>
              <w:rPr>
                <w:rFonts w:hint="eastAsia" w:ascii="仿宋" w:hAnsi="仿宋" w:eastAsia="仿宋" w:cs="仿宋"/>
                <w:color w:val="auto"/>
                <w:sz w:val="24"/>
                <w:highlight w:val="none"/>
              </w:rPr>
            </w:pPr>
            <w:r>
              <w:rPr>
                <w:rFonts w:hint="eastAsia" w:ascii="仿宋" w:hAnsi="仿宋" w:eastAsia="仿宋" w:cs="仿宋"/>
                <w:color w:val="auto"/>
                <w:sz w:val="24"/>
                <w:highlight w:val="none"/>
              </w:rPr>
              <w:t>2.3.2</w:t>
            </w:r>
          </w:p>
        </w:tc>
        <w:tc>
          <w:tcPr>
            <w:tcW w:w="8185" w:type="dxa"/>
            <w:vAlign w:val="center"/>
          </w:tcPr>
          <w:p>
            <w:pPr>
              <w:keepNext w:val="0"/>
              <w:keepLines w:val="0"/>
              <w:suppressLineNumbers w:val="0"/>
              <w:spacing w:before="0" w:beforeAutospacing="0" w:after="0" w:afterAutospacing="0" w:line="360" w:lineRule="auto"/>
              <w:ind w:left="0" w:right="-420" w:rightChars="-200"/>
              <w:rPr>
                <w:rFonts w:hint="eastAsia" w:ascii="仿宋" w:hAnsi="仿宋" w:eastAsia="仿宋" w:cs="Times New Roman"/>
                <w:color w:val="auto"/>
                <w:kern w:val="2"/>
                <w:sz w:val="24"/>
                <w:szCs w:val="22"/>
                <w:highlight w:val="none"/>
                <w:lang w:val="en-US" w:eastAsia="zh-CN" w:bidi="ar-SA"/>
              </w:rPr>
            </w:pPr>
            <w:r>
              <w:rPr>
                <w:rFonts w:hint="eastAsia" w:ascii="仿宋" w:hAnsi="仿宋" w:eastAsia="仿宋"/>
                <w:color w:val="auto"/>
                <w:sz w:val="24"/>
                <w:highlight w:val="none"/>
              </w:rPr>
              <w:t>合同涉及技术成果的归属和收益的分成：成果归属甲方，无收益分成。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keepNext w:val="0"/>
              <w:keepLines w:val="0"/>
              <w:suppressLineNumbers w:val="0"/>
              <w:spacing w:before="0" w:beforeAutospacing="0" w:after="0" w:afterAutospacing="0" w:line="360" w:lineRule="auto"/>
              <w:ind w:left="0" w:right="0"/>
              <w:rPr>
                <w:rFonts w:hint="eastAsia" w:ascii="仿宋" w:hAnsi="仿宋" w:eastAsia="仿宋" w:cs="仿宋"/>
                <w:color w:val="auto"/>
                <w:sz w:val="24"/>
                <w:highlight w:val="none"/>
              </w:rPr>
            </w:pPr>
            <w:r>
              <w:rPr>
                <w:rFonts w:hint="eastAsia" w:ascii="仿宋" w:hAnsi="仿宋" w:eastAsia="仿宋" w:cs="仿宋"/>
                <w:color w:val="auto"/>
                <w:sz w:val="24"/>
                <w:highlight w:val="none"/>
              </w:rPr>
              <w:t>2.4.1</w:t>
            </w:r>
          </w:p>
        </w:tc>
        <w:tc>
          <w:tcPr>
            <w:tcW w:w="8185" w:type="dxa"/>
            <w:vAlign w:val="center"/>
          </w:tcPr>
          <w:p>
            <w:pPr>
              <w:keepNext w:val="0"/>
              <w:keepLines w:val="0"/>
              <w:suppressLineNumbers w:val="0"/>
              <w:spacing w:before="0" w:beforeAutospacing="0" w:after="0" w:afterAutospacing="0" w:line="360" w:lineRule="auto"/>
              <w:ind w:left="0" w:right="0"/>
              <w:rPr>
                <w:rFonts w:hint="eastAsia" w:ascii="仿宋" w:hAnsi="仿宋" w:eastAsia="仿宋" w:cs="Times New Roman"/>
                <w:color w:val="auto"/>
                <w:kern w:val="2"/>
                <w:sz w:val="24"/>
                <w:szCs w:val="22"/>
                <w:highlight w:val="none"/>
                <w:lang w:val="en-US" w:eastAsia="zh-CN" w:bidi="ar-SA"/>
              </w:rPr>
            </w:pPr>
            <w:r>
              <w:rPr>
                <w:rFonts w:hint="eastAsia" w:ascii="仿宋" w:hAnsi="仿宋" w:eastAsia="仿宋"/>
                <w:color w:val="auto"/>
                <w:sz w:val="24"/>
                <w:highlight w:val="none"/>
              </w:rPr>
              <w:t>因不可抗力致使合同有变更必要的，双方当事人应在发生后6小时内以书面形式变更合同；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keepNext w:val="0"/>
              <w:keepLines w:val="0"/>
              <w:suppressLineNumbers w:val="0"/>
              <w:spacing w:before="0" w:beforeAutospacing="0" w:after="0" w:afterAutospacing="0" w:line="360" w:lineRule="auto"/>
              <w:ind w:left="0" w:right="0"/>
              <w:rPr>
                <w:rFonts w:hint="eastAsia" w:ascii="仿宋" w:hAnsi="仿宋" w:eastAsia="仿宋" w:cs="仿宋"/>
                <w:color w:val="auto"/>
                <w:sz w:val="24"/>
                <w:highlight w:val="none"/>
              </w:rPr>
            </w:pPr>
            <w:r>
              <w:rPr>
                <w:rFonts w:hint="eastAsia" w:ascii="仿宋" w:hAnsi="仿宋" w:eastAsia="仿宋" w:cs="仿宋"/>
                <w:color w:val="auto"/>
                <w:sz w:val="24"/>
                <w:highlight w:val="none"/>
              </w:rPr>
              <w:t>2.4.2</w:t>
            </w:r>
          </w:p>
        </w:tc>
        <w:tc>
          <w:tcPr>
            <w:tcW w:w="8185" w:type="dxa"/>
            <w:vAlign w:val="center"/>
          </w:tcPr>
          <w:p>
            <w:pPr>
              <w:keepNext w:val="0"/>
              <w:keepLines w:val="0"/>
              <w:suppressLineNumbers w:val="0"/>
              <w:spacing w:before="0" w:beforeAutospacing="0" w:after="0" w:afterAutospacing="0" w:line="360" w:lineRule="auto"/>
              <w:ind w:left="0" w:right="0"/>
              <w:rPr>
                <w:rFonts w:hint="eastAsia" w:ascii="仿宋" w:hAnsi="仿宋" w:eastAsia="仿宋" w:cs="Times New Roman"/>
                <w:color w:val="auto"/>
                <w:kern w:val="2"/>
                <w:sz w:val="24"/>
                <w:szCs w:val="22"/>
                <w:highlight w:val="none"/>
                <w:lang w:val="en-US" w:eastAsia="zh-CN" w:bidi="ar-SA"/>
              </w:rPr>
            </w:pPr>
            <w:r>
              <w:rPr>
                <w:rFonts w:hint="eastAsia" w:ascii="仿宋" w:hAnsi="仿宋" w:eastAsia="仿宋"/>
                <w:color w:val="auto"/>
                <w:sz w:val="24"/>
                <w:highlight w:val="none"/>
              </w:rPr>
              <w:t>受不可抗力影响的一方在不可抗力发生后，应在发生后6小时内以书面形式通知对方当事人，并在事故发生后14天内，将有关部门出具的证明文件送达对方当事人。如果不可抗力影响时间延续120天以上的，双方应通过友好协商在合理的时间内达成进一步履行合同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keepNext w:val="0"/>
              <w:keepLines w:val="0"/>
              <w:suppressLineNumbers w:val="0"/>
              <w:spacing w:before="0" w:beforeAutospacing="0" w:after="0" w:afterAutospacing="0" w:line="360" w:lineRule="auto"/>
              <w:ind w:left="0" w:right="0"/>
              <w:rPr>
                <w:rFonts w:hint="eastAsia" w:ascii="仿宋" w:hAnsi="仿宋" w:eastAsia="仿宋" w:cs="仿宋"/>
                <w:color w:val="auto"/>
                <w:sz w:val="24"/>
                <w:highlight w:val="none"/>
              </w:rPr>
            </w:pPr>
            <w:r>
              <w:rPr>
                <w:rFonts w:hint="eastAsia" w:ascii="仿宋" w:hAnsi="仿宋" w:eastAsia="仿宋" w:cs="仿宋"/>
                <w:color w:val="auto"/>
                <w:sz w:val="24"/>
                <w:highlight w:val="none"/>
              </w:rPr>
              <w:t>2.6</w:t>
            </w:r>
          </w:p>
        </w:tc>
        <w:tc>
          <w:tcPr>
            <w:tcW w:w="8185" w:type="dxa"/>
          </w:tcPr>
          <w:p>
            <w:pPr>
              <w:keepNext w:val="0"/>
              <w:keepLines w:val="0"/>
              <w:suppressLineNumbers w:val="0"/>
              <w:spacing w:before="0" w:beforeAutospacing="0" w:after="0" w:afterAutospacing="0" w:line="360" w:lineRule="auto"/>
              <w:ind w:left="0" w:right="0"/>
              <w:rPr>
                <w:rFonts w:hint="default"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keepNext w:val="0"/>
              <w:keepLines w:val="0"/>
              <w:suppressLineNumbers w:val="0"/>
              <w:spacing w:before="0" w:beforeAutospacing="0" w:after="0" w:afterAutospacing="0" w:line="360" w:lineRule="auto"/>
              <w:ind w:left="0" w:right="0"/>
              <w:rPr>
                <w:rFonts w:hint="eastAsia" w:ascii="仿宋" w:hAnsi="仿宋" w:eastAsia="仿宋" w:cs="仿宋"/>
                <w:color w:val="auto"/>
                <w:sz w:val="24"/>
                <w:highlight w:val="none"/>
              </w:rPr>
            </w:pPr>
            <w:r>
              <w:rPr>
                <w:rFonts w:hint="eastAsia" w:ascii="仿宋" w:hAnsi="仿宋" w:eastAsia="仿宋" w:cs="仿宋"/>
                <w:color w:val="auto"/>
                <w:sz w:val="24"/>
                <w:highlight w:val="none"/>
              </w:rPr>
              <w:t>2.9</w:t>
            </w:r>
          </w:p>
        </w:tc>
        <w:tc>
          <w:tcPr>
            <w:tcW w:w="8185" w:type="dxa"/>
          </w:tcPr>
          <w:p>
            <w:pPr>
              <w:keepNext w:val="0"/>
              <w:keepLines w:val="0"/>
              <w:suppressLineNumbers w:val="0"/>
              <w:spacing w:before="0" w:beforeAutospacing="0" w:after="0" w:afterAutospacing="0" w:line="360" w:lineRule="auto"/>
              <w:ind w:left="0" w:right="0"/>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keepNext w:val="0"/>
              <w:keepLines w:val="0"/>
              <w:suppressLineNumbers w:val="0"/>
              <w:spacing w:before="0" w:beforeAutospacing="0" w:after="0" w:afterAutospacing="0" w:line="360" w:lineRule="auto"/>
              <w:ind w:left="0" w:right="0"/>
              <w:rPr>
                <w:rFonts w:hint="eastAsia" w:ascii="仿宋" w:hAnsi="仿宋" w:eastAsia="仿宋" w:cs="仿宋"/>
                <w:color w:val="auto"/>
                <w:sz w:val="24"/>
                <w:highlight w:val="none"/>
              </w:rPr>
            </w:pPr>
            <w:r>
              <w:rPr>
                <w:rFonts w:hint="eastAsia" w:ascii="仿宋" w:hAnsi="仿宋" w:eastAsia="仿宋" w:cs="仿宋"/>
                <w:color w:val="auto"/>
                <w:sz w:val="24"/>
                <w:highlight w:val="none"/>
              </w:rPr>
              <w:t>2.13.2</w:t>
            </w:r>
          </w:p>
        </w:tc>
        <w:tc>
          <w:tcPr>
            <w:tcW w:w="8185" w:type="dxa"/>
          </w:tcPr>
          <w:p>
            <w:pPr>
              <w:keepNext w:val="0"/>
              <w:keepLines w:val="0"/>
              <w:suppressLineNumbers w:val="0"/>
              <w:spacing w:before="0" w:beforeAutospacing="0" w:after="0" w:afterAutospacing="0" w:line="360" w:lineRule="auto"/>
              <w:ind w:left="0" w:right="0"/>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keepNext w:val="0"/>
              <w:keepLines w:val="0"/>
              <w:suppressLineNumbers w:val="0"/>
              <w:spacing w:before="0" w:beforeAutospacing="0" w:after="0" w:afterAutospacing="0" w:line="360" w:lineRule="auto"/>
              <w:ind w:left="0" w:right="0"/>
              <w:rPr>
                <w:rFonts w:hint="eastAsia" w:ascii="仿宋" w:hAnsi="仿宋" w:eastAsia="仿宋" w:cs="仿宋"/>
                <w:color w:val="auto"/>
                <w:sz w:val="24"/>
                <w:highlight w:val="none"/>
              </w:rPr>
            </w:pPr>
            <w:r>
              <w:rPr>
                <w:rFonts w:hint="eastAsia" w:ascii="仿宋" w:hAnsi="仿宋" w:eastAsia="仿宋" w:cs="仿宋"/>
                <w:color w:val="auto"/>
                <w:sz w:val="24"/>
                <w:highlight w:val="none"/>
              </w:rPr>
              <w:t>2.13.4</w:t>
            </w:r>
          </w:p>
        </w:tc>
        <w:tc>
          <w:tcPr>
            <w:tcW w:w="8185" w:type="dxa"/>
          </w:tcPr>
          <w:p>
            <w:pPr>
              <w:keepNext w:val="0"/>
              <w:keepLines w:val="0"/>
              <w:suppressLineNumbers w:val="0"/>
              <w:spacing w:before="0" w:beforeAutospacing="0" w:after="0" w:afterAutospacing="0" w:line="360" w:lineRule="auto"/>
              <w:ind w:left="0" w:right="0"/>
              <w:rPr>
                <w:rFonts w:hint="eastAsia" w:ascii="仿宋" w:hAnsi="仿宋" w:eastAsia="仿宋" w:cs="仿宋"/>
                <w:color w:val="auto"/>
                <w:sz w:val="24"/>
                <w:highlight w:val="none"/>
              </w:rPr>
            </w:pPr>
            <w:r>
              <w:rPr>
                <w:rFonts w:hint="eastAsia" w:ascii="仿宋" w:hAnsi="仿宋" w:eastAsia="仿宋"/>
                <w:color w:val="auto"/>
                <w:sz w:val="24"/>
                <w:highlight w:val="none"/>
              </w:rPr>
              <w:t>合同签订后/个工作日内提交履约保证金，金额为合同价的</w:t>
            </w:r>
            <w:r>
              <w:rPr>
                <w:rFonts w:hint="eastAsia" w:ascii="仿宋" w:hAnsi="仿宋" w:eastAsia="仿宋"/>
                <w:color w:val="auto"/>
                <w:sz w:val="24"/>
                <w:highlight w:val="none"/>
                <w:u w:val="single"/>
              </w:rPr>
              <w:t xml:space="preserve"> 1</w:t>
            </w:r>
            <w:r>
              <w:rPr>
                <w:rFonts w:hint="eastAsia" w:ascii="仿宋" w:hAnsi="仿宋" w:eastAsia="仿宋"/>
                <w:color w:val="auto"/>
                <w:sz w:val="24"/>
                <w:highlight w:val="none"/>
              </w:rPr>
              <w:t xml:space="preserve"> %。形式：</w:t>
            </w:r>
            <w:r>
              <w:rPr>
                <w:rFonts w:hint="eastAsia" w:ascii="仿宋" w:hAnsi="仿宋" w:eastAsia="仿宋"/>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keepNext w:val="0"/>
              <w:keepLines w:val="0"/>
              <w:suppressLineNumbers w:val="0"/>
              <w:spacing w:before="0" w:beforeAutospacing="0" w:after="0" w:afterAutospacing="0" w:line="360" w:lineRule="auto"/>
              <w:ind w:left="0" w:right="0"/>
              <w:rPr>
                <w:rFonts w:hint="eastAsia" w:ascii="仿宋" w:hAnsi="仿宋" w:eastAsia="仿宋" w:cs="仿宋"/>
                <w:color w:val="auto"/>
                <w:sz w:val="24"/>
                <w:highlight w:val="none"/>
              </w:rPr>
            </w:pPr>
            <w:r>
              <w:rPr>
                <w:rFonts w:hint="eastAsia" w:ascii="仿宋" w:hAnsi="仿宋" w:eastAsia="仿宋" w:cs="仿宋"/>
                <w:color w:val="auto"/>
                <w:sz w:val="24"/>
                <w:highlight w:val="none"/>
              </w:rPr>
              <w:t>2.17.1</w:t>
            </w:r>
          </w:p>
        </w:tc>
        <w:tc>
          <w:tcPr>
            <w:tcW w:w="8185" w:type="dxa"/>
            <w:vAlign w:val="center"/>
          </w:tcPr>
          <w:p>
            <w:pPr>
              <w:keepNext w:val="0"/>
              <w:keepLines w:val="0"/>
              <w:suppressLineNumbers w:val="0"/>
              <w:spacing w:before="0" w:beforeAutospacing="0" w:after="0" w:afterAutospacing="0" w:line="360" w:lineRule="auto"/>
              <w:ind w:left="0" w:right="0"/>
              <w:rPr>
                <w:rFonts w:hint="default" w:ascii="仿宋" w:hAnsi="仿宋" w:eastAsia="仿宋" w:cs="仿宋"/>
                <w:color w:val="auto"/>
                <w:sz w:val="24"/>
                <w:highlight w:val="none"/>
              </w:rPr>
            </w:pPr>
            <w:r>
              <w:rPr>
                <w:rFonts w:hint="eastAsia" w:ascii="仿宋" w:hAnsi="仿宋" w:eastAsia="仿宋" w:cs="仿宋"/>
                <w:color w:val="auto"/>
                <w:sz w:val="24"/>
                <w:highlight w:val="none"/>
              </w:rPr>
              <w:t>（1）检验和验收标准：①满足采购需求及技术服务的要求，达到甲方考核合格标准；②资金支付及履约保证金返还条件、争议处理、验收费用支付、采购人及供应商各自权利义务等内容按国家，省，市现行规定和合同约定的内容。</w:t>
            </w:r>
          </w:p>
          <w:p>
            <w:pPr>
              <w:keepNext w:val="0"/>
              <w:keepLines w:val="0"/>
              <w:suppressLineNumbers w:val="0"/>
              <w:spacing w:before="0" w:beforeAutospacing="0" w:after="0" w:afterAutospacing="0" w:line="360" w:lineRule="auto"/>
              <w:ind w:left="0" w:right="0"/>
              <w:rPr>
                <w:rFonts w:hint="default" w:ascii="仿宋" w:hAnsi="仿宋" w:eastAsia="仿宋" w:cs="仿宋"/>
                <w:color w:val="auto"/>
                <w:sz w:val="24"/>
                <w:highlight w:val="none"/>
              </w:rPr>
            </w:pPr>
            <w:r>
              <w:rPr>
                <w:rFonts w:hint="eastAsia" w:ascii="仿宋" w:hAnsi="仿宋" w:eastAsia="仿宋" w:cs="仿宋"/>
                <w:color w:val="auto"/>
                <w:sz w:val="24"/>
                <w:highlight w:val="none"/>
              </w:rPr>
              <w:t>（2）验收程序：根据《杭州市政府采购履约验收暂行办法》规定，按照</w:t>
            </w:r>
            <w:r>
              <w:rPr>
                <w:rFonts w:hint="eastAsia" w:ascii="仿宋" w:hAnsi="仿宋" w:eastAsia="仿宋" w:cs="仿宋"/>
                <w:color w:val="auto"/>
                <w:sz w:val="24"/>
                <w:highlight w:val="none"/>
              </w:rPr>
              <w:sym w:font="Wingdings" w:char="00FE"/>
            </w:r>
            <w:r>
              <w:rPr>
                <w:rFonts w:hint="eastAsia" w:ascii="仿宋" w:hAnsi="仿宋" w:eastAsia="仿宋" w:cs="仿宋"/>
                <w:color w:val="auto"/>
                <w:sz w:val="24"/>
                <w:highlight w:val="none"/>
              </w:rPr>
              <w:t>一般程序进行验收，</w:t>
            </w: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简易程序验收。验收方法为</w:t>
            </w:r>
            <w:r>
              <w:rPr>
                <w:rFonts w:hint="eastAsia" w:ascii="仿宋" w:hAnsi="仿宋" w:eastAsia="仿宋" w:cs="仿宋"/>
                <w:color w:val="auto"/>
                <w:sz w:val="24"/>
                <w:highlight w:val="none"/>
              </w:rPr>
              <w:sym w:font="Wingdings" w:char="00FE"/>
            </w:r>
            <w:r>
              <w:rPr>
                <w:rFonts w:hint="eastAsia" w:ascii="仿宋" w:hAnsi="仿宋" w:eastAsia="仿宋" w:cs="仿宋"/>
                <w:color w:val="auto"/>
                <w:sz w:val="24"/>
                <w:highlight w:val="none"/>
              </w:rPr>
              <w:t>一次性验收、</w:t>
            </w: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分段验收、</w:t>
            </w: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分期验收。</w:t>
            </w:r>
          </w:p>
          <w:p>
            <w:pPr>
              <w:keepNext w:val="0"/>
              <w:keepLines w:val="0"/>
              <w:suppressLineNumbers w:val="0"/>
              <w:spacing w:before="0" w:beforeAutospacing="0" w:after="0" w:afterAutospacing="0" w:line="360" w:lineRule="auto"/>
              <w:ind w:left="0" w:right="0"/>
              <w:rPr>
                <w:rFonts w:hint="eastAsia" w:ascii="仿宋" w:hAnsi="仿宋" w:eastAsia="仿宋" w:cs="Times New Roman"/>
                <w:color w:val="auto"/>
                <w:kern w:val="2"/>
                <w:sz w:val="24"/>
                <w:szCs w:val="22"/>
                <w:highlight w:val="none"/>
                <w:lang w:val="en-US" w:eastAsia="zh-CN" w:bidi="ar-SA"/>
              </w:rPr>
            </w:pPr>
            <w:r>
              <w:rPr>
                <w:rFonts w:hint="eastAsia" w:ascii="仿宋" w:hAnsi="仿宋" w:eastAsia="仿宋" w:cs="仿宋"/>
                <w:color w:val="auto"/>
                <w:sz w:val="24"/>
                <w:highlight w:val="none"/>
              </w:rPr>
              <w:t>（3）以上内容以及验收书具有同等法律效力，以上内容有冲突时以较严格的要求为准。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keepNext w:val="0"/>
              <w:keepLines w:val="0"/>
              <w:suppressLineNumbers w:val="0"/>
              <w:spacing w:before="0" w:beforeAutospacing="0" w:after="0" w:afterAutospacing="0" w:line="360" w:lineRule="auto"/>
              <w:ind w:left="0" w:right="0"/>
              <w:rPr>
                <w:rFonts w:hint="eastAsia" w:ascii="仿宋" w:hAnsi="仿宋" w:eastAsia="仿宋" w:cs="仿宋"/>
                <w:color w:val="auto"/>
                <w:sz w:val="24"/>
                <w:highlight w:val="none"/>
              </w:rPr>
            </w:pPr>
            <w:r>
              <w:rPr>
                <w:rFonts w:hint="eastAsia" w:ascii="仿宋" w:hAnsi="仿宋" w:eastAsia="仿宋" w:cs="仿宋"/>
                <w:color w:val="auto"/>
                <w:sz w:val="24"/>
                <w:highlight w:val="none"/>
              </w:rPr>
              <w:t>2.17.3</w:t>
            </w:r>
          </w:p>
        </w:tc>
        <w:tc>
          <w:tcPr>
            <w:tcW w:w="8185" w:type="dxa"/>
            <w:vAlign w:val="center"/>
          </w:tcPr>
          <w:p>
            <w:pPr>
              <w:keepNext w:val="0"/>
              <w:keepLines w:val="0"/>
              <w:suppressLineNumbers w:val="0"/>
              <w:spacing w:before="0" w:beforeAutospacing="0" w:after="0" w:afterAutospacing="0" w:line="360" w:lineRule="auto"/>
              <w:ind w:left="0" w:right="0"/>
              <w:rPr>
                <w:rFonts w:hint="default" w:ascii="仿宋" w:hAnsi="仿宋" w:eastAsia="仿宋" w:cs="Times New Roman"/>
                <w:color w:val="auto"/>
                <w:kern w:val="2"/>
                <w:sz w:val="24"/>
                <w:szCs w:val="22"/>
                <w:highlight w:val="none"/>
                <w:lang w:val="en-US" w:eastAsia="zh-CN" w:bidi="ar-SA"/>
              </w:rPr>
            </w:pPr>
            <w:r>
              <w:rPr>
                <w:rFonts w:hint="eastAsia" w:ascii="仿宋" w:hAnsi="仿宋" w:eastAsia="仿宋" w:cs="Times New Roman"/>
                <w:color w:val="auto"/>
                <w:kern w:val="2"/>
                <w:sz w:val="24"/>
                <w:szCs w:val="22"/>
                <w:highlight w:val="none"/>
                <w:lang w:val="en-US" w:eastAsia="zh-CN" w:bidi="ar-SA"/>
              </w:rPr>
              <w:t>2.17.1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keepNext w:val="0"/>
              <w:keepLines w:val="0"/>
              <w:suppressLineNumbers w:val="0"/>
              <w:spacing w:before="0" w:beforeAutospacing="0" w:after="0" w:afterAutospacing="0" w:line="360" w:lineRule="auto"/>
              <w:ind w:left="0" w:right="0"/>
              <w:rPr>
                <w:rFonts w:hint="eastAsia" w:ascii="仿宋" w:hAnsi="仿宋" w:eastAsia="仿宋" w:cs="仿宋"/>
                <w:color w:val="auto"/>
                <w:sz w:val="24"/>
                <w:highlight w:val="none"/>
              </w:rPr>
            </w:pPr>
            <w:r>
              <w:rPr>
                <w:rFonts w:hint="eastAsia" w:ascii="仿宋" w:hAnsi="仿宋" w:eastAsia="仿宋" w:cs="仿宋"/>
                <w:color w:val="auto"/>
                <w:sz w:val="24"/>
                <w:highlight w:val="none"/>
              </w:rPr>
              <w:t>2.21.1</w:t>
            </w:r>
          </w:p>
        </w:tc>
        <w:tc>
          <w:tcPr>
            <w:tcW w:w="8185" w:type="dxa"/>
          </w:tcPr>
          <w:p>
            <w:pPr>
              <w:keepNext w:val="0"/>
              <w:keepLines w:val="0"/>
              <w:widowControl/>
              <w:suppressLineNumbers w:val="0"/>
              <w:adjustRightInd/>
              <w:spacing w:before="0" w:beforeAutospacing="0" w:after="0" w:afterAutospacing="0"/>
              <w:ind w:left="0" w:right="0"/>
              <w:rPr>
                <w:rFonts w:hint="eastAsia" w:ascii="仿宋" w:hAnsi="仿宋" w:eastAsia="仿宋" w:cs="仿宋"/>
                <w:color w:val="auto"/>
                <w:sz w:val="24"/>
                <w:highlight w:val="none"/>
              </w:rPr>
            </w:pPr>
            <w:r>
              <w:rPr>
                <w:rFonts w:hint="eastAsia" w:ascii="仿宋" w:hAnsi="仿宋" w:eastAsia="仿宋" w:cs="仿宋"/>
                <w:color w:val="auto"/>
                <w:sz w:val="24"/>
                <w:highlight w:val="none"/>
              </w:rPr>
              <w:t>资金支付的方式、时间和条件：</w:t>
            </w:r>
          </w:p>
          <w:p>
            <w:pPr>
              <w:keepNext w:val="0"/>
              <w:keepLines w:val="0"/>
              <w:suppressLineNumbers w:val="0"/>
              <w:snapToGrid w:val="0"/>
              <w:spacing w:before="0" w:beforeAutospacing="0" w:after="0" w:afterAutospacing="0" w:line="360" w:lineRule="auto"/>
              <w:ind w:left="0" w:right="0"/>
              <w:rPr>
                <w:rFonts w:hint="eastAsia" w:ascii="仿宋" w:hAnsi="仿宋" w:eastAsia="仿宋" w:cs="仿宋"/>
                <w:color w:val="auto"/>
                <w:sz w:val="24"/>
                <w:highlight w:val="none"/>
              </w:rPr>
            </w:pPr>
            <w:r>
              <w:rPr>
                <w:rFonts w:hint="eastAsia" w:ascii="仿宋" w:hAnsi="仿宋" w:eastAsia="仿宋" w:cs="仿宋"/>
                <w:color w:val="auto"/>
                <w:sz w:val="24"/>
                <w:highlight w:val="none"/>
              </w:rPr>
              <w:t>在合同生效后7个工作日内，乙方应提交合同价</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%的履约保证金</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即人民币</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，以支票、汇票、本票或者金融机构、担保机构出具的保函等非现金形式；鼓励和支持乙方以银行、保险公司出具的保函形式提供履约保证。</w:t>
            </w:r>
          </w:p>
          <w:p>
            <w:pPr>
              <w:keepNext w:val="0"/>
              <w:keepLines w:val="0"/>
              <w:suppressLineNumbers w:val="0"/>
              <w:snapToGrid w:val="0"/>
              <w:spacing w:before="0" w:beforeAutospacing="0" w:after="0" w:afterAutospacing="0" w:line="360" w:lineRule="auto"/>
              <w:ind w:right="0"/>
              <w:rPr>
                <w:rFonts w:hint="eastAsia" w:ascii="仿宋" w:hAnsi="仿宋" w:eastAsia="仿宋" w:cs="仿宋"/>
                <w:kern w:val="2"/>
                <w:sz w:val="24"/>
                <w:szCs w:val="24"/>
                <w:highlight w:val="yellow"/>
                <w:lang w:val="en-US" w:eastAsia="zh-CN" w:bidi="ar-SA"/>
              </w:rPr>
            </w:pPr>
            <w:r>
              <w:rPr>
                <w:rFonts w:hint="eastAsia" w:ascii="仿宋" w:hAnsi="仿宋" w:eastAsia="仿宋" w:cs="仿宋"/>
                <w:kern w:val="2"/>
                <w:sz w:val="24"/>
                <w:szCs w:val="24"/>
                <w:highlight w:val="yellow"/>
                <w:lang w:val="en-US" w:eastAsia="zh-CN" w:bidi="ar-SA"/>
              </w:rPr>
              <w:t>1）合同生效后7个工作日内支付40%预付款。</w:t>
            </w:r>
          </w:p>
          <w:p>
            <w:pPr>
              <w:pStyle w:val="17"/>
              <w:snapToGrid w:val="0"/>
              <w:spacing w:line="360" w:lineRule="auto"/>
              <w:ind w:left="0" w:leftChars="0" w:firstLine="0" w:firstLineChars="0"/>
              <w:rPr>
                <w:rFonts w:hint="eastAsia" w:ascii="仿宋" w:hAnsi="仿宋" w:eastAsia="仿宋" w:cs="仿宋"/>
                <w:highlight w:val="yellow"/>
              </w:rPr>
            </w:pPr>
            <w:r>
              <w:rPr>
                <w:rFonts w:hint="eastAsia" w:ascii="仿宋" w:hAnsi="仿宋" w:eastAsia="仿宋" w:cs="仿宋"/>
                <w:kern w:val="2"/>
                <w:sz w:val="24"/>
                <w:szCs w:val="24"/>
                <w:highlight w:val="yellow"/>
                <w:lang w:val="en-US" w:eastAsia="zh-CN" w:bidi="ar-SA"/>
              </w:rPr>
              <w:t>2）本项目验收通过并经采购单位确认后于7个工作日内支</w:t>
            </w:r>
            <w:r>
              <w:rPr>
                <w:rFonts w:hint="eastAsia" w:ascii="仿宋" w:hAnsi="仿宋" w:eastAsia="仿宋" w:cs="仿宋"/>
                <w:highlight w:val="yellow"/>
              </w:rPr>
              <w:t>付合同额的50%；</w:t>
            </w:r>
          </w:p>
          <w:p>
            <w:pPr>
              <w:pStyle w:val="17"/>
              <w:snapToGrid w:val="0"/>
              <w:spacing w:line="360" w:lineRule="auto"/>
              <w:ind w:left="0" w:leftChars="0" w:firstLine="0" w:firstLineChars="0"/>
              <w:rPr>
                <w:rFonts w:hint="eastAsia" w:ascii="仿宋" w:hAnsi="仿宋" w:eastAsia="仿宋" w:cs="仿宋"/>
                <w:color w:val="auto"/>
                <w:sz w:val="24"/>
                <w:highlight w:val="none"/>
              </w:rPr>
            </w:pPr>
            <w:r>
              <w:rPr>
                <w:rFonts w:hint="eastAsia" w:ascii="仿宋" w:hAnsi="仿宋" w:eastAsia="仿宋" w:cs="仿宋"/>
                <w:highlight w:val="yellow"/>
                <w:lang w:val="en-US" w:eastAsia="zh-CN"/>
              </w:rPr>
              <w:t>3）</w:t>
            </w:r>
            <w:r>
              <w:rPr>
                <w:rFonts w:hint="eastAsia" w:ascii="仿宋" w:hAnsi="仿宋" w:eastAsia="仿宋" w:cs="仿宋"/>
                <w:highlight w:val="yellow"/>
              </w:rPr>
              <w:t>质保期到期</w:t>
            </w:r>
            <w:r>
              <w:rPr>
                <w:rFonts w:hint="eastAsia" w:ascii="仿宋" w:hAnsi="仿宋" w:eastAsia="仿宋" w:cs="仿宋"/>
                <w:highlight w:val="yellow"/>
                <w:lang w:val="en-US" w:eastAsia="zh-CN"/>
              </w:rPr>
              <w:t>后</w:t>
            </w:r>
            <w:r>
              <w:rPr>
                <w:rFonts w:hint="eastAsia" w:ascii="仿宋" w:hAnsi="仿宋" w:eastAsia="仿宋" w:cs="仿宋"/>
                <w:highlight w:val="yellow"/>
              </w:rPr>
              <w:t>，支付合同额的10%。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keepNext w:val="0"/>
              <w:keepLines w:val="0"/>
              <w:suppressLineNumbers w:val="0"/>
              <w:spacing w:before="0" w:beforeAutospacing="0" w:after="0" w:afterAutospacing="0" w:line="360" w:lineRule="auto"/>
              <w:ind w:left="0" w:right="0"/>
              <w:rPr>
                <w:rFonts w:hint="eastAsia" w:ascii="仿宋" w:hAnsi="仿宋" w:eastAsia="仿宋" w:cs="仿宋"/>
                <w:color w:val="auto"/>
                <w:sz w:val="24"/>
                <w:highlight w:val="none"/>
              </w:rPr>
            </w:pPr>
            <w:r>
              <w:rPr>
                <w:rFonts w:hint="eastAsia" w:ascii="仿宋" w:hAnsi="仿宋" w:eastAsia="仿宋" w:cs="仿宋"/>
                <w:color w:val="auto"/>
                <w:sz w:val="24"/>
                <w:highlight w:val="none"/>
              </w:rPr>
              <w:t>2.21.2</w:t>
            </w:r>
          </w:p>
        </w:tc>
        <w:tc>
          <w:tcPr>
            <w:tcW w:w="8185" w:type="dxa"/>
          </w:tcPr>
          <w:p>
            <w:pPr>
              <w:keepNext w:val="0"/>
              <w:keepLines w:val="0"/>
              <w:suppressLineNumbers w:val="0"/>
              <w:spacing w:before="0" w:beforeAutospacing="0" w:after="0" w:afterAutospacing="0" w:line="360" w:lineRule="auto"/>
              <w:ind w:left="0" w:right="0"/>
              <w:rPr>
                <w:rFonts w:hint="eastAsia" w:ascii="仿宋" w:hAnsi="仿宋" w:eastAsia="仿宋" w:cs="仿宋"/>
                <w:color w:val="auto"/>
                <w:sz w:val="24"/>
                <w:highlight w:val="none"/>
              </w:rPr>
            </w:pPr>
            <w:r>
              <w:rPr>
                <w:rFonts w:hint="eastAsia" w:ascii="仿宋" w:hAnsi="仿宋" w:eastAsia="仿宋"/>
                <w:color w:val="auto"/>
                <w:sz w:val="24"/>
                <w:highlight w:val="none"/>
              </w:rPr>
              <w:t>期限：</w:t>
            </w:r>
            <w:r>
              <w:rPr>
                <w:rFonts w:hint="default" w:ascii="仿宋" w:hAnsi="仿宋" w:eastAsia="仿宋" w:cs="仿宋"/>
                <w:color w:val="auto"/>
                <w:sz w:val="24"/>
                <w:highlight w:val="none"/>
              </w:rPr>
              <w:t>合同签订生效之日起至履约验收通过之日</w:t>
            </w:r>
            <w:r>
              <w:rPr>
                <w:rFonts w:hint="eastAsia" w:ascii="仿宋" w:hAnsi="仿宋" w:eastAsia="仿宋"/>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keepNext w:val="0"/>
              <w:keepLines w:val="0"/>
              <w:suppressLineNumbers w:val="0"/>
              <w:spacing w:before="0" w:beforeAutospacing="0" w:after="0" w:afterAutospacing="0" w:line="360" w:lineRule="auto"/>
              <w:ind w:left="0" w:right="0"/>
              <w:rPr>
                <w:rFonts w:hint="eastAsia" w:ascii="仿宋" w:hAnsi="仿宋" w:eastAsia="仿宋" w:cs="仿宋"/>
                <w:color w:val="auto"/>
                <w:sz w:val="24"/>
                <w:highlight w:val="none"/>
              </w:rPr>
            </w:pPr>
            <w:r>
              <w:rPr>
                <w:rFonts w:hint="eastAsia" w:ascii="仿宋" w:hAnsi="仿宋" w:eastAsia="仿宋" w:cs="仿宋"/>
                <w:color w:val="auto"/>
                <w:sz w:val="24"/>
                <w:highlight w:val="none"/>
              </w:rPr>
              <w:t>2.23</w:t>
            </w:r>
          </w:p>
        </w:tc>
        <w:tc>
          <w:tcPr>
            <w:tcW w:w="8185" w:type="dxa"/>
          </w:tcPr>
          <w:p>
            <w:pPr>
              <w:keepNext w:val="0"/>
              <w:keepLines w:val="0"/>
              <w:suppressLineNumbers w:val="0"/>
              <w:spacing w:before="0" w:beforeAutospacing="0" w:after="0" w:afterAutospacing="0" w:line="360" w:lineRule="auto"/>
              <w:ind w:left="0" w:right="0"/>
              <w:rPr>
                <w:rFonts w:hint="eastAsia" w:ascii="仿宋" w:hAnsi="仿宋" w:eastAsia="仿宋" w:cs="仿宋"/>
                <w:color w:val="auto"/>
                <w:sz w:val="24"/>
                <w:highlight w:val="none"/>
              </w:rPr>
            </w:pPr>
            <w:r>
              <w:rPr>
                <w:rFonts w:hint="eastAsia" w:ascii="仿宋" w:hAnsi="仿宋" w:eastAsia="仿宋"/>
                <w:color w:val="auto"/>
                <w:sz w:val="24"/>
                <w:highlight w:val="none"/>
              </w:rPr>
              <w:t>本合同一式六份，甲方三份，乙方三份。</w:t>
            </w:r>
          </w:p>
        </w:tc>
      </w:tr>
    </w:tbl>
    <w:p>
      <w:pPr>
        <w:spacing w:line="360" w:lineRule="auto"/>
        <w:rPr>
          <w:rFonts w:hint="eastAsia" w:ascii="仿宋" w:hAnsi="仿宋" w:eastAsia="仿宋" w:cs="仿宋"/>
          <w:color w:val="auto"/>
          <w:sz w:val="24"/>
          <w:highlight w:val="none"/>
        </w:rPr>
      </w:pPr>
    </w:p>
    <w:p>
      <w:pPr>
        <w:rPr>
          <w:rFonts w:hint="eastAsia" w:ascii="仿宋" w:hAnsi="仿宋" w:eastAsia="仿宋" w:cs="仿宋"/>
          <w:color w:val="auto"/>
          <w:sz w:val="44"/>
          <w:szCs w:val="44"/>
          <w:highlight w:val="none"/>
        </w:rPr>
      </w:pPr>
      <w:r>
        <w:rPr>
          <w:rFonts w:hint="eastAsia" w:ascii="仿宋" w:hAnsi="仿宋" w:eastAsia="仿宋" w:cs="仿宋"/>
          <w:color w:val="auto"/>
          <w:sz w:val="44"/>
          <w:szCs w:val="44"/>
          <w:highlight w:val="none"/>
        </w:rPr>
        <w:br w:type="page"/>
      </w:r>
    </w:p>
    <w:p>
      <w:pPr>
        <w:rPr>
          <w:rFonts w:ascii="仿宋" w:hAnsi="仿宋" w:eastAsia="仿宋" w:cs="仿宋"/>
          <w:b/>
          <w:sz w:val="24"/>
        </w:rPr>
      </w:pPr>
    </w:p>
    <w:p>
      <w:pPr>
        <w:spacing w:line="360" w:lineRule="auto"/>
        <w:ind w:left="-420" w:leftChars="-200" w:right="-420" w:rightChars="-200" w:firstLine="480" w:firstLineChars="200"/>
        <w:jc w:val="center"/>
        <w:outlineLvl w:val="0"/>
        <w:rPr>
          <w:rFonts w:ascii="仿宋_GB2312" w:hAnsi="仿宋" w:eastAsia="仿宋_GB2312"/>
          <w:sz w:val="24"/>
        </w:rPr>
      </w:pPr>
    </w:p>
    <w:p>
      <w:pPr>
        <w:spacing w:line="360" w:lineRule="auto"/>
        <w:ind w:left="720" w:firstLine="723" w:firstLineChars="200"/>
        <w:outlineLvl w:val="0"/>
        <w:rPr>
          <w:rFonts w:ascii="仿宋_GB2312" w:hAnsi="仿宋" w:eastAsia="仿宋_GB2312" w:cs="仿宋_GB2312"/>
          <w:b/>
          <w:sz w:val="36"/>
          <w:szCs w:val="20"/>
        </w:rPr>
      </w:pPr>
      <w:r>
        <w:rPr>
          <w:rFonts w:hint="eastAsia" w:ascii="仿宋_GB2312" w:hAnsi="仿宋" w:eastAsia="仿宋_GB2312" w:cs="仿宋_GB2312"/>
          <w:b/>
          <w:sz w:val="36"/>
          <w:szCs w:val="20"/>
        </w:rPr>
        <w:t>第六部分</w:t>
      </w:r>
      <w:bookmarkEnd w:id="407"/>
      <w:r>
        <w:rPr>
          <w:rFonts w:hint="eastAsia" w:ascii="仿宋_GB2312" w:hAnsi="仿宋" w:eastAsia="仿宋_GB2312" w:cs="仿宋_GB2312"/>
          <w:b/>
          <w:sz w:val="36"/>
          <w:szCs w:val="20"/>
        </w:rPr>
        <w:t xml:space="preserve"> </w:t>
      </w:r>
      <w:bookmarkEnd w:id="408"/>
      <w:r>
        <w:rPr>
          <w:rFonts w:hint="eastAsia" w:ascii="仿宋_GB2312" w:hAnsi="仿宋" w:eastAsia="仿宋_GB2312"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（1）符合参加政府采购活动应当具备的一般条件的承诺函……………（页码）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（2）落实政府采购政策需满足的资格要求………………………………（页码）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（3）本项目的特定资格要求………………………………………………（页码）</w:t>
      </w: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kern w:val="0"/>
          <w:sz w:val="24"/>
        </w:rPr>
        <w:br w:type="page"/>
      </w:r>
      <w:r>
        <w:rPr>
          <w:rFonts w:hint="eastAsia" w:ascii="仿宋_GB2312" w:hAnsi="仿宋" w:eastAsia="仿宋_GB2312" w:cs="仿宋_GB2312"/>
          <w:b/>
          <w:kern w:val="0"/>
          <w:sz w:val="32"/>
          <w:szCs w:val="32"/>
        </w:rPr>
        <w:t xml:space="preserve">  一、符合参加政府采购活动应当具备的一般条件的承诺函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sz w:val="24"/>
        </w:rPr>
        <w:t>（一</w:t>
      </w:r>
      <w:r>
        <w:rPr>
          <w:rFonts w:hint="eastAsia" w:ascii="仿宋_GB2312" w:hAnsi="仿宋" w:eastAsia="仿宋_GB2312" w:cs="仿宋_GB2312"/>
          <w:color w:val="000000" w:themeColor="text1"/>
          <w:sz w:val="24"/>
          <w14:textFill>
            <w14:solidFill>
              <w14:schemeClr w14:val="tx1"/>
            </w14:solidFill>
          </w14:textFill>
        </w:rPr>
        <w:t>）具备《中华人民共和国政府采购法》第二十二条第一款规定的条件：</w:t>
      </w:r>
    </w:p>
    <w:p>
      <w:pPr>
        <w:snapToGri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1、具有独立承担民事责任的能力，营业执照（复印件）；</w:t>
      </w:r>
    </w:p>
    <w:p>
      <w:pPr>
        <w:snapToGrid w:val="0"/>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2、具有良好的商业信誉和健全的财务会计制度；</w:t>
      </w:r>
    </w:p>
    <w:p>
      <w:pPr>
        <w:snapToGrid w:val="0"/>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3、具有履行合同所必需的场地、设备和专业技术能力；</w:t>
      </w:r>
    </w:p>
    <w:p>
      <w:pPr>
        <w:snapToGrid w:val="0"/>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4、有依法缴纳税收和社会保障资金的良好记录；</w:t>
      </w:r>
    </w:p>
    <w:p>
      <w:pPr>
        <w:snapToGrid w:val="0"/>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5、参加本次政府采购活动前三年内，在经营活动中没有重大违法记录（没有因违法经营受到刑事处罚，没有被责令停产停业、被吊销许可证或者执照、被处以较大数额罚款等行政处罚，没有因违法经营被禁止参加政府采购活动的期限未满情形）；</w:t>
      </w:r>
    </w:p>
    <w:p>
      <w:pPr>
        <w:snapToGrid w:val="0"/>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6、</w:t>
      </w:r>
      <w:r>
        <w:rPr>
          <w:rFonts w:ascii="仿宋_GB2312" w:hAnsi="仿宋" w:eastAsia="仿宋_GB2312"/>
          <w:color w:val="000000" w:themeColor="text1"/>
          <w:sz w:val="24"/>
          <w14:textFill>
            <w14:solidFill>
              <w14:schemeClr w14:val="tx1"/>
            </w14:solidFill>
          </w14:textFill>
        </w:rPr>
        <w:t>具有法律、行政法规规定的其他条件。</w:t>
      </w:r>
    </w:p>
    <w:p>
      <w:pPr>
        <w:snapToGrid w:val="0"/>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（二）未被信用中国（</w:t>
      </w:r>
      <w:r>
        <w:rPr>
          <w:rFonts w:ascii="仿宋_GB2312" w:hAnsi="仿宋" w:eastAsia="仿宋_GB2312"/>
          <w:color w:val="000000" w:themeColor="text1"/>
          <w:sz w:val="24"/>
          <w14:textFill>
            <w14:solidFill>
              <w14:schemeClr w14:val="tx1"/>
            </w14:solidFill>
          </w14:textFill>
        </w:rPr>
        <w:t>www.creditchina.gov.cn)、中国政府采购网（www.ccgp.gov.cn）列入失信被执行人</w:t>
      </w:r>
      <w:r>
        <w:rPr>
          <w:rFonts w:hint="eastAsia" w:ascii="仿宋_GB2312" w:hAnsi="仿宋" w:eastAsia="仿宋_GB2312"/>
          <w:color w:val="000000" w:themeColor="text1"/>
          <w:sz w:val="24"/>
          <w14:textFill>
            <w14:solidFill>
              <w14:schemeClr w14:val="tx1"/>
            </w14:solidFill>
          </w14:textFill>
        </w:rPr>
        <w:t>名单</w:t>
      </w:r>
      <w:r>
        <w:rPr>
          <w:rFonts w:ascii="仿宋_GB2312" w:hAnsi="仿宋" w:eastAsia="仿宋_GB2312"/>
          <w:color w:val="000000" w:themeColor="text1"/>
          <w:sz w:val="24"/>
          <w14:textFill>
            <w14:solidFill>
              <w14:schemeClr w14:val="tx1"/>
            </w14:solidFill>
          </w14:textFill>
        </w:rPr>
        <w:t>、重大税收违法案件当事人名单、政府采购严重违法失信行为记录名单。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rPr>
        <w:t>5</w:t>
      </w:r>
      <w:r>
        <w:rPr>
          <w:rFonts w:hint="eastAsia" w:ascii="仿宋_GB2312" w:hAnsi="仿宋" w:eastAsia="仿宋_GB2312" w:cs="仿宋_GB2312"/>
          <w:sz w:val="24"/>
        </w:rPr>
        <w:t>）。</w:t>
      </w:r>
    </w:p>
    <w:p>
      <w:pPr>
        <w:widowControl/>
        <w:spacing w:line="360" w:lineRule="auto"/>
        <w:ind w:firstLine="480"/>
        <w:jc w:val="left"/>
        <w:rPr>
          <w:rFonts w:ascii="仿宋_GB2312" w:hAnsi="宋体" w:eastAsia="仿宋_GB2312"/>
          <w:sz w:val="24"/>
        </w:rPr>
      </w:pPr>
    </w:p>
    <w:p>
      <w:pPr>
        <w:widowControl/>
        <w:numPr>
          <w:ilvl w:val="0"/>
          <w:numId w:val="5"/>
        </w:numPr>
        <w:spacing w:line="360" w:lineRule="auto"/>
        <w:ind w:firstLine="470" w:firstLineChars="196"/>
        <w:jc w:val="left"/>
        <w:rPr>
          <w:rFonts w:ascii="仿宋_GB2312" w:hAnsi="仿宋" w:eastAsia="仿宋_GB2312" w:cs="仿宋_GB2312"/>
          <w:sz w:val="24"/>
        </w:rPr>
      </w:pPr>
      <w:r>
        <w:rPr>
          <w:rFonts w:hint="eastAsia" w:ascii="仿宋_GB2312" w:hAnsi="仿宋" w:eastAsia="仿宋_GB2312" w:cs="仿宋_GB2312"/>
          <w:sz w:val="24"/>
        </w:rPr>
        <w:t>要求以联合体形式参加的，提供联合协议和中小企业声明函（附件</w:t>
      </w:r>
      <w:r>
        <w:rPr>
          <w:rFonts w:ascii="仿宋_GB2312" w:hAnsi="仿宋" w:eastAsia="仿宋_GB2312" w:cs="仿宋_GB2312"/>
          <w:sz w:val="24"/>
        </w:rPr>
        <w:t>5</w:t>
      </w:r>
      <w:r>
        <w:rPr>
          <w:rFonts w:hint="eastAsia" w:ascii="仿宋_GB2312" w:hAnsi="仿宋" w:eastAsia="仿宋_GB2312" w:cs="仿宋_GB2312"/>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pacing w:line="360" w:lineRule="auto"/>
        <w:jc w:val="center"/>
        <w:rPr>
          <w:rFonts w:ascii="仿宋" w:hAnsi="仿宋" w:eastAsia="仿宋" w:cs="仿宋"/>
          <w:b/>
          <w:sz w:val="32"/>
          <w:szCs w:val="32"/>
        </w:rPr>
      </w:pPr>
      <w:r>
        <w:rPr>
          <w:rFonts w:hint="eastAsia" w:ascii="仿宋" w:hAnsi="仿宋" w:eastAsia="仿宋" w:cs="仿宋"/>
          <w:b/>
          <w:sz w:val="32"/>
          <w:szCs w:val="32"/>
        </w:rPr>
        <w:t>中小企业声明函（服务）</w:t>
      </w:r>
    </w:p>
    <w:p>
      <w:pPr>
        <w:spacing w:line="360" w:lineRule="auto"/>
        <w:rPr>
          <w:rFonts w:ascii="仿宋" w:hAnsi="仿宋" w:eastAsia="仿宋" w:cs="仿宋"/>
        </w:rPr>
      </w:pPr>
    </w:p>
    <w:p>
      <w:pPr>
        <w:spacing w:line="360" w:lineRule="auto"/>
        <w:ind w:firstLine="360" w:firstLineChars="150"/>
        <w:jc w:val="left"/>
        <w:rPr>
          <w:rFonts w:ascii="仿宋" w:hAnsi="仿宋" w:eastAsia="仿宋" w:cs="仿宋"/>
          <w:sz w:val="24"/>
        </w:rPr>
      </w:pPr>
      <w:r>
        <w:rPr>
          <w:rFonts w:hint="eastAsia" w:ascii="仿宋" w:hAnsi="仿宋" w:eastAsia="仿宋" w:cs="仿宋"/>
          <w:sz w:val="24"/>
        </w:rPr>
        <w:t>本公司（联合体）郑重声明，根据《政府采购促进中小企业发展管理办法》（财库﹝2020﹞46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u w:val="single"/>
        </w:rPr>
        <w:t>（标的名称）</w:t>
      </w:r>
      <w:r>
        <w:rPr>
          <w:rFonts w:hint="eastAsia" w:ascii="仿宋" w:hAnsi="仿宋" w:eastAsia="仿宋" w:cs="仿宋"/>
          <w:sz w:val="24"/>
        </w:rPr>
        <w:t>，属于</w:t>
      </w:r>
      <w:r>
        <w:rPr>
          <w:rFonts w:hint="eastAsia" w:ascii="仿宋" w:hAnsi="仿宋" w:eastAsia="仿宋" w:cs="仿宋"/>
          <w:sz w:val="24"/>
          <w:u w:val="single"/>
        </w:rPr>
        <w:t>（采购文件中明确的所属行业）</w:t>
      </w:r>
      <w:r>
        <w:rPr>
          <w:rFonts w:hint="eastAsia" w:ascii="仿宋" w:hAnsi="仿宋" w:eastAsia="仿宋" w:cs="仿宋"/>
          <w:sz w:val="24"/>
        </w:rPr>
        <w:t>；承建（承接）企业为</w:t>
      </w:r>
      <w:r>
        <w:rPr>
          <w:rFonts w:hint="eastAsia" w:ascii="仿宋" w:hAnsi="仿宋" w:eastAsia="仿宋" w:cs="仿宋"/>
          <w:sz w:val="24"/>
          <w:u w:val="single"/>
        </w:rPr>
        <w:t>（企业名称）</w:t>
      </w:r>
      <w:r>
        <w:rPr>
          <w:rFonts w:hint="eastAsia" w:ascii="仿宋" w:hAnsi="仿宋" w:eastAsia="仿宋" w:cs="仿宋"/>
          <w:sz w:val="24"/>
        </w:rPr>
        <w:t>，从业人员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（中型企业、小型企业、微型企业）</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u w:val="single"/>
        </w:rPr>
        <w:t>（标的名称）</w:t>
      </w:r>
      <w:r>
        <w:rPr>
          <w:rFonts w:hint="eastAsia" w:ascii="仿宋" w:hAnsi="仿宋" w:eastAsia="仿宋" w:cs="仿宋"/>
          <w:sz w:val="24"/>
        </w:rPr>
        <w:t>，属于</w:t>
      </w:r>
      <w:r>
        <w:rPr>
          <w:rFonts w:hint="eastAsia" w:ascii="仿宋" w:hAnsi="仿宋" w:eastAsia="仿宋" w:cs="仿宋"/>
          <w:sz w:val="24"/>
          <w:u w:val="single"/>
        </w:rPr>
        <w:t>（采购文件中明确的所属行业）</w:t>
      </w:r>
      <w:r>
        <w:rPr>
          <w:rFonts w:hint="eastAsia" w:ascii="仿宋" w:hAnsi="仿宋" w:eastAsia="仿宋" w:cs="仿宋"/>
          <w:sz w:val="24"/>
        </w:rPr>
        <w:t>；承建（承接）企业为</w:t>
      </w:r>
      <w:r>
        <w:rPr>
          <w:rFonts w:hint="eastAsia" w:ascii="仿宋" w:hAnsi="仿宋" w:eastAsia="仿宋" w:cs="仿宋"/>
          <w:sz w:val="24"/>
          <w:u w:val="single"/>
        </w:rPr>
        <w:t>（企业名称）</w:t>
      </w:r>
      <w:r>
        <w:rPr>
          <w:rFonts w:hint="eastAsia" w:ascii="仿宋" w:hAnsi="仿宋" w:eastAsia="仿宋" w:cs="仿宋"/>
          <w:sz w:val="24"/>
        </w:rPr>
        <w:t>，从业人员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（中型企业、小型企业、微型企业）</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pacing w:line="360" w:lineRule="auto"/>
        <w:ind w:right="1760"/>
        <w:jc w:val="right"/>
        <w:rPr>
          <w:rFonts w:ascii="仿宋" w:hAnsi="仿宋" w:eastAsia="仿宋" w:cs="仿宋"/>
          <w:sz w:val="24"/>
        </w:rPr>
      </w:pPr>
      <w:r>
        <w:rPr>
          <w:rFonts w:hint="eastAsia" w:ascii="仿宋" w:hAnsi="仿宋" w:eastAsia="仿宋" w:cs="仿宋"/>
          <w:sz w:val="24"/>
        </w:rPr>
        <w:t>投标人名称（电子签名）：</w:t>
      </w:r>
    </w:p>
    <w:p>
      <w:pPr>
        <w:spacing w:line="360" w:lineRule="auto"/>
        <w:ind w:right="1120" w:firstLine="4680" w:firstLineChars="1950"/>
        <w:rPr>
          <w:rFonts w:ascii="仿宋" w:hAnsi="仿宋" w:eastAsia="仿宋" w:cs="仿宋"/>
          <w:sz w:val="24"/>
        </w:rPr>
      </w:pPr>
      <w:r>
        <w:rPr>
          <w:rFonts w:hint="eastAsia" w:ascii="仿宋" w:hAnsi="仿宋" w:eastAsia="仿宋" w:cs="仿宋"/>
          <w:sz w:val="24"/>
        </w:rPr>
        <w:t>日期：</w:t>
      </w:r>
    </w:p>
    <w:p>
      <w:pPr>
        <w:spacing w:line="360" w:lineRule="auto"/>
        <w:ind w:firstLine="310" w:firstLineChars="147"/>
        <w:jc w:val="left"/>
        <w:rPr>
          <w:rFonts w:ascii="仿宋" w:hAnsi="仿宋" w:eastAsia="仿宋" w:cs="仿宋"/>
          <w:b/>
          <w:szCs w:val="21"/>
        </w:rPr>
      </w:pPr>
      <w:r>
        <w:rPr>
          <w:rFonts w:hint="eastAsia" w:ascii="仿宋" w:hAnsi="仿宋" w:eastAsia="仿宋" w:cs="仿宋"/>
          <w:b/>
          <w:szCs w:val="21"/>
        </w:rPr>
        <w:t>从业人员、营业收入、资产总额填报上一年度数据，无上一年度数据的新成立企业可不填报。</w:t>
      </w:r>
    </w:p>
    <w:p>
      <w:pPr>
        <w:spacing w:line="360" w:lineRule="auto"/>
        <w:ind w:right="420"/>
        <w:rPr>
          <w:rFonts w:ascii="仿宋" w:hAnsi="仿宋" w:eastAsia="仿宋" w:cs="仿宋"/>
          <w:sz w:val="24"/>
        </w:rPr>
      </w:pPr>
    </w:p>
    <w:p>
      <w:pPr>
        <w:spacing w:line="360" w:lineRule="auto"/>
        <w:ind w:right="420"/>
        <w:rPr>
          <w:rFonts w:ascii="仿宋" w:hAnsi="仿宋" w:eastAsia="仿宋" w:cs="仿宋"/>
          <w:sz w:val="24"/>
        </w:rPr>
      </w:pPr>
      <w:r>
        <w:rPr>
          <w:rFonts w:hint="eastAsia" w:ascii="仿宋" w:hAnsi="仿宋" w:eastAsia="仿宋" w:cs="仿宋"/>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5"/>
        <w:rPr>
          <w:rFonts w:ascii="仿宋" w:hAnsi="仿宋" w:eastAsia="仿宋" w:cs="仿宋"/>
        </w:rPr>
      </w:pPr>
    </w:p>
    <w:p>
      <w:pPr>
        <w:pStyle w:val="62"/>
        <w:ind w:left="840" w:leftChars="400" w:firstLine="0" w:firstLineChars="0"/>
      </w:pPr>
    </w:p>
    <w:p>
      <w:pPr>
        <w:snapToGrid w:val="0"/>
        <w:spacing w:before="50" w:after="50" w:line="360" w:lineRule="auto"/>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联合协议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授权代表根据招标文件规定及投标内容而对采购人、采购机构所作的任何合法承诺，包括书面澄清及响应等均对联合投标各方产生约束力。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firstLine="480" w:firstLineChars="200"/>
        <w:rPr>
          <w:rFonts w:ascii="仿宋_GB2312" w:hAnsi="仿宋" w:eastAsia="仿宋_GB2312" w:cs="仿宋_GB2312"/>
          <w:sz w:val="24"/>
        </w:rPr>
      </w:pPr>
    </w:p>
    <w:p>
      <w:pPr>
        <w:spacing w:line="360" w:lineRule="auto"/>
        <w:ind w:firstLine="482" w:firstLineChars="200"/>
        <w:rPr>
          <w:rFonts w:ascii="仿宋" w:hAnsi="仿宋" w:eastAsia="仿宋"/>
          <w:sz w:val="24"/>
        </w:rPr>
      </w:pPr>
      <w:r>
        <w:rPr>
          <w:rFonts w:ascii="仿宋_GB2312" w:hAnsi="仿宋" w:eastAsia="仿宋_GB2312" w:cs="仿宋_GB2312"/>
          <w:b/>
          <w:sz w:val="24"/>
        </w:rPr>
        <w:t>C、</w:t>
      </w:r>
      <w:r>
        <w:rPr>
          <w:rFonts w:hint="eastAsia" w:ascii="仿宋_GB2312" w:hAnsi="仿宋" w:eastAsia="仿宋_GB2312" w:cs="仿宋_GB2312"/>
          <w:sz w:val="24"/>
        </w:rPr>
        <w:t>要求合同分包的，提供分包意向协议和中小企业声明函（附件</w:t>
      </w:r>
      <w:r>
        <w:rPr>
          <w:rFonts w:ascii="仿宋_GB2312" w:hAnsi="仿宋" w:eastAsia="仿宋_GB2312" w:cs="仿宋_GB2312"/>
          <w:sz w:val="24"/>
        </w:rPr>
        <w:t>5</w:t>
      </w:r>
      <w:r>
        <w:rPr>
          <w:rFonts w:hint="eastAsia" w:ascii="仿宋_GB2312" w:hAnsi="仿宋" w:eastAsia="仿宋_GB2312" w:cs="仿宋_GB2312"/>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XX工作内容</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4"/>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left="5758" w:leftChars="342" w:hanging="5040" w:hangingChars="2100"/>
        <w:rPr>
          <w:rFonts w:ascii="仿宋_GB2312" w:hAnsi="仿宋" w:eastAsia="仿宋_GB2312" w:cs="仿宋_GB2312"/>
          <w:kern w:val="0"/>
          <w:sz w:val="24"/>
          <w:lang w:val="zh-CN"/>
        </w:rPr>
      </w:pP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ascii="仿宋_GB2312" w:hAnsi="仿宋" w:eastAsia="仿宋_GB2312" w:cs="仿宋_GB2312"/>
          <w:kern w:val="0"/>
          <w:sz w:val="24"/>
          <w:lang w:val="zh-CN"/>
        </w:rPr>
        <w:t>。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pacing w:line="360" w:lineRule="auto"/>
        <w:ind w:right="420"/>
        <w:jc w:val="center"/>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3）联合协议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4）分包意向协议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5）符合性审查资料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6）评标标准相应的商务技术资料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7）商务技术偏离表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4.1在收到中标通知书后，在中标通知书规定的期限内与你方签订合同；</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4.2在签订合同时不向你方提出附加条件；</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4.3按照招标文件要求提交履约保证金；</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4.4在合同约定的期限内完成合同规定的全部义务。</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autoSpaceDE w:val="0"/>
        <w:autoSpaceDN w:val="0"/>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kern w:val="0"/>
          <w:sz w:val="32"/>
          <w:szCs w:val="32"/>
          <w:lang w:val="zh-CN"/>
          <w14:textFill>
            <w14:solidFill>
              <w14:schemeClr w14:val="tx1"/>
            </w14:solidFill>
          </w14:textFill>
        </w:rPr>
        <w:t>法定代表人、单位负责人或自然人本人</w:t>
      </w:r>
      <w:r>
        <w:rPr>
          <w:rFonts w:hint="eastAsia" w:ascii="仿宋_GB2312" w:hAnsi="仿宋" w:eastAsia="仿宋_GB2312" w:cs="仿宋_GB2312"/>
          <w:b/>
          <w:color w:val="000000" w:themeColor="text1"/>
          <w:sz w:val="30"/>
          <w:szCs w:val="30"/>
          <w14:textFill>
            <w14:solidFill>
              <w14:schemeClr w14:val="tx1"/>
            </w14:solidFill>
          </w14:textFill>
        </w:rPr>
        <w:t>的身份证明（适用于法定代表人、单位负责人或者自然人本人代表投标人参加投标）</w:t>
      </w:r>
    </w:p>
    <w:p>
      <w:pPr>
        <w:pStyle w:val="149"/>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9"/>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149"/>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pStyle w:val="4"/>
        <w:rPr>
          <w:rFonts w:cs="仿宋_GB2312"/>
          <w:kern w:val="0"/>
        </w:rPr>
      </w:pPr>
    </w:p>
    <w:p>
      <w:pPr>
        <w:rPr>
          <w:rFonts w:ascii="仿宋_GB2312" w:hAnsi="仿宋" w:eastAsia="仿宋_GB2312" w:cs="仿宋_GB2312"/>
          <w:b/>
          <w:kern w:val="0"/>
          <w:sz w:val="32"/>
          <w:szCs w:val="32"/>
        </w:rPr>
      </w:pPr>
    </w:p>
    <w:p>
      <w:pPr>
        <w:pStyle w:val="4"/>
        <w:rPr>
          <w:rFonts w:cs="仿宋_GB2312"/>
          <w:kern w:val="0"/>
        </w:rPr>
      </w:pPr>
    </w:p>
    <w:p/>
    <w:p>
      <w:pPr>
        <w:jc w:val="center"/>
        <w:rPr>
          <w:rFonts w:ascii="仿宋_GB2312" w:hAnsi="仿宋" w:eastAsia="仿宋_GB2312" w:cs="仿宋_GB2312"/>
          <w:b/>
          <w:kern w:val="0"/>
          <w:sz w:val="32"/>
          <w:szCs w:val="32"/>
        </w:rPr>
      </w:pPr>
    </w:p>
    <w:p>
      <w:pPr>
        <w:autoSpaceDE w:val="0"/>
        <w:autoSpaceDN w:val="0"/>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kern w:val="0"/>
          <w:sz w:val="32"/>
          <w:szCs w:val="32"/>
          <w:lang w:val="zh-CN"/>
          <w14:textFill>
            <w14:solidFill>
              <w14:schemeClr w14:val="tx1"/>
            </w14:solidFill>
          </w14:textFill>
        </w:rPr>
        <w:t>法定代表人、单位负责人或自然人本人和受委托人</w:t>
      </w:r>
      <w:r>
        <w:rPr>
          <w:rFonts w:hint="eastAsia" w:ascii="仿宋_GB2312" w:hAnsi="仿宋" w:eastAsia="仿宋_GB2312" w:cs="仿宋_GB2312"/>
          <w:b/>
          <w:color w:val="000000" w:themeColor="text1"/>
          <w:sz w:val="30"/>
          <w:szCs w:val="30"/>
          <w14:textFill>
            <w14:solidFill>
              <w14:schemeClr w14:val="tx1"/>
            </w14:solidFill>
          </w14:textFill>
        </w:rPr>
        <w:t>的身份证明（适用于法定代表人、单位负责人或者自然人本人委托他人代表投标人参加投标）</w:t>
      </w:r>
    </w:p>
    <w:p>
      <w:pPr>
        <w:pStyle w:val="149"/>
        <w:spacing w:line="360" w:lineRule="auto"/>
        <w:rPr>
          <w:rFonts w:ascii="仿宋_GB2312" w:hAnsi="仿宋" w:eastAsia="仿宋_GB2312"/>
          <w:bCs/>
          <w:sz w:val="24"/>
        </w:rPr>
      </w:pPr>
      <w:r>
        <w:rPr>
          <w:rFonts w:hint="eastAsia" w:ascii="仿宋_GB2312" w:hAnsi="仿宋" w:eastAsia="仿宋_GB2312"/>
          <w:bCs/>
          <w:sz w:val="24"/>
        </w:rPr>
        <w:t>委托人身份证件扫描件：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9"/>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149"/>
              <w:adjustRightInd w:val="0"/>
              <w:spacing w:line="360" w:lineRule="auto"/>
              <w:rPr>
                <w:rFonts w:ascii="仿宋_GB2312" w:hAnsi="仿宋" w:eastAsia="仿宋_GB2312"/>
                <w:bCs/>
                <w:sz w:val="24"/>
              </w:rPr>
            </w:pPr>
          </w:p>
        </w:tc>
      </w:tr>
    </w:tbl>
    <w:p>
      <w:pPr>
        <w:pStyle w:val="149"/>
        <w:spacing w:line="360" w:lineRule="auto"/>
        <w:rPr>
          <w:rFonts w:ascii="仿宋_GB2312" w:hAnsi="仿宋" w:eastAsia="仿宋_GB2312"/>
          <w:bCs/>
          <w:sz w:val="24"/>
        </w:rPr>
      </w:pPr>
      <w:r>
        <w:rPr>
          <w:rFonts w:ascii="仿宋_GB2312" w:hAnsi="仿宋" w:eastAsia="仿宋_GB2312" w:cs="仿宋_GB2312"/>
          <w:kern w:val="0"/>
          <w:sz w:val="24"/>
          <w:lang w:val="zh-CN"/>
        </w:rPr>
        <w:t>受委托人</w:t>
      </w:r>
      <w:r>
        <w:rPr>
          <w:rFonts w:hint="eastAsia" w:ascii="仿宋_GB2312" w:hAnsi="仿宋" w:eastAsia="仿宋_GB2312"/>
          <w:bCs/>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149"/>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149"/>
              <w:adjustRightInd w:val="0"/>
              <w:spacing w:line="360" w:lineRule="auto"/>
              <w:rPr>
                <w:rFonts w:ascii="仿宋_GB2312" w:hAnsi="仿宋" w:eastAsia="仿宋_GB2312"/>
                <w:bCs/>
                <w:sz w:val="24"/>
              </w:rPr>
            </w:pPr>
          </w:p>
        </w:tc>
      </w:tr>
    </w:tbl>
    <w:p>
      <w:pPr>
        <w:snapToGrid w:val="0"/>
        <w:spacing w:line="360" w:lineRule="auto"/>
        <w:ind w:firstLine="3600" w:firstLineChars="1500"/>
        <w:rPr>
          <w:rFonts w:ascii="仿宋_GB2312" w:hAnsi="仿宋" w:eastAsia="仿宋_GB2312" w:cs="仿宋_GB2312"/>
          <w:kern w:val="0"/>
          <w:sz w:val="24"/>
          <w:lang w:val="zh-CN"/>
        </w:rPr>
      </w:pPr>
      <w:r>
        <w:rPr>
          <w:rFonts w:hint="eastAsia" w:ascii="仿宋_GB2312" w:hAnsi="仿宋" w:eastAsia="仿宋_GB2312" w:cs="仿宋_GB2312"/>
          <w:kern w:val="0"/>
          <w:sz w:val="24"/>
        </w:rPr>
        <w:t>投</w:t>
      </w:r>
      <w:r>
        <w:rPr>
          <w:rFonts w:ascii="仿宋_GB2312" w:hAnsi="仿宋" w:eastAsia="仿宋_GB2312" w:cs="仿宋_GB2312"/>
          <w:kern w:val="0"/>
          <w:sz w:val="24"/>
          <w:lang w:val="zh-CN"/>
        </w:rPr>
        <w:t>标人名称(电子签名)：</w:t>
      </w:r>
    </w:p>
    <w:p>
      <w:pPr>
        <w:spacing w:line="360" w:lineRule="auto"/>
        <w:jc w:val="center"/>
        <w:rPr>
          <w:rFonts w:ascii="仿宋_GB2312" w:hAnsi="仿宋" w:eastAsia="仿宋_GB2312" w:cs="仿宋_GB2312"/>
          <w:kern w:val="0"/>
          <w:sz w:val="24"/>
          <w:lang w:val="zh-CN"/>
        </w:rPr>
      </w:pPr>
      <w:r>
        <w:rPr>
          <w:rFonts w:hint="eastAsia" w:ascii="仿宋_GB2312" w:hAnsi="仿宋" w:eastAsia="仿宋_GB2312" w:cs="仿宋_GB2312"/>
          <w:kern w:val="0"/>
          <w:sz w:val="24"/>
        </w:rPr>
        <w:t xml:space="preserve"> </w:t>
      </w:r>
      <w:r>
        <w:rPr>
          <w:rFonts w:ascii="仿宋_GB2312" w:hAnsi="仿宋" w:eastAsia="仿宋_GB2312" w:cs="仿宋_GB2312"/>
          <w:kern w:val="0"/>
          <w:sz w:val="24"/>
          <w:lang w:val="zh-CN"/>
        </w:rPr>
        <w:t>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授权代表根据招标文件规定及投标内容而对采购人、采购机构所作的任何合法承诺，包括书面澄清及响应等均对联合投标各方产生约束力。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w:t>
      </w:r>
      <w:r>
        <w:rPr>
          <w:rFonts w:hint="eastAsia" w:ascii="仿宋_GB2312" w:hAnsi="仿宋" w:eastAsia="仿宋_GB2312" w:cs="仿宋_GB2312"/>
          <w:b/>
          <w:bCs/>
          <w:kern w:val="0"/>
          <w:sz w:val="24"/>
          <w:u w:val="single"/>
        </w:rPr>
        <w:t>全部</w:t>
      </w:r>
      <w:r>
        <w:rPr>
          <w:rFonts w:hint="eastAsia" w:ascii="仿宋_GB2312" w:hAnsi="仿宋" w:eastAsia="仿宋_GB2312"/>
          <w:b/>
          <w:bCs/>
          <w:sz w:val="24"/>
          <w:u w:val="single"/>
        </w:rPr>
        <w:t>所有标的均由中小企业制造</w:t>
      </w:r>
      <w:r>
        <w:rPr>
          <w:rFonts w:hint="eastAsia" w:ascii="仿宋_GB2312" w:hAnsi="仿宋" w:eastAsia="仿宋_GB2312"/>
          <w:b/>
          <w:bCs/>
          <w:sz w:val="24"/>
          <w:u w:val="single"/>
          <w:lang w:val="en-US" w:eastAsia="zh-CN"/>
        </w:rPr>
        <w:t>或</w:t>
      </w:r>
      <w:r>
        <w:rPr>
          <w:rFonts w:hint="eastAsia" w:ascii="仿宋_GB2312" w:hAnsi="仿宋" w:eastAsia="仿宋_GB2312"/>
          <w:b/>
          <w:bCs/>
          <w:sz w:val="24"/>
          <w:u w:val="single"/>
        </w:rPr>
        <w:t>承接</w:t>
      </w:r>
      <w:r>
        <w:rPr>
          <w:rFonts w:hint="eastAsia" w:ascii="仿宋_GB2312" w:hAnsi="仿宋" w:eastAsia="仿宋_GB2312" w:cs="仿宋_GB2312"/>
          <w:b/>
          <w:bCs/>
          <w:kern w:val="0"/>
          <w:sz w:val="24"/>
          <w:u w:val="single"/>
        </w:rPr>
        <w:t>，</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（未预留份额专门面向中小企业采购的的采购项目，以及预留份额中的非预留部分采购包，接受联合体投标的，联合体其中一方提供的</w:t>
      </w:r>
      <w:r>
        <w:rPr>
          <w:rFonts w:hint="eastAsia" w:ascii="仿宋_GB2312" w:hAnsi="仿宋" w:eastAsia="仿宋_GB2312" w:cs="仿宋_GB2312"/>
          <w:b/>
          <w:kern w:val="0"/>
          <w:sz w:val="24"/>
          <w:lang w:val="en-US" w:eastAsia="zh-CN"/>
        </w:rPr>
        <w:t>所有标的</w:t>
      </w:r>
      <w:r>
        <w:rPr>
          <w:rFonts w:hint="eastAsia" w:ascii="仿宋_GB2312" w:hAnsi="仿宋" w:eastAsia="仿宋_GB2312" w:cs="仿宋_GB2312"/>
          <w:b/>
          <w:kern w:val="0"/>
          <w:sz w:val="24"/>
          <w:lang w:val="zh-CN"/>
        </w:rPr>
        <w:t>全部由小微企业制造</w:t>
      </w:r>
      <w:r>
        <w:rPr>
          <w:rFonts w:hint="eastAsia" w:ascii="仿宋_GB2312" w:hAnsi="仿宋" w:eastAsia="仿宋_GB2312" w:cs="仿宋_GB2312"/>
          <w:b/>
          <w:kern w:val="0"/>
          <w:sz w:val="24"/>
          <w:lang w:val="en-US" w:eastAsia="zh-CN"/>
        </w:rPr>
        <w:t>或承接</w:t>
      </w:r>
      <w:r>
        <w:rPr>
          <w:rFonts w:hint="eastAsia" w:ascii="仿宋_GB2312" w:hAnsi="仿宋" w:eastAsia="仿宋_GB2312" w:cs="仿宋_GB2312"/>
          <w:b/>
          <w:kern w:val="0"/>
          <w:sz w:val="24"/>
          <w:lang w:val="zh-CN"/>
        </w:rPr>
        <w:t>，且其合同份额占到合同总金额</w:t>
      </w:r>
      <w:r>
        <w:rPr>
          <w:rFonts w:ascii="仿宋_GB2312" w:hAnsi="仿宋" w:eastAsia="仿宋_GB2312" w:cs="仿宋_GB2312"/>
          <w:b/>
          <w:kern w:val="0"/>
          <w:sz w:val="24"/>
          <w:lang w:val="zh-CN"/>
        </w:rPr>
        <w:t>30%以上</w:t>
      </w:r>
      <w:r>
        <w:rPr>
          <w:rFonts w:hint="eastAsia" w:ascii="仿宋_GB2312" w:hAnsi="仿宋" w:eastAsia="仿宋_GB2312" w:cs="仿宋_GB2312"/>
          <w:b/>
          <w:kern w:val="0"/>
          <w:sz w:val="24"/>
          <w:lang w:val="zh-CN"/>
        </w:rPr>
        <w:t>，对联合体报价给予6</w:t>
      </w:r>
      <w:r>
        <w:rPr>
          <w:rFonts w:ascii="仿宋_GB2312" w:hAnsi="仿宋" w:eastAsia="仿宋_GB2312" w:cs="仿宋_GB2312"/>
          <w:b/>
          <w:kern w:val="0"/>
          <w:sz w:val="24"/>
          <w:lang w:val="zh-CN"/>
        </w:rPr>
        <w:t>%的扣除</w:t>
      </w:r>
      <w:r>
        <w:rPr>
          <w:rFonts w:hint="eastAsia" w:ascii="仿宋_GB2312" w:hAnsi="仿宋" w:eastAsia="仿宋_GB2312" w:cs="仿宋_GB2312"/>
          <w:b/>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headerReference r:id="rId9" w:type="first"/>
          <w:footerReference r:id="rId11" w:type="first"/>
          <w:headerReference r:id="rId8" w:type="default"/>
          <w:footerReference r:id="rId10" w:type="default"/>
          <w:pgSz w:w="11906" w:h="16838"/>
          <w:pgMar w:top="1361" w:right="1361" w:bottom="1361" w:left="1361"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4"/>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w:t>
      </w:r>
      <w:r>
        <w:rPr>
          <w:rFonts w:hint="eastAsia" w:ascii="仿宋_GB2312" w:hAnsi="仿宋" w:eastAsia="仿宋_GB2312" w:cs="仿宋_GB2312"/>
          <w:b/>
          <w:kern w:val="0"/>
          <w:sz w:val="24"/>
          <w:u w:val="single"/>
          <w:lang w:val="zh-CN"/>
        </w:rPr>
        <w:t>提供所有标的均由中小企业制造</w:t>
      </w:r>
      <w:r>
        <w:rPr>
          <w:rFonts w:hint="eastAsia" w:ascii="仿宋_GB2312" w:hAnsi="仿宋" w:eastAsia="仿宋_GB2312" w:cs="仿宋_GB2312"/>
          <w:b/>
          <w:kern w:val="0"/>
          <w:sz w:val="24"/>
          <w:u w:val="single"/>
          <w:lang w:val="en-US" w:eastAsia="zh-CN"/>
        </w:rPr>
        <w:t>或</w:t>
      </w:r>
      <w:r>
        <w:rPr>
          <w:rFonts w:hint="eastAsia" w:ascii="仿宋_GB2312" w:hAnsi="仿宋" w:eastAsia="仿宋_GB2312" w:cs="仿宋_GB2312"/>
          <w:b/>
          <w:kern w:val="0"/>
          <w:sz w:val="24"/>
          <w:u w:val="single"/>
          <w:lang w:val="zh-CN"/>
        </w:rPr>
        <w:t>承接，</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的采购项目，以及预留份额中的非预留部分采购包，允许分包的，分包供应商提供所有标的均由中小企业制造或承接，且其合同份额占到合同总金额30%以上的，对大中型企业的报价给予6</w:t>
      </w:r>
      <w:r>
        <w:rPr>
          <w:rFonts w:ascii="仿宋_GB2312" w:hAnsi="仿宋" w:eastAsia="仿宋_GB2312" w:cs="仿宋_GB2312"/>
          <w:b/>
          <w:kern w:val="0"/>
          <w:sz w:val="24"/>
          <w:lang w:val="zh-CN"/>
        </w:rPr>
        <w:t>%的扣除</w:t>
      </w:r>
      <w:r>
        <w:rPr>
          <w:rFonts w:hint="eastAsia" w:ascii="仿宋_GB2312" w:hAnsi="仿宋" w:eastAsia="仿宋_GB2312" w:cs="仿宋_GB2312"/>
          <w:b/>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w:t>
      </w:r>
    </w:p>
    <w:p>
      <w:pPr>
        <w:jc w:val="center"/>
        <w:rPr>
          <w:rFonts w:ascii="仿宋_GB2312" w:hAnsi="仿宋" w:eastAsia="仿宋_GB2312" w:cs="仿宋_GB2312"/>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255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c>
          <w:tcPr>
            <w:tcW w:w="1418"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投标文件中的</w:t>
            </w:r>
          </w:p>
          <w:p>
            <w:pPr>
              <w:snapToGrid w:val="0"/>
              <w:spacing w:line="240" w:lineRule="atLeast"/>
              <w:jc w:val="center"/>
              <w:rPr>
                <w:rFonts w:ascii="仿宋" w:hAnsi="仿宋" w:eastAsia="仿宋"/>
                <w:b/>
                <w:sz w:val="24"/>
              </w:rPr>
            </w:pPr>
            <w:r>
              <w:rPr>
                <w:rFonts w:hint="eastAsia" w:ascii="仿宋" w:hAnsi="仿宋" w:eastAsia="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1</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cs="仿宋_GB2312"/>
                <w:sz w:val="24"/>
              </w:rPr>
              <w:t>投标文件按照招标文件要求签署、盖章。</w:t>
            </w:r>
          </w:p>
        </w:tc>
        <w:tc>
          <w:tcPr>
            <w:tcW w:w="2551" w:type="dxa"/>
            <w:vAlign w:val="center"/>
          </w:tcPr>
          <w:p>
            <w:pPr>
              <w:rPr>
                <w:rFonts w:ascii="仿宋" w:hAnsi="仿宋" w:eastAsia="仿宋"/>
                <w:sz w:val="24"/>
              </w:rPr>
            </w:pPr>
            <w:r>
              <w:rPr>
                <w:rFonts w:hint="eastAsia" w:ascii="仿宋" w:hAnsi="仿宋" w:eastAsia="仿宋"/>
                <w:sz w:val="24"/>
              </w:rPr>
              <w:t>需要使用电子签名或者签字盖章的投标文件的组成部分</w:t>
            </w:r>
          </w:p>
        </w:tc>
        <w:tc>
          <w:tcPr>
            <w:tcW w:w="1418" w:type="dxa"/>
          </w:tcPr>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r>
              <w:rPr>
                <w:rFonts w:hint="eastAsia" w:ascii="仿宋" w:eastAsia="仿宋" w:cs="仿宋_GB2312"/>
                <w:sz w:val="24"/>
              </w:rPr>
              <w:t>第</w:t>
            </w:r>
            <w:r>
              <w:rPr>
                <w:rFonts w:ascii="仿宋" w:eastAsia="仿宋" w:cs="仿宋_GB2312"/>
                <w:sz w:val="24"/>
                <w:u w:val="single"/>
              </w:rPr>
              <w:t xml:space="preserve">  </w:t>
            </w:r>
            <w:r>
              <w:rPr>
                <w:rFonts w:hint="eastAsia" w:asci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sz w:val="24"/>
              </w:rPr>
            </w:pPr>
            <w:r>
              <w:rPr>
                <w:rFonts w:ascii="仿宋_GB2312" w:hAnsi="仿宋" w:eastAsia="仿宋_GB2312"/>
                <w:sz w:val="24"/>
              </w:rPr>
              <w:t>2</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sz w:val="24"/>
              </w:rPr>
            </w:pPr>
            <w:r>
              <w:rPr>
                <w:rFonts w:hint="eastAsia" w:ascii="仿宋_GB2312" w:hAnsi="仿宋" w:eastAsia="仿宋_GB2312" w:cs="仿宋_GB2312"/>
                <w:sz w:val="24"/>
              </w:rPr>
              <w:t>节能产品认证证书（本项目</w:t>
            </w:r>
            <w:r>
              <w:rPr>
                <w:rFonts w:hint="eastAsia" w:ascii="仿宋_GB2312" w:hAnsi="仿宋" w:eastAsia="仿宋_GB2312"/>
                <w:sz w:val="24"/>
              </w:rPr>
              <w:t>拟采购的产品不属于政府强制采购的节能产品品目清单范围的</w:t>
            </w:r>
            <w:r>
              <w:rPr>
                <w:rFonts w:hint="eastAsia" w:ascii="仿宋_GB2312" w:hAnsi="仿宋" w:eastAsia="仿宋_GB2312" w:cs="仿宋_GB2312"/>
                <w:sz w:val="24"/>
              </w:rPr>
              <w:t>，无需提供）</w:t>
            </w:r>
          </w:p>
        </w:tc>
        <w:tc>
          <w:tcPr>
            <w:tcW w:w="1418" w:type="dxa"/>
          </w:tcPr>
          <w:p>
            <w:pPr>
              <w:rPr>
                <w:rFonts w:ascii="仿宋" w:hAnsi="仿宋" w:eastAsia="仿宋" w:cs="仿宋_GB2312"/>
                <w:sz w:val="24"/>
              </w:rPr>
            </w:pPr>
          </w:p>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pPr>
              <w:pStyle w:val="4"/>
              <w:rPr>
                <w:lang w:val="en-US"/>
              </w:rPr>
            </w:pPr>
            <w:r>
              <w:rPr>
                <w:rFonts w:hint="eastAsia" w:ascii="仿宋" w:eastAsia="仿宋" w:cs="仿宋_GB2312"/>
                <w:b w:val="0"/>
                <w:bCs w:val="0"/>
                <w:sz w:val="24"/>
                <w:szCs w:val="24"/>
                <w:lang w:val="en-US"/>
              </w:rPr>
              <w:t>第</w:t>
            </w:r>
            <w:r>
              <w:rPr>
                <w:rFonts w:ascii="仿宋" w:eastAsia="仿宋" w:cs="仿宋_GB2312"/>
                <w:b w:val="0"/>
                <w:bCs w:val="0"/>
                <w:sz w:val="24"/>
                <w:szCs w:val="24"/>
                <w:u w:val="single"/>
                <w:lang w:val="en-US"/>
              </w:rPr>
              <w:t xml:space="preserve">  </w:t>
            </w:r>
            <w:r>
              <w:rPr>
                <w:rFonts w:hint="eastAsia" w:ascii="仿宋" w:eastAsia="仿宋" w:cs="仿宋_GB2312"/>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0" w:hRule="atLeast"/>
        </w:trPr>
        <w:tc>
          <w:tcPr>
            <w:tcW w:w="646" w:type="dxa"/>
            <w:vAlign w:val="center"/>
          </w:tcPr>
          <w:p>
            <w:pPr>
              <w:rPr>
                <w:rFonts w:ascii="仿宋" w:hAnsi="仿宋" w:eastAsia="仿宋"/>
                <w:sz w:val="24"/>
              </w:rPr>
            </w:pPr>
            <w:r>
              <w:rPr>
                <w:rFonts w:ascii="仿宋" w:hAnsi="仿宋" w:eastAsia="仿宋"/>
                <w:sz w:val="24"/>
              </w:rPr>
              <w:t>3</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sz w:val="24"/>
              </w:rPr>
              <w:t>投标文件中承诺的投标有效期不少于招标文件中载明的投标有效期。</w:t>
            </w:r>
          </w:p>
        </w:tc>
        <w:tc>
          <w:tcPr>
            <w:tcW w:w="2551" w:type="dxa"/>
            <w:vAlign w:val="center"/>
          </w:tcPr>
          <w:p>
            <w:pPr>
              <w:rPr>
                <w:rFonts w:ascii="仿宋" w:hAnsi="仿宋" w:eastAsia="仿宋"/>
                <w:sz w:val="24"/>
              </w:rPr>
            </w:pPr>
            <w:r>
              <w:rPr>
                <w:rFonts w:hint="eastAsia" w:ascii="仿宋" w:hAnsi="仿宋" w:eastAsia="仿宋"/>
                <w:sz w:val="24"/>
              </w:rPr>
              <w:t>投标函</w:t>
            </w:r>
          </w:p>
        </w:tc>
        <w:tc>
          <w:tcPr>
            <w:tcW w:w="1418" w:type="dxa"/>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4</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投标文件满足招标文件的其它实质性要求。</w:t>
            </w:r>
          </w:p>
        </w:tc>
        <w:tc>
          <w:tcPr>
            <w:tcW w:w="2551" w:type="dxa"/>
            <w:vAlign w:val="center"/>
          </w:tcPr>
          <w:p>
            <w:pPr>
              <w:rPr>
                <w:rFonts w:ascii="仿宋" w:hAnsi="仿宋" w:eastAsia="仿宋"/>
                <w:sz w:val="24"/>
              </w:rPr>
            </w:pPr>
            <w:r>
              <w:rPr>
                <w:rFonts w:hint="eastAsia" w:ascii="仿宋_GB2312" w:hAnsi="仿宋" w:eastAsia="仿宋_GB2312" w:cs="仿宋_GB2312"/>
                <w:kern w:val="0"/>
                <w:sz w:val="24"/>
              </w:rPr>
              <w:t>招标文件其它实质性要求相应的材料（“▲”</w:t>
            </w:r>
            <w:r>
              <w:rPr>
                <w:rFonts w:ascii="仿宋_GB2312" w:hAnsi="仿宋" w:eastAsia="仿宋_GB2312" w:cs="仿宋_GB2312"/>
                <w:kern w:val="0"/>
                <w:sz w:val="24"/>
              </w:rPr>
              <w:t xml:space="preserve"> </w:t>
            </w:r>
            <w:r>
              <w:rPr>
                <w:rFonts w:hint="eastAsia" w:ascii="仿宋_GB2312" w:hAnsi="仿宋" w:eastAsia="仿宋_GB2312" w:cs="仿宋_GB2312"/>
                <w:kern w:val="0"/>
                <w:sz w:val="24"/>
              </w:rPr>
              <w:t>系指实质性要求条款，招标文件无其它实质性要求的，无需提供）</w:t>
            </w:r>
          </w:p>
        </w:tc>
        <w:tc>
          <w:tcPr>
            <w:tcW w:w="1418" w:type="dxa"/>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sz w:val="24"/>
              </w:rPr>
            </w:pPr>
            <w:r>
              <w:rPr>
                <w:rFonts w:hint="eastAsia" w:ascii="仿宋_GB2312" w:hAnsi="仿宋" w:eastAsia="仿宋_GB2312"/>
                <w:b/>
                <w:bCs/>
                <w:sz w:val="24"/>
              </w:rPr>
              <w:t>序号</w:t>
            </w:r>
          </w:p>
        </w:tc>
        <w:tc>
          <w:tcPr>
            <w:tcW w:w="3683" w:type="dxa"/>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546" w:type="dxa"/>
          </w:tcPr>
          <w:p>
            <w:pPr>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1276" w:type="dxa"/>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pStyle w:val="4"/>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12" w:type="first"/>
          <w:footerReference r:id="rId14" w:type="first"/>
          <w:footerReference r:id="rId13" w:type="default"/>
          <w:pgSz w:w="11906" w:h="16838"/>
          <w:pgMar w:top="1361" w:right="1361" w:bottom="1361" w:left="1361"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693"/>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6" w:type="first"/>
          <w:footerReference r:id="rId18" w:type="first"/>
          <w:headerReference r:id="rId15" w:type="default"/>
          <w:footerReference r:id="rId17" w:type="default"/>
          <w:pgSz w:w="11906" w:h="16838"/>
          <w:pgMar w:top="1361" w:right="1361" w:bottom="1361" w:left="1361"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rPr>
        <w:t>（项目名称）</w:t>
      </w:r>
      <w:r>
        <w:rPr>
          <w:rFonts w:hint="eastAsia" w:ascii="仿宋_GB2312" w:hAnsi="仿宋" w:eastAsia="仿宋_GB2312" w:cs="仿宋_GB2312"/>
          <w:kern w:val="0"/>
          <w:sz w:val="24"/>
          <w:lang w:val="zh-CN"/>
        </w:rPr>
        <w:t>【招标编号：</w:t>
      </w:r>
      <w:r>
        <w:rPr>
          <w:rFonts w:hint="eastAsia" w:ascii="仿宋_GB2312" w:hAnsi="仿宋" w:eastAsia="仿宋_GB2312"/>
          <w:sz w:val="24"/>
        </w:rPr>
        <w:t>（采购编号）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p>
    <w:tbl>
      <w:tblPr>
        <w:tblStyle w:val="63"/>
        <w:tblW w:w="1431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127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42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1277"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名称</w:t>
            </w:r>
          </w:p>
        </w:tc>
        <w:tc>
          <w:tcPr>
            <w:tcW w:w="1843" w:type="dxa"/>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品牌（如果有）</w:t>
            </w:r>
          </w:p>
        </w:tc>
        <w:tc>
          <w:tcPr>
            <w:tcW w:w="3118"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规格型号（或具体服务）</w:t>
            </w:r>
          </w:p>
        </w:tc>
        <w:tc>
          <w:tcPr>
            <w:tcW w:w="993"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数量</w:t>
            </w:r>
          </w:p>
        </w:tc>
        <w:tc>
          <w:tcPr>
            <w:tcW w:w="1559"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单价</w:t>
            </w:r>
          </w:p>
        </w:tc>
        <w:tc>
          <w:tcPr>
            <w:tcW w:w="198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总价</w:t>
            </w:r>
          </w:p>
        </w:tc>
        <w:tc>
          <w:tcPr>
            <w:tcW w:w="3119" w:type="dxa"/>
            <w:vAlign w:val="center"/>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服务要求（年限）</w:t>
            </w:r>
          </w:p>
          <w:p>
            <w:pPr>
              <w:spacing w:line="360" w:lineRule="auto"/>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2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27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2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27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24"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w:t>
            </w:r>
          </w:p>
        </w:tc>
        <w:tc>
          <w:tcPr>
            <w:tcW w:w="127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24" w:type="dxa"/>
            <w:vAlign w:val="center"/>
          </w:tcPr>
          <w:p>
            <w:pPr>
              <w:spacing w:line="360" w:lineRule="auto"/>
              <w:jc w:val="center"/>
              <w:rPr>
                <w:rFonts w:ascii="仿宋_GB2312" w:hAnsi="仿宋" w:eastAsia="仿宋_GB2312" w:cs="仿宋_GB2312"/>
                <w:sz w:val="24"/>
              </w:rPr>
            </w:pPr>
          </w:p>
        </w:tc>
        <w:tc>
          <w:tcPr>
            <w:tcW w:w="127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24" w:type="dxa"/>
            <w:vAlign w:val="center"/>
          </w:tcPr>
          <w:p>
            <w:pPr>
              <w:spacing w:line="360" w:lineRule="auto"/>
              <w:jc w:val="center"/>
              <w:rPr>
                <w:rFonts w:ascii="仿宋_GB2312" w:hAnsi="仿宋" w:eastAsia="仿宋_GB2312" w:cs="仿宋_GB2312"/>
                <w:sz w:val="24"/>
              </w:rPr>
            </w:pPr>
          </w:p>
        </w:tc>
        <w:tc>
          <w:tcPr>
            <w:tcW w:w="127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66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7655" w:type="dxa"/>
            <w:gridSpan w:val="4"/>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66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7655" w:type="dxa"/>
            <w:gridSpan w:val="4"/>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66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服务期</w:t>
            </w:r>
          </w:p>
        </w:tc>
        <w:tc>
          <w:tcPr>
            <w:tcW w:w="7655" w:type="dxa"/>
            <w:gridSpan w:val="4"/>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66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运维期</w:t>
            </w:r>
          </w:p>
        </w:tc>
        <w:tc>
          <w:tcPr>
            <w:tcW w:w="7655" w:type="dxa"/>
            <w:gridSpan w:val="4"/>
            <w:vAlign w:val="center"/>
          </w:tcPr>
          <w:p>
            <w:pPr>
              <w:spacing w:line="360" w:lineRule="auto"/>
              <w:jc w:val="center"/>
              <w:rPr>
                <w:rFonts w:ascii="仿宋_GB2312" w:hAnsi="仿宋" w:eastAsia="仿宋_GB2312" w:cs="仿宋_GB2312"/>
                <w:sz w:val="24"/>
              </w:rPr>
            </w:pPr>
          </w:p>
        </w:tc>
      </w:tr>
    </w:tbl>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leftChars="-1"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kern w:val="0"/>
          <w:sz w:val="24"/>
        </w:rPr>
      </w:pPr>
    </w:p>
    <w:p>
      <w:pPr>
        <w:pStyle w:val="693"/>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p>
    <w:p>
      <w:pPr>
        <w:pStyle w:val="693"/>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9" w:type="default"/>
          <w:pgSz w:w="16838" w:h="11906" w:orient="landscape"/>
          <w:pgMar w:top="1418" w:right="1247" w:bottom="1418" w:left="1276"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rPr>
        <w:t>5）。</w:t>
      </w:r>
    </w:p>
    <w:p>
      <w:pPr>
        <w:pStyle w:val="693"/>
        <w:keepNext w:val="0"/>
        <w:pageBreakBefore w:val="0"/>
        <w:tabs>
          <w:tab w:val="clear" w:pos="720"/>
        </w:tabs>
        <w:snapToGrid w:val="0"/>
        <w:spacing w:before="120" w:after="120"/>
        <w:ind w:firstLine="643"/>
        <w:outlineLvl w:val="9"/>
        <w:rPr>
          <w:rFonts w:ascii="仿宋_GB2312" w:hAnsi="宋体" w:eastAsia="仿宋_GB2312"/>
          <w:b w:val="0"/>
          <w:sz w:val="32"/>
          <w:szCs w:val="32"/>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tabs>
          <w:tab w:val="left" w:pos="8085"/>
        </w:tabs>
        <w:spacing w:line="360" w:lineRule="auto"/>
        <w:ind w:firstLine="1285" w:firstLineChars="400"/>
        <w:jc w:val="left"/>
        <w:rPr>
          <w:rFonts w:ascii="仿宋" w:hAnsi="仿宋" w:eastAsia="仿宋" w:cs="仿宋"/>
          <w:b/>
          <w:bCs/>
          <w:sz w:val="32"/>
          <w:szCs w:val="32"/>
        </w:rPr>
      </w:pPr>
      <w:bookmarkStart w:id="566" w:name="_Toc465665161"/>
      <w:r>
        <w:rPr>
          <w:rFonts w:hint="eastAsia" w:ascii="仿宋" w:hAnsi="仿宋" w:eastAsia="仿宋" w:cs="仿宋"/>
          <w:b/>
          <w:bCs/>
          <w:sz w:val="32"/>
          <w:szCs w:val="32"/>
        </w:rPr>
        <w:t>政府采购支持中小企业信用融资相关事项通知</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
          <w:kern w:val="0"/>
          <w:sz w:val="24"/>
          <w:lang w:val="zh-CN"/>
        </w:rPr>
      </w:pPr>
      <w:r>
        <w:rPr>
          <w:rFonts w:hint="eastAsia" w:ascii="仿宋" w:hAnsi="仿宋" w:eastAsia="仿宋" w:cs="仿宋"/>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一、适用对象</w:t>
      </w:r>
    </w:p>
    <w:p>
      <w:pPr>
        <w:spacing w:line="360" w:lineRule="auto"/>
        <w:ind w:firstLine="480" w:firstLineChars="200"/>
        <w:rPr>
          <w:rFonts w:ascii="仿宋" w:hAnsi="仿宋" w:eastAsia="仿宋" w:cs="仿宋"/>
          <w:sz w:val="24"/>
        </w:rPr>
      </w:pPr>
      <w:r>
        <w:rPr>
          <w:rFonts w:hint="eastAsia" w:ascii="仿宋" w:hAnsi="仿宋" w:eastAsia="仿宋" w:cs="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二、相关信息获取方式</w:t>
      </w:r>
    </w:p>
    <w:p>
      <w:pPr>
        <w:spacing w:line="360" w:lineRule="auto"/>
        <w:ind w:firstLine="480" w:firstLineChars="200"/>
        <w:rPr>
          <w:rFonts w:ascii="仿宋" w:hAnsi="仿宋" w:eastAsia="仿宋" w:cs="仿宋"/>
          <w:sz w:val="24"/>
        </w:rPr>
      </w:pPr>
      <w:r>
        <w:rPr>
          <w:rFonts w:hint="eastAsia" w:ascii="仿宋" w:hAnsi="仿宋" w:eastAsia="仿宋" w:cs="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三、　政府采购信用融资操作流程：</w:t>
      </w:r>
    </w:p>
    <w:p>
      <w:pPr>
        <w:spacing w:line="360" w:lineRule="auto"/>
        <w:ind w:firstLine="960" w:firstLineChars="400"/>
        <w:rPr>
          <w:rFonts w:ascii="仿宋" w:hAnsi="仿宋" w:eastAsia="仿宋" w:cs="仿宋"/>
          <w:sz w:val="24"/>
        </w:rPr>
      </w:pPr>
      <w:r>
        <w:rPr>
          <w:rFonts w:hint="eastAsia" w:ascii="仿宋" w:hAnsi="仿宋" w:eastAsia="仿宋" w:cs="仿宋"/>
          <w:sz w:val="24"/>
        </w:rPr>
        <w:t>（一）线上融资模式：</w:t>
      </w:r>
    </w:p>
    <w:p>
      <w:pPr>
        <w:spacing w:line="360" w:lineRule="auto"/>
        <w:ind w:firstLine="480" w:firstLineChars="200"/>
        <w:rPr>
          <w:rFonts w:ascii="仿宋" w:hAnsi="仿宋" w:eastAsia="仿宋" w:cs="仿宋"/>
          <w:sz w:val="24"/>
        </w:rPr>
      </w:pPr>
      <w:r>
        <w:rPr>
          <w:rFonts w:hint="eastAsia" w:ascii="仿宋" w:hAnsi="仿宋" w:eastAsia="仿宋" w:cs="仿宋"/>
          <w:sz w:val="24"/>
        </w:rPr>
        <w:t>　　1.供应商根据合作银行提供的方案，自行选择金融产品，并办理开户等手续；</w:t>
      </w:r>
    </w:p>
    <w:p>
      <w:pPr>
        <w:spacing w:line="360" w:lineRule="auto"/>
        <w:ind w:firstLine="480" w:firstLineChars="200"/>
        <w:rPr>
          <w:rFonts w:ascii="仿宋" w:hAnsi="仿宋" w:eastAsia="仿宋" w:cs="仿宋"/>
          <w:sz w:val="24"/>
        </w:rPr>
      </w:pPr>
      <w:r>
        <w:rPr>
          <w:rFonts w:hint="eastAsia" w:ascii="仿宋" w:hAnsi="仿宋" w:eastAsia="仿宋" w:cs="仿宋"/>
          <w:sz w:val="24"/>
        </w:rPr>
        <w:t>　　2.供应商中标后，可通过杭州市政府采购网或“浙里办”测算授信额度；</w:t>
      </w:r>
    </w:p>
    <w:p>
      <w:pPr>
        <w:spacing w:line="360" w:lineRule="auto"/>
        <w:ind w:firstLine="480" w:firstLineChars="200"/>
        <w:rPr>
          <w:rFonts w:ascii="仿宋" w:hAnsi="仿宋" w:eastAsia="仿宋" w:cs="仿宋"/>
          <w:sz w:val="24"/>
        </w:rPr>
      </w:pPr>
      <w:r>
        <w:rPr>
          <w:rFonts w:hint="eastAsia" w:ascii="仿宋" w:hAnsi="仿宋" w:eastAsia="仿宋" w:cs="仿宋"/>
          <w:sz w:val="24"/>
        </w:rPr>
        <w:t>　　3.采购合同签订后，供应商在杭州市政府采购网或“浙里办”向合作银行发出融资申请；</w:t>
      </w:r>
    </w:p>
    <w:p>
      <w:pPr>
        <w:spacing w:line="360" w:lineRule="auto"/>
        <w:ind w:firstLine="480" w:firstLineChars="200"/>
        <w:rPr>
          <w:rFonts w:ascii="仿宋" w:hAnsi="仿宋" w:eastAsia="仿宋" w:cs="仿宋"/>
          <w:sz w:val="24"/>
        </w:rPr>
      </w:pPr>
      <w:r>
        <w:rPr>
          <w:rFonts w:hint="eastAsia" w:ascii="仿宋" w:hAnsi="仿宋" w:eastAsia="仿宋" w:cs="仿宋"/>
          <w:sz w:val="24"/>
        </w:rPr>
        <w:t>　　4.审批通过后，在线办理放贷手续。</w:t>
      </w:r>
    </w:p>
    <w:p>
      <w:pPr>
        <w:spacing w:line="360" w:lineRule="auto"/>
        <w:ind w:firstLine="480" w:firstLineChars="200"/>
        <w:rPr>
          <w:rFonts w:ascii="仿宋" w:hAnsi="仿宋" w:eastAsia="仿宋" w:cs="仿宋"/>
          <w:sz w:val="24"/>
        </w:rPr>
      </w:pPr>
      <w:r>
        <w:rPr>
          <w:rFonts w:hint="eastAsia" w:ascii="仿宋" w:hAnsi="仿宋" w:eastAsia="仿宋" w:cs="仿宋"/>
          <w:sz w:val="24"/>
        </w:rPr>
        <w:t>　　（二）线下融资模式：</w:t>
      </w:r>
    </w:p>
    <w:p>
      <w:pPr>
        <w:spacing w:line="360" w:lineRule="auto"/>
        <w:ind w:firstLine="480" w:firstLineChars="200"/>
        <w:rPr>
          <w:rFonts w:ascii="仿宋" w:hAnsi="仿宋" w:eastAsia="仿宋" w:cs="仿宋"/>
          <w:sz w:val="24"/>
        </w:rPr>
      </w:pPr>
      <w:r>
        <w:rPr>
          <w:rFonts w:hint="eastAsia" w:ascii="仿宋" w:hAnsi="仿宋" w:eastAsia="仿宋" w:cs="仿宋"/>
          <w:sz w:val="24"/>
        </w:rPr>
        <w:t>　　1.供应商根据合作银行提供的方案，自行选择金融产品，向合作银行提出信用资格预审，并办理开户等手续；</w:t>
      </w:r>
    </w:p>
    <w:p>
      <w:pPr>
        <w:spacing w:line="360" w:lineRule="auto"/>
        <w:ind w:firstLine="480" w:firstLineChars="200"/>
        <w:rPr>
          <w:rFonts w:ascii="仿宋" w:hAnsi="仿宋" w:eastAsia="仿宋" w:cs="仿宋"/>
          <w:sz w:val="24"/>
        </w:rPr>
      </w:pPr>
      <w:r>
        <w:rPr>
          <w:rFonts w:hint="eastAsia" w:ascii="仿宋" w:hAnsi="仿宋" w:eastAsia="仿宋" w:cs="仿宋"/>
          <w:sz w:val="24"/>
        </w:rPr>
        <w:t>　　2.采购合同签订后，供应商在杭州市政府采购网或“浙里办”向合作银行发出融资申请；</w:t>
      </w:r>
    </w:p>
    <w:p>
      <w:pPr>
        <w:spacing w:line="360" w:lineRule="auto"/>
        <w:ind w:firstLine="480" w:firstLineChars="200"/>
        <w:rPr>
          <w:rFonts w:ascii="仿宋" w:hAnsi="仿宋" w:eastAsia="仿宋" w:cs="仿宋"/>
          <w:sz w:val="24"/>
        </w:rPr>
      </w:pPr>
      <w:r>
        <w:rPr>
          <w:rFonts w:hint="eastAsia" w:ascii="仿宋" w:hAnsi="仿宋" w:eastAsia="仿宋" w:cs="仿宋"/>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s="仿宋"/>
          <w:sz w:val="24"/>
        </w:rPr>
      </w:pPr>
      <w:r>
        <w:rPr>
          <w:rFonts w:hint="eastAsia" w:ascii="仿宋" w:hAnsi="仿宋" w:eastAsia="仿宋" w:cs="仿宋"/>
          <w:sz w:val="24"/>
        </w:rPr>
        <w:t>　　4.审批通过后，合作银行应按照合作备忘录中约定的审批放款期限和优惠利率及时予以放款。</w:t>
      </w:r>
    </w:p>
    <w:p>
      <w:pPr>
        <w:pStyle w:val="4"/>
        <w:ind w:left="0" w:firstLine="960" w:firstLineChars="400"/>
        <w:rPr>
          <w:rFonts w:ascii="仿宋" w:eastAsia="仿宋" w:cs="仿宋"/>
          <w:b w:val="0"/>
          <w:bCs w:val="0"/>
          <w:sz w:val="24"/>
          <w:szCs w:val="24"/>
          <w:lang w:val="en-US"/>
        </w:rPr>
      </w:pPr>
      <w:r>
        <w:rPr>
          <w:rFonts w:hint="eastAsia" w:ascii="仿宋" w:eastAsia="仿宋" w:cs="仿宋"/>
          <w:b w:val="0"/>
          <w:bCs w:val="0"/>
          <w:sz w:val="24"/>
          <w:szCs w:val="24"/>
          <w:lang w:val="en-US"/>
        </w:rPr>
        <w:t>（三）杭州e融平台申请融资</w:t>
      </w:r>
    </w:p>
    <w:p>
      <w:pPr>
        <w:pStyle w:val="4"/>
        <w:ind w:left="0" w:firstLine="960" w:firstLineChars="400"/>
        <w:rPr>
          <w:rFonts w:ascii="仿宋" w:eastAsia="仿宋" w:cs="仿宋"/>
          <w:b w:val="0"/>
          <w:bCs w:val="0"/>
          <w:sz w:val="24"/>
          <w:szCs w:val="24"/>
          <w:lang w:val="en-US"/>
        </w:rPr>
      </w:pPr>
      <w:r>
        <w:rPr>
          <w:rFonts w:hint="eastAsia" w:ascii="仿宋" w:eastAsia="仿宋" w:cs="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四、注意事项</w:t>
      </w:r>
    </w:p>
    <w:p>
      <w:pPr>
        <w:spacing w:line="360" w:lineRule="auto"/>
        <w:ind w:firstLine="480" w:firstLineChars="200"/>
        <w:rPr>
          <w:rFonts w:ascii="仿宋" w:hAnsi="仿宋" w:eastAsia="仿宋" w:cs="仿宋"/>
          <w:sz w:val="24"/>
        </w:rPr>
      </w:pPr>
      <w:r>
        <w:rPr>
          <w:rFonts w:hint="eastAsia" w:ascii="仿宋" w:hAnsi="仿宋" w:eastAsia="仿宋" w:cs="仿宋"/>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ascii="仿宋" w:hAnsi="仿宋" w:eastAsia="仿宋" w:cs="仿宋"/>
          <w:sz w:val="24"/>
        </w:rPr>
      </w:pPr>
      <w:r>
        <w:rPr>
          <w:rFonts w:hint="eastAsia" w:ascii="仿宋" w:hAnsi="仿宋" w:eastAsia="仿宋" w:cs="仿宋"/>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ascii="仿宋" w:hAnsi="仿宋" w:eastAsia="仿宋" w:cs="仿宋"/>
          <w:b/>
          <w:bCs/>
          <w:kern w:val="0"/>
          <w:sz w:val="24"/>
        </w:rPr>
      </w:pPr>
    </w:p>
    <w:p>
      <w:pPr>
        <w:pStyle w:val="3"/>
        <w:keepNext w:val="0"/>
        <w:keepLines w:val="0"/>
        <w:pageBreakBefore/>
        <w:widowControl/>
        <w:spacing w:before="100" w:beforeAutospacing="1" w:after="100" w:afterAutospacing="1" w:line="360" w:lineRule="auto"/>
        <w:ind w:left="1290" w:firstLine="3092" w:firstLineChars="700"/>
        <w:rPr>
          <w:rFonts w:ascii="仿宋_GB2312" w:hAnsi="仿宋" w:eastAsia="仿宋_GB2312"/>
        </w:rPr>
      </w:pPr>
      <w:r>
        <w:rPr>
          <w:rFonts w:hint="eastAsia" w:ascii="仿宋_GB2312" w:hAnsi="仿宋" w:eastAsia="仿宋_GB2312"/>
        </w:rPr>
        <w:t>附件</w:t>
      </w:r>
      <w:bookmarkEnd w:id="566"/>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567" w:name="OLE_LINK14"/>
      <w:bookmarkStart w:id="568" w:name="OLE_LINK13"/>
      <w:r>
        <w:rPr>
          <w:rFonts w:hint="eastAsia" w:ascii="仿宋_GB2312" w:hAnsi="仿宋" w:eastAsia="仿宋_GB2312"/>
          <w:b/>
          <w:spacing w:val="6"/>
          <w:sz w:val="32"/>
          <w:szCs w:val="32"/>
        </w:rPr>
        <w:t>残疾人福利性单位声明函</w:t>
      </w:r>
    </w:p>
    <w:bookmarkEnd w:id="567"/>
    <w:bookmarkEnd w:id="568"/>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right"/>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right"/>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240"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color w:val="000000" w:themeColor="text1"/>
          <w:sz w:val="24"/>
          <w14:textFill>
            <w14:solidFill>
              <w14:schemeClr w14:val="tx1"/>
            </w14:solidFill>
          </w14:textFill>
        </w:rPr>
        <w:t>质疑项目的编号：</w:t>
      </w:r>
      <w:r>
        <w:rPr>
          <w:rFonts w:ascii="仿宋_GB2312" w:hAnsi="仿宋" w:eastAsia="仿宋_GB2312" w:cs="仿宋"/>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14:textFill>
            <w14:solidFill>
              <w14:schemeClr w14:val="tx1"/>
            </w14:solidFill>
          </w14:textFill>
        </w:rPr>
        <w:t>分包号</w:t>
      </w:r>
      <w:r>
        <w:rPr>
          <w:rFonts w:ascii="仿宋_GB2312" w:hAnsi="仿宋" w:eastAsia="仿宋_GB2312"/>
          <w:sz w:val="24"/>
        </w:rPr>
        <w:t>：</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14:textFill>
            <w14:solidFill>
              <w14:schemeClr w14:val="tx1"/>
            </w14:solidFill>
          </w14:textFill>
        </w:rPr>
        <w:t>分包号</w:t>
      </w:r>
      <w:r>
        <w:rPr>
          <w:rFonts w:hint="eastAsia" w:ascii="仿宋_GB2312" w:hAnsi="仿宋" w:eastAsia="仿宋_GB2312"/>
          <w:color w:val="000000" w:themeColor="text1"/>
          <w:sz w:val="24"/>
          <w14:textFill>
            <w14:solidFill>
              <w14:schemeClr w14:val="tx1"/>
            </w14:solidFill>
          </w14:textFill>
        </w:rPr>
        <w:t>：</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kern w:val="0"/>
          <w:sz w:val="24"/>
          <w:u w:val="single"/>
          <w:lang w:val="zh-CN"/>
        </w:rPr>
        <w:t xml:space="preserve">                         </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（项目名称）项目</w:t>
      </w:r>
      <w:r>
        <w:rPr>
          <w:rFonts w:hint="eastAsia" w:ascii="仿宋" w:hAnsi="仿宋" w:eastAsia="仿宋" w:cs="仿宋_GB2312"/>
          <w:sz w:val="24"/>
        </w:rPr>
        <w:t>【招标编号：（采购编号）</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ascii="仿宋" w:hAnsi="仿宋" w:eastAsia="仿宋"/>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宋体"/>
          <w:sz w:val="24"/>
        </w:rPr>
        <w:t>投标单位法定名称章（印模）</w:t>
      </w:r>
      <w:r>
        <w:rPr>
          <w:rFonts w:ascii="仿宋" w:hAnsi="仿宋" w:eastAsia="仿宋" w:cs="宋体"/>
          <w:sz w:val="24"/>
        </w:rPr>
        <w:t xml:space="preserve">                </w:t>
      </w:r>
      <w:r>
        <w:rPr>
          <w:rFonts w:hint="eastAsia" w:ascii="仿宋" w:hAnsi="仿宋" w:eastAsia="仿宋" w:cs="宋体"/>
          <w:sz w:val="24"/>
        </w:rPr>
        <w:t>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2020﹞46</w:t>
      </w:r>
      <w:r>
        <w:rPr>
          <w:rFonts w:hint="eastAsia" w:ascii="仿宋_GB2312" w:hAnsi="宋体" w:eastAsia="仿宋_GB2312"/>
          <w:sz w:val="24"/>
        </w:rPr>
        <w:t>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u w:val="single"/>
        </w:rPr>
        <w:t>（标的名称）</w:t>
      </w:r>
      <w:r>
        <w:rPr>
          <w:rFonts w:hint="eastAsia" w:ascii="仿宋_GB2312" w:hAnsi="宋体" w:eastAsia="仿宋_GB2312"/>
          <w:sz w:val="24"/>
        </w:rPr>
        <w:t>，属于</w:t>
      </w:r>
      <w:r>
        <w:rPr>
          <w:rFonts w:hint="eastAsia" w:ascii="仿宋_GB2312" w:hAnsi="宋体" w:eastAsia="仿宋_GB2312"/>
          <w:sz w:val="24"/>
          <w:u w:val="single"/>
        </w:rPr>
        <w:t>（采购文件中明确的所属行业）</w:t>
      </w:r>
      <w:r>
        <w:rPr>
          <w:rFonts w:ascii="仿宋_GB2312" w:hAnsi="宋体" w:eastAsia="仿宋_GB2312"/>
          <w:sz w:val="24"/>
        </w:rPr>
        <w:t>；承建（承接）企业为</w:t>
      </w:r>
      <w:r>
        <w:rPr>
          <w:rFonts w:hint="eastAsia" w:ascii="仿宋_GB2312" w:hAnsi="宋体" w:eastAsia="仿宋_GB2312"/>
          <w:sz w:val="24"/>
          <w:u w:val="single"/>
        </w:rPr>
        <w:t>（企业名称）</w:t>
      </w:r>
      <w:r>
        <w:rPr>
          <w:rFonts w:ascii="仿宋_GB2312" w:hAnsi="宋体" w:eastAsia="仿宋_GB2312"/>
          <w:sz w:val="24"/>
        </w:rPr>
        <w:t>，从业人员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（中型企业、小型企业、微型企业）</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u w:val="single"/>
        </w:rPr>
        <w:t>（标的名称）</w:t>
      </w:r>
      <w:r>
        <w:rPr>
          <w:rFonts w:hint="eastAsia" w:ascii="仿宋_GB2312" w:hAnsi="宋体" w:eastAsia="仿宋_GB2312"/>
          <w:sz w:val="24"/>
        </w:rPr>
        <w:t>，属于</w:t>
      </w:r>
      <w:r>
        <w:rPr>
          <w:rFonts w:hint="eastAsia" w:ascii="仿宋_GB2312" w:hAnsi="宋体" w:eastAsia="仿宋_GB2312"/>
          <w:sz w:val="24"/>
          <w:u w:val="single"/>
        </w:rPr>
        <w:t>（采购文件中明确的所属行业）</w:t>
      </w:r>
      <w:r>
        <w:rPr>
          <w:rFonts w:ascii="仿宋_GB2312" w:hAnsi="宋体" w:eastAsia="仿宋_GB2312"/>
          <w:sz w:val="24"/>
        </w:rPr>
        <w:t>；承建（承接）企业为</w:t>
      </w:r>
      <w:r>
        <w:rPr>
          <w:rFonts w:hint="eastAsia" w:ascii="仿宋_GB2312" w:hAnsi="宋体" w:eastAsia="仿宋_GB2312"/>
          <w:sz w:val="24"/>
          <w:u w:val="single"/>
        </w:rPr>
        <w:t>（企业名称）</w:t>
      </w:r>
      <w:r>
        <w:rPr>
          <w:rFonts w:ascii="仿宋_GB2312" w:hAnsi="宋体" w:eastAsia="仿宋_GB2312"/>
          <w:sz w:val="24"/>
        </w:rPr>
        <w:t>，从业人员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（中型企业、小型企业、微型企业）</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r>
        <w:rPr>
          <w:rFonts w:ascii="仿宋_GB2312" w:hAnsi="仿宋" w:eastAsia="仿宋_GB2312" w:cs="仿宋_GB2312"/>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420"/>
        <w:sectPr>
          <w:headerReference r:id="rId21" w:type="first"/>
          <w:footerReference r:id="rId24" w:type="first"/>
          <w:headerReference r:id="rId20" w:type="default"/>
          <w:footerReference r:id="rId22" w:type="default"/>
          <w:footerReference r:id="rId23" w:type="even"/>
          <w:pgSz w:w="11906" w:h="16838"/>
          <w:pgMar w:top="1361" w:right="1361" w:bottom="1361" w:left="1361" w:header="851" w:footer="992" w:gutter="0"/>
          <w:cols w:space="720" w:num="1"/>
          <w:titlePg/>
          <w:docGrid w:linePitch="312" w:charSpace="0"/>
        </w:sectPr>
      </w:pPr>
    </w:p>
    <w:p>
      <w:pPr>
        <w:shd w:val="clear" w:color="auto" w:fill="FFFFFF"/>
        <w:spacing w:line="600" w:lineRule="atLeast"/>
        <w:textAlignment w:val="baseline"/>
        <w:outlineLvl w:val="1"/>
        <w:rPr>
          <w:rFonts w:ascii="仿宋" w:hAnsi="仿宋" w:eastAsia="仿宋" w:cs="仿宋"/>
          <w:sz w:val="24"/>
          <w:shd w:val="clear" w:color="auto" w:fill="FFFFFF"/>
        </w:rPr>
      </w:pPr>
      <w:r>
        <w:rPr>
          <w:rFonts w:hint="eastAsia" w:ascii="仿宋" w:hAnsi="仿宋" w:eastAsia="仿宋" w:cs="仿宋"/>
          <w:sz w:val="24"/>
          <w:shd w:val="clear" w:color="auto" w:fill="FFFFFF"/>
          <w:lang w:bidi="ar"/>
        </w:rPr>
        <w:t>国家统计局关于印发《统计上大中小微型企业划分办法（2017）》的通知</w:t>
      </w:r>
    </w:p>
    <w:p>
      <w:pPr>
        <w:shd w:val="clear" w:color="auto" w:fill="FFFFFF"/>
        <w:spacing w:line="600" w:lineRule="atLeast"/>
        <w:jc w:val="center"/>
        <w:textAlignment w:val="baseline"/>
        <w:rPr>
          <w:rFonts w:ascii="仿宋" w:hAnsi="仿宋" w:eastAsia="仿宋" w:cs="仿宋"/>
          <w:b/>
          <w:bCs/>
          <w:sz w:val="51"/>
          <w:szCs w:val="51"/>
          <w:shd w:val="clear" w:color="auto" w:fill="FFFFFF"/>
        </w:rPr>
      </w:pPr>
      <w:r>
        <w:rPr>
          <w:rFonts w:hint="eastAsia" w:ascii="仿宋" w:hAnsi="仿宋" w:eastAsia="仿宋" w:cs="仿宋"/>
          <w:b/>
          <w:bCs/>
          <w:sz w:val="51"/>
          <w:szCs w:val="51"/>
          <w:shd w:val="clear" w:color="auto" w:fill="FFFFFF"/>
          <w:lang w:bidi="ar"/>
        </w:rPr>
        <w:t>国家统计局关于印发《统计上</w:t>
      </w:r>
    </w:p>
    <w:p>
      <w:pPr>
        <w:shd w:val="clear" w:color="auto" w:fill="FFFFFF"/>
        <w:spacing w:line="600" w:lineRule="atLeast"/>
        <w:jc w:val="center"/>
        <w:textAlignment w:val="baseline"/>
        <w:rPr>
          <w:rFonts w:ascii="仿宋" w:hAnsi="仿宋" w:eastAsia="仿宋" w:cs="仿宋"/>
          <w:b/>
          <w:bCs/>
          <w:sz w:val="51"/>
          <w:szCs w:val="51"/>
          <w:shd w:val="clear" w:color="auto" w:fill="FFFFFF"/>
        </w:rPr>
      </w:pPr>
      <w:r>
        <w:rPr>
          <w:rFonts w:hint="eastAsia" w:ascii="仿宋" w:hAnsi="仿宋" w:eastAsia="仿宋" w:cs="仿宋"/>
          <w:b/>
          <w:bCs/>
          <w:sz w:val="51"/>
          <w:szCs w:val="51"/>
          <w:shd w:val="clear" w:color="auto" w:fill="FFFFFF"/>
          <w:lang w:bidi="ar"/>
        </w:rPr>
        <w:t>大中小微型企业划分办法（2017）》的通知</w:t>
      </w:r>
    </w:p>
    <w:p>
      <w:pPr>
        <w:shd w:val="clear" w:color="auto" w:fill="FFFFFF"/>
        <w:spacing w:before="150" w:line="420" w:lineRule="atLeast"/>
        <w:textAlignment w:val="baseline"/>
        <w:rPr>
          <w:rFonts w:ascii="仿宋" w:hAnsi="仿宋" w:eastAsia="仿宋" w:cs="仿宋"/>
          <w:szCs w:val="21"/>
          <w:shd w:val="clear" w:color="auto" w:fill="FFFFFF"/>
        </w:rPr>
      </w:pPr>
      <w:r>
        <w:rPr>
          <w:rFonts w:hint="eastAsia" w:ascii="仿宋" w:hAnsi="仿宋" w:eastAsia="仿宋" w:cs="仿宋"/>
          <w:szCs w:val="21"/>
          <w:shd w:val="clear" w:color="auto" w:fill="FFFFFF"/>
          <w:lang w:bidi="ar"/>
        </w:rPr>
        <w:t>各省、自治区、直辖市统计局，新疆生产建设兵团统计局，国务院各有关部门，国家统计局各调查总队：</w:t>
      </w:r>
    </w:p>
    <w:p>
      <w:pPr>
        <w:shd w:val="clear" w:color="auto" w:fill="FFFFFF"/>
        <w:spacing w:before="150" w:line="420" w:lineRule="atLeast"/>
        <w:textAlignment w:val="baseline"/>
        <w:rPr>
          <w:rFonts w:ascii="仿宋" w:hAnsi="仿宋" w:eastAsia="仿宋" w:cs="仿宋"/>
          <w:szCs w:val="21"/>
          <w:shd w:val="clear" w:color="auto" w:fill="FFFFFF"/>
        </w:rPr>
      </w:pPr>
      <w:r>
        <w:rPr>
          <w:rFonts w:hint="eastAsia" w:ascii="仿宋" w:hAnsi="仿宋" w:eastAsia="仿宋" w:cs="仿宋"/>
          <w:szCs w:val="21"/>
          <w:shd w:val="clear" w:color="auto" w:fill="FFFFFF"/>
          <w:lang w:bidi="ar"/>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rPr>
          <w:rFonts w:ascii="仿宋" w:hAnsi="仿宋" w:eastAsia="仿宋" w:cs="仿宋"/>
        </w:rPr>
      </w:pPr>
    </w:p>
    <w:p>
      <w:pPr>
        <w:pStyle w:val="58"/>
        <w:autoSpaceDE w:val="0"/>
        <w:autoSpaceDN w:val="0"/>
        <w:snapToGrid w:val="0"/>
        <w:spacing w:before="120" w:beforeAutospacing="0" w:after="0" w:afterAutospacing="0" w:line="400" w:lineRule="atLeast"/>
        <w:ind w:firstLine="570"/>
        <w:jc w:val="both"/>
        <w:rPr>
          <w:rFonts w:ascii="仿宋" w:hAnsi="仿宋" w:eastAsia="仿宋" w:cs="仿宋"/>
        </w:rPr>
      </w:pPr>
    </w:p>
    <w:p>
      <w:pPr>
        <w:shd w:val="clear" w:color="auto" w:fill="FFFFFF"/>
        <w:spacing w:before="150" w:line="420" w:lineRule="atLeast"/>
        <w:textAlignment w:val="baseline"/>
        <w:rPr>
          <w:rFonts w:ascii="仿宋" w:hAnsi="仿宋" w:eastAsia="仿宋" w:cs="仿宋"/>
          <w:szCs w:val="21"/>
          <w:shd w:val="clear" w:color="auto" w:fill="FFFFFF"/>
        </w:rPr>
      </w:pPr>
      <w:r>
        <w:rPr>
          <w:rFonts w:hint="eastAsia" w:ascii="仿宋" w:hAnsi="仿宋" w:eastAsia="仿宋" w:cs="仿宋"/>
          <w:szCs w:val="21"/>
          <w:shd w:val="clear" w:color="auto" w:fill="FFFFFF"/>
          <w:lang w:bidi="ar"/>
        </w:rPr>
        <w:t>附件：《统计上大中小微型企业划分办法（2017）》修订说明</w:t>
      </w:r>
    </w:p>
    <w:p>
      <w:pPr>
        <w:shd w:val="clear" w:color="auto" w:fill="FFFFFF"/>
        <w:spacing w:before="150" w:line="420" w:lineRule="atLeast"/>
        <w:ind w:right="825"/>
        <w:jc w:val="right"/>
        <w:textAlignment w:val="baseline"/>
        <w:rPr>
          <w:rFonts w:ascii="仿宋" w:hAnsi="仿宋" w:eastAsia="仿宋" w:cs="仿宋"/>
          <w:szCs w:val="21"/>
          <w:shd w:val="clear" w:color="auto" w:fill="FFFFFF"/>
        </w:rPr>
      </w:pPr>
      <w:r>
        <w:rPr>
          <w:rFonts w:hint="eastAsia" w:ascii="仿宋" w:hAnsi="仿宋" w:eastAsia="仿宋" w:cs="仿宋"/>
          <w:szCs w:val="21"/>
          <w:shd w:val="clear" w:color="auto" w:fill="FFFFFF"/>
          <w:lang w:bidi="ar"/>
        </w:rPr>
        <w:t>国家统计局  </w:t>
      </w:r>
    </w:p>
    <w:p>
      <w:pPr>
        <w:shd w:val="clear" w:color="auto" w:fill="FFFFFF"/>
        <w:spacing w:before="150" w:line="420" w:lineRule="atLeast"/>
        <w:ind w:right="825"/>
        <w:jc w:val="right"/>
        <w:textAlignment w:val="baseline"/>
        <w:rPr>
          <w:rFonts w:ascii="仿宋" w:hAnsi="仿宋" w:eastAsia="仿宋" w:cs="仿宋"/>
          <w:szCs w:val="21"/>
          <w:shd w:val="clear" w:color="auto" w:fill="FFFFFF"/>
        </w:rPr>
      </w:pPr>
      <w:r>
        <w:rPr>
          <w:rFonts w:hint="eastAsia" w:ascii="仿宋" w:hAnsi="仿宋" w:eastAsia="仿宋" w:cs="仿宋"/>
          <w:szCs w:val="21"/>
          <w:shd w:val="clear" w:color="auto" w:fill="FFFFFF"/>
          <w:lang w:bidi="ar"/>
        </w:rPr>
        <w:t>2017年12月28日</w:t>
      </w:r>
    </w:p>
    <w:p>
      <w:pPr>
        <w:shd w:val="clear" w:color="auto" w:fill="FFFFFF"/>
        <w:spacing w:before="150" w:line="420" w:lineRule="atLeast"/>
        <w:textAlignment w:val="baseline"/>
        <w:rPr>
          <w:rFonts w:ascii="仿宋" w:hAnsi="仿宋" w:eastAsia="仿宋" w:cs="仿宋"/>
          <w:szCs w:val="21"/>
          <w:shd w:val="clear" w:color="auto" w:fill="FFFFFF"/>
        </w:rPr>
      </w:pPr>
      <w:r>
        <w:rPr>
          <w:rFonts w:hint="eastAsia" w:ascii="仿宋" w:hAnsi="仿宋" w:eastAsia="仿宋" w:cs="仿宋"/>
          <w:szCs w:val="21"/>
          <w:shd w:val="clear" w:color="auto" w:fill="FFFFFF"/>
          <w:lang w:bidi="ar"/>
        </w:rPr>
        <w:t> </w:t>
      </w:r>
    </w:p>
    <w:p>
      <w:pPr>
        <w:shd w:val="clear" w:color="auto" w:fill="FFFFFF"/>
        <w:spacing w:before="150" w:line="600" w:lineRule="atLeast"/>
        <w:jc w:val="center"/>
        <w:textAlignment w:val="baseline"/>
        <w:rPr>
          <w:rFonts w:ascii="仿宋" w:hAnsi="仿宋" w:eastAsia="仿宋" w:cs="仿宋"/>
          <w:b/>
          <w:bCs/>
          <w:sz w:val="36"/>
          <w:szCs w:val="36"/>
          <w:shd w:val="clear" w:color="auto" w:fill="FFFFFF"/>
          <w:lang w:bidi="ar"/>
        </w:rPr>
      </w:pPr>
    </w:p>
    <w:p>
      <w:pPr>
        <w:shd w:val="clear" w:color="auto" w:fill="FFFFFF"/>
        <w:spacing w:before="150" w:line="600" w:lineRule="atLeast"/>
        <w:jc w:val="center"/>
        <w:textAlignment w:val="baseline"/>
        <w:rPr>
          <w:rFonts w:ascii="仿宋" w:hAnsi="仿宋" w:eastAsia="仿宋" w:cs="仿宋"/>
          <w:b/>
          <w:bCs/>
          <w:sz w:val="36"/>
          <w:szCs w:val="36"/>
          <w:shd w:val="clear" w:color="auto" w:fill="FFFFFF"/>
          <w:lang w:bidi="ar"/>
        </w:rPr>
      </w:pPr>
    </w:p>
    <w:p>
      <w:pPr>
        <w:shd w:val="clear" w:color="auto" w:fill="FFFFFF"/>
        <w:spacing w:before="150" w:line="600" w:lineRule="atLeast"/>
        <w:jc w:val="center"/>
        <w:textAlignment w:val="baseline"/>
        <w:rPr>
          <w:rFonts w:ascii="仿宋" w:hAnsi="仿宋" w:eastAsia="仿宋" w:cs="仿宋"/>
          <w:b/>
          <w:bCs/>
          <w:sz w:val="36"/>
          <w:szCs w:val="36"/>
          <w:shd w:val="clear" w:color="auto" w:fill="FFFFFF"/>
        </w:rPr>
      </w:pPr>
      <w:r>
        <w:rPr>
          <w:rFonts w:hint="eastAsia" w:ascii="仿宋" w:hAnsi="仿宋" w:eastAsia="仿宋" w:cs="仿宋"/>
          <w:b/>
          <w:bCs/>
          <w:sz w:val="36"/>
          <w:szCs w:val="36"/>
          <w:shd w:val="clear" w:color="auto" w:fill="FFFFFF"/>
          <w:lang w:bidi="ar"/>
        </w:rPr>
        <w:t>统计上大中小微型企业划分办法（2017）</w:t>
      </w:r>
    </w:p>
    <w:p>
      <w:pPr>
        <w:shd w:val="clear" w:color="auto" w:fill="FFFFFF"/>
        <w:spacing w:before="150" w:line="420" w:lineRule="atLeast"/>
        <w:textAlignment w:val="baseline"/>
        <w:rPr>
          <w:rFonts w:ascii="仿宋" w:hAnsi="仿宋" w:eastAsia="仿宋" w:cs="仿宋"/>
          <w:szCs w:val="21"/>
          <w:shd w:val="clear" w:color="auto" w:fill="FFFFFF"/>
        </w:rPr>
      </w:pPr>
      <w:r>
        <w:rPr>
          <w:rFonts w:hint="eastAsia" w:ascii="仿宋" w:hAnsi="仿宋" w:eastAsia="仿宋" w:cs="仿宋"/>
          <w:szCs w:val="21"/>
          <w:shd w:val="clear" w:color="auto" w:fill="FFFFFF"/>
          <w:lang w:bidi="ar"/>
        </w:rPr>
        <w:t>一、根据工业和信息化部、国家统计局、国家发展改革委、财政部《关于印发中小企业划型标准规定的通知》（工信部联企业〔2011〕300号），以《国民经济行业分类》（GB/T4754-2017）为基础，结合统计工作的实际情况，制定本办法。</w:t>
      </w:r>
    </w:p>
    <w:p>
      <w:pPr>
        <w:shd w:val="clear" w:color="auto" w:fill="FFFFFF"/>
        <w:spacing w:before="150" w:line="420" w:lineRule="atLeast"/>
        <w:textAlignment w:val="baseline"/>
        <w:rPr>
          <w:rFonts w:ascii="仿宋" w:hAnsi="仿宋" w:eastAsia="仿宋" w:cs="仿宋"/>
          <w:szCs w:val="21"/>
          <w:shd w:val="clear" w:color="auto" w:fill="FFFFFF"/>
        </w:rPr>
      </w:pPr>
      <w:r>
        <w:rPr>
          <w:rFonts w:hint="eastAsia" w:ascii="仿宋" w:hAnsi="仿宋" w:eastAsia="仿宋" w:cs="仿宋"/>
          <w:szCs w:val="21"/>
          <w:shd w:val="clear" w:color="auto" w:fill="FFFFFF"/>
          <w:lang w:bidi="ar"/>
        </w:rPr>
        <w:t>二、本办法适用对象为在中华人民共和国境内依法设立的各种组织形式的法人企业或单位。个体工商户参照本办法进行划分。</w:t>
      </w:r>
    </w:p>
    <w:p>
      <w:pPr>
        <w:shd w:val="clear" w:color="auto" w:fill="FFFFFF"/>
        <w:spacing w:before="150" w:line="420" w:lineRule="atLeast"/>
        <w:textAlignment w:val="baseline"/>
        <w:rPr>
          <w:rFonts w:ascii="仿宋" w:hAnsi="仿宋" w:eastAsia="仿宋" w:cs="仿宋"/>
          <w:szCs w:val="21"/>
          <w:shd w:val="clear" w:color="auto" w:fill="FFFFFF"/>
        </w:rPr>
      </w:pPr>
      <w:r>
        <w:rPr>
          <w:rFonts w:hint="eastAsia" w:ascii="仿宋" w:hAnsi="仿宋" w:eastAsia="仿宋" w:cs="仿宋"/>
          <w:szCs w:val="21"/>
          <w:shd w:val="clear" w:color="auto" w:fill="FFFFFF"/>
          <w:lang w:bidi="ar"/>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shd w:val="clear" w:color="auto" w:fill="FFFFFF"/>
        <w:spacing w:before="150" w:line="420" w:lineRule="atLeast"/>
        <w:textAlignment w:val="baseline"/>
        <w:rPr>
          <w:rFonts w:ascii="仿宋" w:hAnsi="仿宋" w:eastAsia="仿宋" w:cs="仿宋"/>
          <w:szCs w:val="21"/>
          <w:shd w:val="clear" w:color="auto" w:fill="FFFFFF"/>
        </w:rPr>
      </w:pPr>
      <w:r>
        <w:rPr>
          <w:rFonts w:hint="eastAsia" w:ascii="仿宋" w:hAnsi="仿宋" w:eastAsia="仿宋" w:cs="仿宋"/>
          <w:szCs w:val="21"/>
          <w:shd w:val="clear" w:color="auto" w:fill="FFFFFF"/>
          <w:lang w:bidi="ar"/>
        </w:rPr>
        <w:t>四、本办法按照行业门类、大类、中类和组合类别，依据从业人员、营业收入、资产总额等指标或替代指标，将我国的企业划分为大型、中型、小型、微型等四种类型。具体划分标准见附表。</w:t>
      </w:r>
    </w:p>
    <w:p>
      <w:pPr>
        <w:shd w:val="clear" w:color="auto" w:fill="FFFFFF"/>
        <w:spacing w:before="150" w:line="420" w:lineRule="atLeast"/>
        <w:textAlignment w:val="baseline"/>
        <w:rPr>
          <w:rFonts w:ascii="仿宋" w:hAnsi="仿宋" w:eastAsia="仿宋" w:cs="仿宋"/>
          <w:szCs w:val="21"/>
          <w:shd w:val="clear" w:color="auto" w:fill="FFFFFF"/>
        </w:rPr>
      </w:pPr>
      <w:r>
        <w:rPr>
          <w:rFonts w:hint="eastAsia" w:ascii="仿宋" w:hAnsi="仿宋" w:eastAsia="仿宋" w:cs="仿宋"/>
          <w:szCs w:val="21"/>
          <w:shd w:val="clear" w:color="auto" w:fill="FFFFFF"/>
          <w:lang w:bidi="ar"/>
        </w:rPr>
        <w:t>五、企业划分由政府综合统计部门根据统计年报每年确定一次，定报统计原则上不进行调整。</w:t>
      </w:r>
    </w:p>
    <w:p>
      <w:pPr>
        <w:shd w:val="clear" w:color="auto" w:fill="FFFFFF"/>
        <w:spacing w:before="150" w:line="420" w:lineRule="atLeast"/>
        <w:textAlignment w:val="baseline"/>
        <w:rPr>
          <w:rFonts w:ascii="仿宋" w:hAnsi="仿宋" w:eastAsia="仿宋" w:cs="仿宋"/>
          <w:szCs w:val="21"/>
          <w:shd w:val="clear" w:color="auto" w:fill="FFFFFF"/>
        </w:rPr>
      </w:pPr>
      <w:r>
        <w:rPr>
          <w:rFonts w:hint="eastAsia" w:ascii="仿宋" w:hAnsi="仿宋" w:eastAsia="仿宋" w:cs="仿宋"/>
          <w:szCs w:val="21"/>
          <w:shd w:val="clear" w:color="auto" w:fill="FFFFFF"/>
          <w:lang w:bidi="ar"/>
        </w:rPr>
        <w:t>六、本办法自印发之日起执行，国家统计局2011年印发的《统计上大中小微型企业划分办法》（国统字〔2011〕75号）同时废止。</w:t>
      </w:r>
    </w:p>
    <w:p>
      <w:pPr>
        <w:shd w:val="clear" w:color="auto" w:fill="FFFFFF"/>
        <w:spacing w:before="150" w:line="420" w:lineRule="atLeast"/>
        <w:textAlignment w:val="baseline"/>
        <w:rPr>
          <w:rFonts w:ascii="仿宋" w:hAnsi="仿宋" w:eastAsia="仿宋" w:cs="仿宋"/>
          <w:szCs w:val="21"/>
          <w:shd w:val="clear" w:color="auto" w:fill="FFFFFF"/>
        </w:rPr>
      </w:pPr>
      <w:r>
        <w:rPr>
          <w:rFonts w:hint="eastAsia" w:ascii="仿宋" w:hAnsi="仿宋" w:eastAsia="仿宋" w:cs="仿宋"/>
          <w:szCs w:val="21"/>
          <w:shd w:val="clear" w:color="auto" w:fill="FFFFFF"/>
          <w:lang w:bidi="ar"/>
        </w:rPr>
        <w:t>附表：统计上大中小微型企业划分标准</w:t>
      </w:r>
    </w:p>
    <w:p>
      <w:pPr>
        <w:rPr>
          <w:rFonts w:ascii="仿宋" w:hAnsi="仿宋" w:eastAsia="仿宋" w:cs="仿宋"/>
        </w:rPr>
      </w:pPr>
    </w:p>
    <w:p>
      <w:pPr>
        <w:pStyle w:val="58"/>
        <w:autoSpaceDE w:val="0"/>
        <w:autoSpaceDN w:val="0"/>
        <w:snapToGrid w:val="0"/>
        <w:spacing w:before="120" w:beforeAutospacing="0" w:after="0" w:afterAutospacing="0" w:line="400" w:lineRule="atLeast"/>
        <w:ind w:firstLine="570"/>
        <w:jc w:val="both"/>
        <w:rPr>
          <w:rFonts w:ascii="仿宋" w:hAnsi="仿宋" w:eastAsia="仿宋" w:cs="仿宋"/>
        </w:rPr>
      </w:pPr>
    </w:p>
    <w:p>
      <w:pPr>
        <w:shd w:val="clear" w:color="auto" w:fill="FFFFFF"/>
        <w:spacing w:before="150" w:line="600" w:lineRule="atLeast"/>
        <w:jc w:val="center"/>
        <w:textAlignment w:val="baseline"/>
        <w:rPr>
          <w:rFonts w:ascii="仿宋" w:hAnsi="仿宋" w:eastAsia="仿宋" w:cs="仿宋"/>
          <w:b/>
          <w:bCs/>
          <w:sz w:val="36"/>
          <w:szCs w:val="36"/>
          <w:shd w:val="clear" w:color="auto" w:fill="FFFFFF"/>
        </w:rPr>
      </w:pPr>
    </w:p>
    <w:p>
      <w:pPr>
        <w:rPr>
          <w:rFonts w:ascii="仿宋" w:hAnsi="仿宋" w:eastAsia="仿宋" w:cs="仿宋"/>
          <w:b/>
          <w:bCs/>
          <w:sz w:val="36"/>
          <w:szCs w:val="36"/>
          <w:shd w:val="clear" w:color="auto" w:fill="FFFFFF"/>
          <w:lang w:bidi="ar"/>
        </w:rPr>
      </w:pPr>
      <w:r>
        <w:rPr>
          <w:rFonts w:hint="eastAsia" w:ascii="仿宋" w:hAnsi="仿宋" w:eastAsia="仿宋" w:cs="仿宋"/>
          <w:b/>
          <w:bCs/>
          <w:sz w:val="36"/>
          <w:szCs w:val="36"/>
          <w:shd w:val="clear" w:color="auto" w:fill="FFFFFF"/>
          <w:lang w:bidi="ar"/>
        </w:rPr>
        <w:br w:type="page"/>
      </w:r>
    </w:p>
    <w:p>
      <w:pPr>
        <w:shd w:val="clear" w:color="auto" w:fill="FFFFFF"/>
        <w:spacing w:before="150" w:line="600" w:lineRule="atLeast"/>
        <w:jc w:val="center"/>
        <w:textAlignment w:val="baseline"/>
        <w:rPr>
          <w:rFonts w:ascii="仿宋" w:hAnsi="仿宋" w:eastAsia="仿宋" w:cs="仿宋"/>
          <w:b/>
          <w:bCs/>
          <w:sz w:val="36"/>
          <w:szCs w:val="36"/>
          <w:shd w:val="clear" w:color="auto" w:fill="FFFFFF"/>
        </w:rPr>
      </w:pPr>
      <w:r>
        <w:rPr>
          <w:rFonts w:hint="eastAsia" w:ascii="仿宋" w:hAnsi="仿宋" w:eastAsia="仿宋" w:cs="仿宋"/>
          <w:b/>
          <w:bCs/>
          <w:sz w:val="36"/>
          <w:szCs w:val="36"/>
          <w:shd w:val="clear" w:color="auto" w:fill="FFFFFF"/>
          <w:lang w:bidi="ar"/>
        </w:rPr>
        <w:t>统计上大中小微型企业划分标准</w:t>
      </w:r>
    </w:p>
    <w:tbl>
      <w:tblPr>
        <w:tblStyle w:val="63"/>
        <w:tblW w:w="13478" w:type="dxa"/>
        <w:jc w:val="center"/>
        <w:tblLayout w:type="autofit"/>
        <w:tblCellMar>
          <w:top w:w="0" w:type="dxa"/>
          <w:left w:w="0" w:type="dxa"/>
          <w:bottom w:w="0" w:type="dxa"/>
          <w:right w:w="0" w:type="dxa"/>
        </w:tblCellMar>
      </w:tblPr>
      <w:tblGrid>
        <w:gridCol w:w="2467"/>
        <w:gridCol w:w="2088"/>
        <w:gridCol w:w="1318"/>
        <w:gridCol w:w="2088"/>
        <w:gridCol w:w="2088"/>
        <w:gridCol w:w="2088"/>
        <w:gridCol w:w="1341"/>
      </w:tblGrid>
      <w:tr>
        <w:trPr>
          <w:trHeight w:val="406" w:hRule="atLeast"/>
          <w:jc w:val="center"/>
        </w:trPr>
        <w:tc>
          <w:tcPr>
            <w:tcW w:w="2467" w:type="dxa"/>
            <w:tcBorders>
              <w:top w:val="single" w:color="B7B7B7" w:sz="6" w:space="0"/>
              <w:left w:val="single" w:color="B7B7B7" w:sz="6" w:space="0"/>
              <w:bottom w:val="single" w:color="B7B7B7" w:sz="6" w:space="0"/>
              <w:right w:val="single" w:color="B7B7B7" w:sz="6" w:space="0"/>
            </w:tcBorders>
            <w:shd w:val="clear" w:color="auto" w:fill="auto"/>
            <w:tcMar>
              <w:top w:w="75" w:type="dxa"/>
              <w:left w:w="75" w:type="dxa"/>
              <w:bottom w:w="75" w:type="dxa"/>
              <w:right w:w="75" w:type="dxa"/>
            </w:tcMar>
            <w:vAlign w:val="bottom"/>
          </w:tcPr>
          <w:p>
            <w:pPr>
              <w:jc w:val="center"/>
              <w:rPr>
                <w:rFonts w:ascii="仿宋" w:hAnsi="仿宋" w:eastAsia="仿宋" w:cs="仿宋"/>
                <w:b/>
                <w:bCs/>
                <w:szCs w:val="21"/>
              </w:rPr>
            </w:pPr>
            <w:r>
              <w:rPr>
                <w:rFonts w:hint="eastAsia" w:ascii="仿宋" w:hAnsi="仿宋" w:eastAsia="仿宋" w:cs="仿宋"/>
                <w:b/>
                <w:bCs/>
                <w:szCs w:val="21"/>
                <w:lang w:bidi="ar"/>
              </w:rPr>
              <w:t>行业名称</w:t>
            </w:r>
          </w:p>
        </w:tc>
        <w:tc>
          <w:tcPr>
            <w:tcW w:w="2088" w:type="dxa"/>
            <w:tcBorders>
              <w:top w:val="single" w:color="B7B7B7" w:sz="6" w:space="0"/>
              <w:left w:val="single" w:color="B7B7B7" w:sz="6" w:space="0"/>
              <w:bottom w:val="single" w:color="B7B7B7" w:sz="6" w:space="0"/>
              <w:right w:val="single" w:color="B7B7B7" w:sz="6" w:space="0"/>
            </w:tcBorders>
            <w:shd w:val="clear" w:color="auto" w:fill="auto"/>
            <w:tcMar>
              <w:top w:w="75" w:type="dxa"/>
              <w:left w:w="75" w:type="dxa"/>
              <w:bottom w:w="75" w:type="dxa"/>
              <w:right w:w="75" w:type="dxa"/>
            </w:tcMar>
            <w:vAlign w:val="bottom"/>
          </w:tcPr>
          <w:p>
            <w:pPr>
              <w:jc w:val="center"/>
              <w:rPr>
                <w:rFonts w:ascii="仿宋" w:hAnsi="仿宋" w:eastAsia="仿宋" w:cs="仿宋"/>
                <w:b/>
                <w:bCs/>
                <w:szCs w:val="21"/>
              </w:rPr>
            </w:pPr>
            <w:r>
              <w:rPr>
                <w:rFonts w:hint="eastAsia" w:ascii="仿宋" w:hAnsi="仿宋" w:eastAsia="仿宋" w:cs="仿宋"/>
                <w:b/>
                <w:bCs/>
                <w:szCs w:val="21"/>
                <w:lang w:bidi="ar"/>
              </w:rPr>
              <w:t>指标名称</w:t>
            </w:r>
          </w:p>
        </w:tc>
        <w:tc>
          <w:tcPr>
            <w:tcW w:w="1318" w:type="dxa"/>
            <w:tcBorders>
              <w:top w:val="single" w:color="B7B7B7" w:sz="6" w:space="0"/>
              <w:left w:val="single" w:color="B7B7B7" w:sz="6" w:space="0"/>
              <w:bottom w:val="single" w:color="B7B7B7" w:sz="6" w:space="0"/>
              <w:right w:val="single" w:color="B7B7B7" w:sz="6" w:space="0"/>
            </w:tcBorders>
            <w:shd w:val="clear" w:color="auto" w:fill="auto"/>
            <w:tcMar>
              <w:top w:w="75" w:type="dxa"/>
              <w:left w:w="75" w:type="dxa"/>
              <w:bottom w:w="75" w:type="dxa"/>
              <w:right w:w="75" w:type="dxa"/>
            </w:tcMar>
            <w:vAlign w:val="bottom"/>
          </w:tcPr>
          <w:p>
            <w:pPr>
              <w:jc w:val="center"/>
              <w:rPr>
                <w:rFonts w:ascii="仿宋" w:hAnsi="仿宋" w:eastAsia="仿宋" w:cs="仿宋"/>
                <w:b/>
                <w:bCs/>
                <w:szCs w:val="21"/>
              </w:rPr>
            </w:pPr>
            <w:r>
              <w:rPr>
                <w:rFonts w:hint="eastAsia" w:ascii="仿宋" w:hAnsi="仿宋" w:eastAsia="仿宋" w:cs="仿宋"/>
                <w:b/>
                <w:bCs/>
                <w:szCs w:val="21"/>
                <w:lang w:bidi="ar"/>
              </w:rPr>
              <w:t>计量单位</w:t>
            </w:r>
          </w:p>
        </w:tc>
        <w:tc>
          <w:tcPr>
            <w:tcW w:w="2088" w:type="dxa"/>
            <w:tcBorders>
              <w:top w:val="single" w:color="B7B7B7" w:sz="6" w:space="0"/>
              <w:left w:val="single" w:color="B7B7B7" w:sz="6" w:space="0"/>
              <w:bottom w:val="single" w:color="B7B7B7" w:sz="6" w:space="0"/>
              <w:right w:val="single" w:color="B7B7B7" w:sz="6" w:space="0"/>
            </w:tcBorders>
            <w:shd w:val="clear" w:color="auto" w:fill="auto"/>
            <w:tcMar>
              <w:top w:w="75" w:type="dxa"/>
              <w:left w:w="75" w:type="dxa"/>
              <w:bottom w:w="75" w:type="dxa"/>
              <w:right w:w="75" w:type="dxa"/>
            </w:tcMar>
            <w:vAlign w:val="bottom"/>
          </w:tcPr>
          <w:p>
            <w:pPr>
              <w:jc w:val="center"/>
              <w:rPr>
                <w:rFonts w:ascii="仿宋" w:hAnsi="仿宋" w:eastAsia="仿宋" w:cs="仿宋"/>
                <w:b/>
                <w:bCs/>
                <w:szCs w:val="21"/>
              </w:rPr>
            </w:pPr>
            <w:r>
              <w:rPr>
                <w:rFonts w:hint="eastAsia" w:ascii="仿宋" w:hAnsi="仿宋" w:eastAsia="仿宋" w:cs="仿宋"/>
                <w:b/>
                <w:bCs/>
                <w:szCs w:val="21"/>
                <w:lang w:bidi="ar"/>
              </w:rPr>
              <w:t>大型</w:t>
            </w:r>
          </w:p>
        </w:tc>
        <w:tc>
          <w:tcPr>
            <w:tcW w:w="2088" w:type="dxa"/>
            <w:tcBorders>
              <w:top w:val="single" w:color="B7B7B7" w:sz="6" w:space="0"/>
              <w:left w:val="single" w:color="B7B7B7" w:sz="6" w:space="0"/>
              <w:bottom w:val="single" w:color="B7B7B7" w:sz="6" w:space="0"/>
              <w:right w:val="single" w:color="B7B7B7" w:sz="6" w:space="0"/>
            </w:tcBorders>
            <w:shd w:val="clear" w:color="auto" w:fill="auto"/>
            <w:tcMar>
              <w:top w:w="75" w:type="dxa"/>
              <w:left w:w="75" w:type="dxa"/>
              <w:bottom w:w="75" w:type="dxa"/>
              <w:right w:w="75" w:type="dxa"/>
            </w:tcMar>
            <w:vAlign w:val="bottom"/>
          </w:tcPr>
          <w:p>
            <w:pPr>
              <w:jc w:val="center"/>
              <w:rPr>
                <w:rFonts w:ascii="仿宋" w:hAnsi="仿宋" w:eastAsia="仿宋" w:cs="仿宋"/>
                <w:b/>
                <w:bCs/>
                <w:szCs w:val="21"/>
              </w:rPr>
            </w:pPr>
            <w:r>
              <w:rPr>
                <w:rFonts w:hint="eastAsia" w:ascii="仿宋" w:hAnsi="仿宋" w:eastAsia="仿宋" w:cs="仿宋"/>
                <w:b/>
                <w:bCs/>
                <w:szCs w:val="21"/>
                <w:lang w:bidi="ar"/>
              </w:rPr>
              <w:t>中型</w:t>
            </w:r>
          </w:p>
        </w:tc>
        <w:tc>
          <w:tcPr>
            <w:tcW w:w="2088" w:type="dxa"/>
            <w:tcBorders>
              <w:top w:val="single" w:color="B7B7B7" w:sz="6" w:space="0"/>
              <w:left w:val="single" w:color="B7B7B7" w:sz="6" w:space="0"/>
              <w:bottom w:val="single" w:color="B7B7B7" w:sz="6" w:space="0"/>
              <w:right w:val="single" w:color="B7B7B7" w:sz="6" w:space="0"/>
            </w:tcBorders>
            <w:shd w:val="clear" w:color="auto" w:fill="auto"/>
            <w:tcMar>
              <w:top w:w="75" w:type="dxa"/>
              <w:left w:w="75" w:type="dxa"/>
              <w:bottom w:w="75" w:type="dxa"/>
              <w:right w:w="75" w:type="dxa"/>
            </w:tcMar>
            <w:vAlign w:val="bottom"/>
          </w:tcPr>
          <w:p>
            <w:pPr>
              <w:jc w:val="center"/>
              <w:rPr>
                <w:rFonts w:ascii="仿宋" w:hAnsi="仿宋" w:eastAsia="仿宋" w:cs="仿宋"/>
                <w:b/>
                <w:bCs/>
                <w:szCs w:val="21"/>
              </w:rPr>
            </w:pPr>
            <w:r>
              <w:rPr>
                <w:rFonts w:hint="eastAsia" w:ascii="仿宋" w:hAnsi="仿宋" w:eastAsia="仿宋" w:cs="仿宋"/>
                <w:b/>
                <w:bCs/>
                <w:szCs w:val="21"/>
                <w:lang w:bidi="ar"/>
              </w:rPr>
              <w:t>小型</w:t>
            </w:r>
          </w:p>
        </w:tc>
        <w:tc>
          <w:tcPr>
            <w:tcW w:w="1341" w:type="dxa"/>
            <w:tcBorders>
              <w:top w:val="single" w:color="B7B7B7" w:sz="6" w:space="0"/>
              <w:left w:val="single" w:color="B7B7B7" w:sz="6" w:space="0"/>
              <w:bottom w:val="single" w:color="B7B7B7" w:sz="6" w:space="0"/>
              <w:right w:val="single" w:color="B7B7B7" w:sz="6" w:space="0"/>
            </w:tcBorders>
            <w:shd w:val="clear" w:color="auto" w:fill="auto"/>
            <w:tcMar>
              <w:top w:w="75" w:type="dxa"/>
              <w:left w:w="75" w:type="dxa"/>
              <w:bottom w:w="75" w:type="dxa"/>
              <w:right w:w="75" w:type="dxa"/>
            </w:tcMar>
            <w:vAlign w:val="bottom"/>
          </w:tcPr>
          <w:p>
            <w:pPr>
              <w:jc w:val="center"/>
              <w:rPr>
                <w:rFonts w:ascii="仿宋" w:hAnsi="仿宋" w:eastAsia="仿宋" w:cs="仿宋"/>
                <w:b/>
                <w:bCs/>
                <w:szCs w:val="21"/>
              </w:rPr>
            </w:pPr>
            <w:r>
              <w:rPr>
                <w:rFonts w:hint="eastAsia" w:ascii="仿宋" w:hAnsi="仿宋" w:eastAsia="仿宋" w:cs="仿宋"/>
                <w:b/>
                <w:bCs/>
                <w:szCs w:val="21"/>
                <w:lang w:bidi="ar"/>
              </w:rPr>
              <w:t>微型</w:t>
            </w:r>
          </w:p>
        </w:tc>
      </w:tr>
      <w:tr>
        <w:tblPrEx>
          <w:tblCellMar>
            <w:top w:w="0" w:type="dxa"/>
            <w:left w:w="0" w:type="dxa"/>
            <w:bottom w:w="0" w:type="dxa"/>
            <w:right w:w="0" w:type="dxa"/>
          </w:tblCellMar>
        </w:tblPrEx>
        <w:trPr>
          <w:trHeight w:val="353" w:hRule="atLeast"/>
          <w:jc w:val="center"/>
        </w:trPr>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农、林、牧、渔业</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营业收入(Y)</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万元</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Y≥20000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500≤Y＜20000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50≤Y＜500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Y＜50</w:t>
            </w:r>
          </w:p>
        </w:tc>
      </w:tr>
      <w:tr>
        <w:tblPrEx>
          <w:tblCellMar>
            <w:top w:w="0" w:type="dxa"/>
            <w:left w:w="0" w:type="dxa"/>
            <w:bottom w:w="0" w:type="dxa"/>
            <w:right w:w="0" w:type="dxa"/>
          </w:tblCellMar>
        </w:tblPrEx>
        <w:trPr>
          <w:trHeight w:val="353" w:hRule="atLeast"/>
          <w:jc w:val="center"/>
        </w:trPr>
        <w:tc>
          <w:tcPr>
            <w:tcW w:w="0" w:type="auto"/>
            <w:vMerge w:val="restart"/>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工业 *</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从业人员(X)</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人</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X≥1000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300≤X＜1000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20≤X＜300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X＜20</w:t>
            </w:r>
          </w:p>
        </w:tc>
      </w:tr>
      <w:tr>
        <w:tblPrEx>
          <w:tblCellMar>
            <w:top w:w="0" w:type="dxa"/>
            <w:left w:w="0" w:type="dxa"/>
            <w:bottom w:w="0" w:type="dxa"/>
            <w:right w:w="0" w:type="dxa"/>
          </w:tblCellMar>
        </w:tblPrEx>
        <w:trPr>
          <w:trHeight w:val="353" w:hRule="atLeast"/>
          <w:jc w:val="center"/>
        </w:trPr>
        <w:tc>
          <w:tcPr>
            <w:tcW w:w="0" w:type="auto"/>
            <w:vMerge w:val="continue"/>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sz w:val="20"/>
                <w:szCs w:val="20"/>
              </w:rPr>
            </w:pP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营业收入(Y)</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万元</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Y≥40000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2000≤Y＜40000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300≤Y＜2000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Y＜300</w:t>
            </w:r>
          </w:p>
        </w:tc>
      </w:tr>
      <w:tr>
        <w:tblPrEx>
          <w:tblCellMar>
            <w:top w:w="0" w:type="dxa"/>
            <w:left w:w="0" w:type="dxa"/>
            <w:bottom w:w="0" w:type="dxa"/>
            <w:right w:w="0" w:type="dxa"/>
          </w:tblCellMar>
        </w:tblPrEx>
        <w:trPr>
          <w:trHeight w:val="353" w:hRule="atLeast"/>
          <w:jc w:val="center"/>
        </w:trPr>
        <w:tc>
          <w:tcPr>
            <w:tcW w:w="0" w:type="auto"/>
            <w:vMerge w:val="restart"/>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建筑业</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营业收入(Y)</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万元</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Y≥80000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6000≤Y＜80000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300≤Y＜6000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Y＜300</w:t>
            </w:r>
          </w:p>
        </w:tc>
      </w:tr>
      <w:tr>
        <w:tblPrEx>
          <w:tblCellMar>
            <w:top w:w="0" w:type="dxa"/>
            <w:left w:w="0" w:type="dxa"/>
            <w:bottom w:w="0" w:type="dxa"/>
            <w:right w:w="0" w:type="dxa"/>
          </w:tblCellMar>
        </w:tblPrEx>
        <w:trPr>
          <w:trHeight w:val="353" w:hRule="atLeast"/>
          <w:jc w:val="center"/>
        </w:trPr>
        <w:tc>
          <w:tcPr>
            <w:tcW w:w="0" w:type="auto"/>
            <w:vMerge w:val="continue"/>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sz w:val="20"/>
                <w:szCs w:val="20"/>
              </w:rPr>
            </w:pP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资产总额(Z)</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万元</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Z≥80000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5000≤Z＜80000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300≤Z＜5000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Z＜300</w:t>
            </w:r>
          </w:p>
        </w:tc>
      </w:tr>
      <w:tr>
        <w:tblPrEx>
          <w:tblCellMar>
            <w:top w:w="0" w:type="dxa"/>
            <w:left w:w="0" w:type="dxa"/>
            <w:bottom w:w="0" w:type="dxa"/>
            <w:right w:w="0" w:type="dxa"/>
          </w:tblCellMar>
        </w:tblPrEx>
        <w:trPr>
          <w:trHeight w:val="353" w:hRule="atLeast"/>
          <w:jc w:val="center"/>
        </w:trPr>
        <w:tc>
          <w:tcPr>
            <w:tcW w:w="0" w:type="auto"/>
            <w:vMerge w:val="restart"/>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批发业</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从业人员(X)</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人</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X≥200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20≤X＜200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5≤X＜20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X＜5</w:t>
            </w:r>
          </w:p>
        </w:tc>
      </w:tr>
      <w:tr>
        <w:tblPrEx>
          <w:tblCellMar>
            <w:top w:w="0" w:type="dxa"/>
            <w:left w:w="0" w:type="dxa"/>
            <w:bottom w:w="0" w:type="dxa"/>
            <w:right w:w="0" w:type="dxa"/>
          </w:tblCellMar>
        </w:tblPrEx>
        <w:trPr>
          <w:trHeight w:val="353" w:hRule="atLeast"/>
          <w:jc w:val="center"/>
        </w:trPr>
        <w:tc>
          <w:tcPr>
            <w:tcW w:w="0" w:type="auto"/>
            <w:vMerge w:val="continue"/>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sz w:val="20"/>
                <w:szCs w:val="20"/>
              </w:rPr>
            </w:pP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营业收入(Y)</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万元</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Y≥40000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5000≤Y＜40000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1000≤Y＜5000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Y＜1000</w:t>
            </w:r>
          </w:p>
        </w:tc>
      </w:tr>
      <w:tr>
        <w:tblPrEx>
          <w:tblCellMar>
            <w:top w:w="0" w:type="dxa"/>
            <w:left w:w="0" w:type="dxa"/>
            <w:bottom w:w="0" w:type="dxa"/>
            <w:right w:w="0" w:type="dxa"/>
          </w:tblCellMar>
        </w:tblPrEx>
        <w:trPr>
          <w:trHeight w:val="353" w:hRule="atLeast"/>
          <w:jc w:val="center"/>
        </w:trPr>
        <w:tc>
          <w:tcPr>
            <w:tcW w:w="0" w:type="auto"/>
            <w:vMerge w:val="restart"/>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零售业</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从业人员(X)</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人</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X≥300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50≤X＜300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10≤X＜50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X＜10</w:t>
            </w:r>
          </w:p>
        </w:tc>
      </w:tr>
      <w:tr>
        <w:tblPrEx>
          <w:tblCellMar>
            <w:top w:w="0" w:type="dxa"/>
            <w:left w:w="0" w:type="dxa"/>
            <w:bottom w:w="0" w:type="dxa"/>
            <w:right w:w="0" w:type="dxa"/>
          </w:tblCellMar>
        </w:tblPrEx>
        <w:trPr>
          <w:trHeight w:val="353" w:hRule="atLeast"/>
          <w:jc w:val="center"/>
        </w:trPr>
        <w:tc>
          <w:tcPr>
            <w:tcW w:w="0" w:type="auto"/>
            <w:vMerge w:val="continue"/>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sz w:val="20"/>
                <w:szCs w:val="20"/>
              </w:rPr>
            </w:pP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营业收入(Y)</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万元</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Y≥20000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500≤Y＜20000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100≤Y＜500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Y＜100</w:t>
            </w:r>
          </w:p>
        </w:tc>
      </w:tr>
      <w:tr>
        <w:tblPrEx>
          <w:tblCellMar>
            <w:top w:w="0" w:type="dxa"/>
            <w:left w:w="0" w:type="dxa"/>
            <w:bottom w:w="0" w:type="dxa"/>
            <w:right w:w="0" w:type="dxa"/>
          </w:tblCellMar>
        </w:tblPrEx>
        <w:trPr>
          <w:trHeight w:val="353" w:hRule="atLeast"/>
          <w:jc w:val="center"/>
        </w:trPr>
        <w:tc>
          <w:tcPr>
            <w:tcW w:w="0" w:type="auto"/>
            <w:vMerge w:val="restart"/>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交通运输业 *</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从业人员(X)</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人</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X≥1000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300≤X＜1000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20≤X＜300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X＜20</w:t>
            </w:r>
          </w:p>
        </w:tc>
      </w:tr>
      <w:tr>
        <w:tblPrEx>
          <w:tblCellMar>
            <w:top w:w="0" w:type="dxa"/>
            <w:left w:w="0" w:type="dxa"/>
            <w:bottom w:w="0" w:type="dxa"/>
            <w:right w:w="0" w:type="dxa"/>
          </w:tblCellMar>
        </w:tblPrEx>
        <w:trPr>
          <w:trHeight w:val="353" w:hRule="atLeast"/>
          <w:jc w:val="center"/>
        </w:trPr>
        <w:tc>
          <w:tcPr>
            <w:tcW w:w="0" w:type="auto"/>
            <w:vMerge w:val="continue"/>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sz w:val="20"/>
                <w:szCs w:val="20"/>
              </w:rPr>
            </w:pP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营业收入(Y)</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万元</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Y≥30000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3000≤Y＜30000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200≤Y＜3000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Y＜200</w:t>
            </w:r>
          </w:p>
        </w:tc>
      </w:tr>
      <w:tr>
        <w:tblPrEx>
          <w:tblCellMar>
            <w:top w:w="0" w:type="dxa"/>
            <w:left w:w="0" w:type="dxa"/>
            <w:bottom w:w="0" w:type="dxa"/>
            <w:right w:w="0" w:type="dxa"/>
          </w:tblCellMar>
        </w:tblPrEx>
        <w:trPr>
          <w:trHeight w:val="353" w:hRule="atLeast"/>
          <w:jc w:val="center"/>
        </w:trPr>
        <w:tc>
          <w:tcPr>
            <w:tcW w:w="0" w:type="auto"/>
            <w:vMerge w:val="restart"/>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仓储业*</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从业人员(X)</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人</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X≥200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100≤X＜200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20≤X＜100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X＜20</w:t>
            </w:r>
          </w:p>
        </w:tc>
      </w:tr>
      <w:tr>
        <w:tblPrEx>
          <w:tblCellMar>
            <w:top w:w="0" w:type="dxa"/>
            <w:left w:w="0" w:type="dxa"/>
            <w:bottom w:w="0" w:type="dxa"/>
            <w:right w:w="0" w:type="dxa"/>
          </w:tblCellMar>
        </w:tblPrEx>
        <w:trPr>
          <w:trHeight w:val="353" w:hRule="atLeast"/>
          <w:jc w:val="center"/>
        </w:trPr>
        <w:tc>
          <w:tcPr>
            <w:tcW w:w="0" w:type="auto"/>
            <w:vMerge w:val="continue"/>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sz w:val="20"/>
                <w:szCs w:val="20"/>
              </w:rPr>
            </w:pP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营业收入(Y)</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万元</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Y≥30000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1000≤Y＜30000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100≤Y＜1000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Y＜100</w:t>
            </w:r>
          </w:p>
        </w:tc>
      </w:tr>
      <w:tr>
        <w:tblPrEx>
          <w:tblCellMar>
            <w:top w:w="0" w:type="dxa"/>
            <w:left w:w="0" w:type="dxa"/>
            <w:bottom w:w="0" w:type="dxa"/>
            <w:right w:w="0" w:type="dxa"/>
          </w:tblCellMar>
        </w:tblPrEx>
        <w:trPr>
          <w:trHeight w:val="353" w:hRule="atLeast"/>
          <w:jc w:val="center"/>
        </w:trPr>
        <w:tc>
          <w:tcPr>
            <w:tcW w:w="0" w:type="auto"/>
            <w:vMerge w:val="restart"/>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邮政业</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从业人员(X)</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人</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X≥1000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300≤X＜1000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20≤X＜300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X＜20</w:t>
            </w:r>
          </w:p>
        </w:tc>
      </w:tr>
      <w:tr>
        <w:tblPrEx>
          <w:tblCellMar>
            <w:top w:w="0" w:type="dxa"/>
            <w:left w:w="0" w:type="dxa"/>
            <w:bottom w:w="0" w:type="dxa"/>
            <w:right w:w="0" w:type="dxa"/>
          </w:tblCellMar>
        </w:tblPrEx>
        <w:trPr>
          <w:trHeight w:val="353" w:hRule="atLeast"/>
          <w:jc w:val="center"/>
        </w:trPr>
        <w:tc>
          <w:tcPr>
            <w:tcW w:w="0" w:type="auto"/>
            <w:vMerge w:val="continue"/>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sz w:val="20"/>
                <w:szCs w:val="20"/>
              </w:rPr>
            </w:pP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营业收入(Y)</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万元</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Y≥30000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2000≤Y＜30000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100≤Y＜2000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Y＜100</w:t>
            </w:r>
          </w:p>
        </w:tc>
      </w:tr>
      <w:tr>
        <w:tblPrEx>
          <w:tblCellMar>
            <w:top w:w="0" w:type="dxa"/>
            <w:left w:w="0" w:type="dxa"/>
            <w:bottom w:w="0" w:type="dxa"/>
            <w:right w:w="0" w:type="dxa"/>
          </w:tblCellMar>
        </w:tblPrEx>
        <w:trPr>
          <w:trHeight w:val="353" w:hRule="atLeast"/>
          <w:jc w:val="center"/>
        </w:trPr>
        <w:tc>
          <w:tcPr>
            <w:tcW w:w="0" w:type="auto"/>
            <w:vMerge w:val="restart"/>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住宿业</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从业人员(X)</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人</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X≥300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100≤X＜300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10≤X＜100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X＜10</w:t>
            </w:r>
          </w:p>
        </w:tc>
      </w:tr>
      <w:tr>
        <w:tblPrEx>
          <w:tblCellMar>
            <w:top w:w="0" w:type="dxa"/>
            <w:left w:w="0" w:type="dxa"/>
            <w:bottom w:w="0" w:type="dxa"/>
            <w:right w:w="0" w:type="dxa"/>
          </w:tblCellMar>
        </w:tblPrEx>
        <w:trPr>
          <w:trHeight w:val="353" w:hRule="atLeast"/>
          <w:jc w:val="center"/>
        </w:trPr>
        <w:tc>
          <w:tcPr>
            <w:tcW w:w="0" w:type="auto"/>
            <w:vMerge w:val="continue"/>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sz w:val="20"/>
                <w:szCs w:val="20"/>
              </w:rPr>
            </w:pP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营业收入(Y)</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万元</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Y≥10000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2000≤Y＜10000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100≤Y＜2000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Y＜100</w:t>
            </w:r>
          </w:p>
        </w:tc>
      </w:tr>
      <w:tr>
        <w:tblPrEx>
          <w:tblCellMar>
            <w:top w:w="0" w:type="dxa"/>
            <w:left w:w="0" w:type="dxa"/>
            <w:bottom w:w="0" w:type="dxa"/>
            <w:right w:w="0" w:type="dxa"/>
          </w:tblCellMar>
        </w:tblPrEx>
        <w:trPr>
          <w:trHeight w:val="353" w:hRule="atLeast"/>
          <w:jc w:val="center"/>
        </w:trPr>
        <w:tc>
          <w:tcPr>
            <w:tcW w:w="0" w:type="auto"/>
            <w:vMerge w:val="restart"/>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餐饮业</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从业人员(X)</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人</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X≥300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100≤X＜300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10≤X＜100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X＜10</w:t>
            </w:r>
          </w:p>
        </w:tc>
      </w:tr>
      <w:tr>
        <w:tblPrEx>
          <w:tblCellMar>
            <w:top w:w="0" w:type="dxa"/>
            <w:left w:w="0" w:type="dxa"/>
            <w:bottom w:w="0" w:type="dxa"/>
            <w:right w:w="0" w:type="dxa"/>
          </w:tblCellMar>
        </w:tblPrEx>
        <w:trPr>
          <w:trHeight w:val="353" w:hRule="atLeast"/>
          <w:jc w:val="center"/>
        </w:trPr>
        <w:tc>
          <w:tcPr>
            <w:tcW w:w="0" w:type="auto"/>
            <w:vMerge w:val="continue"/>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sz w:val="20"/>
                <w:szCs w:val="20"/>
              </w:rPr>
            </w:pP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营业收入(Y)</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万元</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Y≥10000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2000≤Y＜10000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100≤Y＜2000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Y＜100</w:t>
            </w:r>
          </w:p>
        </w:tc>
      </w:tr>
      <w:tr>
        <w:tblPrEx>
          <w:tblCellMar>
            <w:top w:w="0" w:type="dxa"/>
            <w:left w:w="0" w:type="dxa"/>
            <w:bottom w:w="0" w:type="dxa"/>
            <w:right w:w="0" w:type="dxa"/>
          </w:tblCellMar>
        </w:tblPrEx>
        <w:trPr>
          <w:trHeight w:val="353" w:hRule="atLeast"/>
          <w:jc w:val="center"/>
        </w:trPr>
        <w:tc>
          <w:tcPr>
            <w:tcW w:w="0" w:type="auto"/>
            <w:vMerge w:val="restart"/>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 xml:space="preserve"> </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从业人员(X)</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人</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X≥2000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100≤X＜2000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10≤X＜100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X＜10</w:t>
            </w:r>
          </w:p>
        </w:tc>
      </w:tr>
      <w:tr>
        <w:tblPrEx>
          <w:tblCellMar>
            <w:top w:w="0" w:type="dxa"/>
            <w:left w:w="0" w:type="dxa"/>
            <w:bottom w:w="0" w:type="dxa"/>
            <w:right w:w="0" w:type="dxa"/>
          </w:tblCellMar>
        </w:tblPrEx>
        <w:trPr>
          <w:trHeight w:val="353" w:hRule="atLeast"/>
          <w:jc w:val="center"/>
        </w:trPr>
        <w:tc>
          <w:tcPr>
            <w:tcW w:w="0" w:type="auto"/>
            <w:vMerge w:val="continue"/>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sz w:val="20"/>
                <w:szCs w:val="20"/>
              </w:rPr>
            </w:pP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营业收入(Y)</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万元</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Y≥100000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1000≤Y＜100000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100≤Y＜1000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Y＜100</w:t>
            </w:r>
          </w:p>
        </w:tc>
      </w:tr>
      <w:tr>
        <w:tblPrEx>
          <w:tblCellMar>
            <w:top w:w="0" w:type="dxa"/>
            <w:left w:w="0" w:type="dxa"/>
            <w:bottom w:w="0" w:type="dxa"/>
            <w:right w:w="0" w:type="dxa"/>
          </w:tblCellMar>
        </w:tblPrEx>
        <w:trPr>
          <w:trHeight w:val="353" w:hRule="atLeast"/>
          <w:jc w:val="center"/>
        </w:trPr>
        <w:tc>
          <w:tcPr>
            <w:tcW w:w="0" w:type="auto"/>
            <w:vMerge w:val="restart"/>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软件和信息技术服务业</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从业人员(X)</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人</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X≥300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100≤X＜300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10≤X＜100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X＜10</w:t>
            </w:r>
          </w:p>
        </w:tc>
      </w:tr>
      <w:tr>
        <w:tblPrEx>
          <w:tblCellMar>
            <w:top w:w="0" w:type="dxa"/>
            <w:left w:w="0" w:type="dxa"/>
            <w:bottom w:w="0" w:type="dxa"/>
            <w:right w:w="0" w:type="dxa"/>
          </w:tblCellMar>
        </w:tblPrEx>
        <w:trPr>
          <w:trHeight w:val="353" w:hRule="atLeast"/>
          <w:jc w:val="center"/>
        </w:trPr>
        <w:tc>
          <w:tcPr>
            <w:tcW w:w="0" w:type="auto"/>
            <w:vMerge w:val="continue"/>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sz w:val="20"/>
                <w:szCs w:val="20"/>
              </w:rPr>
            </w:pP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营业收入(Y)</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万元</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Y≥10000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1000≤Y＜10000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50≤Y＜1000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Y＜50</w:t>
            </w:r>
          </w:p>
        </w:tc>
      </w:tr>
      <w:tr>
        <w:tblPrEx>
          <w:tblCellMar>
            <w:top w:w="0" w:type="dxa"/>
            <w:left w:w="0" w:type="dxa"/>
            <w:bottom w:w="0" w:type="dxa"/>
            <w:right w:w="0" w:type="dxa"/>
          </w:tblCellMar>
        </w:tblPrEx>
        <w:trPr>
          <w:trHeight w:val="353" w:hRule="atLeast"/>
          <w:jc w:val="center"/>
        </w:trPr>
        <w:tc>
          <w:tcPr>
            <w:tcW w:w="0" w:type="auto"/>
            <w:vMerge w:val="restart"/>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房地产开发经营</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营业收入(Y)</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万元</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Y≥200000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1000≤Y＜200000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100≤Y＜1000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Y＜100</w:t>
            </w:r>
          </w:p>
        </w:tc>
      </w:tr>
      <w:tr>
        <w:tblPrEx>
          <w:tblCellMar>
            <w:top w:w="0" w:type="dxa"/>
            <w:left w:w="0" w:type="dxa"/>
            <w:bottom w:w="0" w:type="dxa"/>
            <w:right w:w="0" w:type="dxa"/>
          </w:tblCellMar>
        </w:tblPrEx>
        <w:trPr>
          <w:trHeight w:val="353" w:hRule="atLeast"/>
          <w:jc w:val="center"/>
        </w:trPr>
        <w:tc>
          <w:tcPr>
            <w:tcW w:w="0" w:type="auto"/>
            <w:vMerge w:val="continue"/>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sz w:val="20"/>
                <w:szCs w:val="20"/>
              </w:rPr>
            </w:pP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资产总额(Z)</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万元</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Z≥10000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5000≤Z＜10000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2000≤Z＜5000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Z＜2000</w:t>
            </w:r>
          </w:p>
        </w:tc>
      </w:tr>
      <w:tr>
        <w:tblPrEx>
          <w:tblCellMar>
            <w:top w:w="0" w:type="dxa"/>
            <w:left w:w="0" w:type="dxa"/>
            <w:bottom w:w="0" w:type="dxa"/>
            <w:right w:w="0" w:type="dxa"/>
          </w:tblCellMar>
        </w:tblPrEx>
        <w:trPr>
          <w:trHeight w:val="353" w:hRule="atLeast"/>
          <w:jc w:val="center"/>
        </w:trPr>
        <w:tc>
          <w:tcPr>
            <w:tcW w:w="0" w:type="auto"/>
            <w:vMerge w:val="restart"/>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物业管理</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从业人员(X)</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人</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X≥1000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300≤X＜1000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100≤X＜300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X＜100</w:t>
            </w:r>
          </w:p>
        </w:tc>
      </w:tr>
      <w:tr>
        <w:tblPrEx>
          <w:tblCellMar>
            <w:top w:w="0" w:type="dxa"/>
            <w:left w:w="0" w:type="dxa"/>
            <w:bottom w:w="0" w:type="dxa"/>
            <w:right w:w="0" w:type="dxa"/>
          </w:tblCellMar>
        </w:tblPrEx>
        <w:trPr>
          <w:trHeight w:val="353" w:hRule="atLeast"/>
          <w:jc w:val="center"/>
        </w:trPr>
        <w:tc>
          <w:tcPr>
            <w:tcW w:w="0" w:type="auto"/>
            <w:vMerge w:val="continue"/>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sz w:val="20"/>
                <w:szCs w:val="20"/>
              </w:rPr>
            </w:pP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营业收入(Y)</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万元</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Y≥5000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1000≤Y＜5000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500≤Y＜1000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Y＜500</w:t>
            </w:r>
          </w:p>
        </w:tc>
      </w:tr>
      <w:tr>
        <w:tblPrEx>
          <w:tblCellMar>
            <w:top w:w="0" w:type="dxa"/>
            <w:left w:w="0" w:type="dxa"/>
            <w:bottom w:w="0" w:type="dxa"/>
            <w:right w:w="0" w:type="dxa"/>
          </w:tblCellMar>
        </w:tblPrEx>
        <w:trPr>
          <w:trHeight w:val="353" w:hRule="atLeast"/>
          <w:jc w:val="center"/>
        </w:trPr>
        <w:tc>
          <w:tcPr>
            <w:tcW w:w="0" w:type="auto"/>
            <w:vMerge w:val="restart"/>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租赁和商务服务业</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从业人员(X)</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人</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X≥300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100≤X＜300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10≤X＜100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X＜10</w:t>
            </w:r>
          </w:p>
        </w:tc>
      </w:tr>
      <w:tr>
        <w:tblPrEx>
          <w:tblCellMar>
            <w:top w:w="0" w:type="dxa"/>
            <w:left w:w="0" w:type="dxa"/>
            <w:bottom w:w="0" w:type="dxa"/>
            <w:right w:w="0" w:type="dxa"/>
          </w:tblCellMar>
        </w:tblPrEx>
        <w:trPr>
          <w:trHeight w:val="353" w:hRule="atLeast"/>
          <w:jc w:val="center"/>
        </w:trPr>
        <w:tc>
          <w:tcPr>
            <w:tcW w:w="0" w:type="auto"/>
            <w:vMerge w:val="continue"/>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sz w:val="20"/>
                <w:szCs w:val="20"/>
              </w:rPr>
            </w:pP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资产总额(Z)</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万元</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Z≥120000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8000≤Z＜120000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100≤Z＜8000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Z＜100</w:t>
            </w:r>
          </w:p>
        </w:tc>
      </w:tr>
      <w:tr>
        <w:tblPrEx>
          <w:tblCellMar>
            <w:top w:w="0" w:type="dxa"/>
            <w:left w:w="0" w:type="dxa"/>
            <w:bottom w:w="0" w:type="dxa"/>
            <w:right w:w="0" w:type="dxa"/>
          </w:tblCellMar>
        </w:tblPrEx>
        <w:trPr>
          <w:trHeight w:val="367" w:hRule="atLeast"/>
          <w:jc w:val="center"/>
        </w:trPr>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其他未列明行业 *</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从业人员(X)</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人</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X≥300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100≤X＜300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10≤X＜100</w:t>
            </w:r>
          </w:p>
        </w:tc>
        <w:tc>
          <w:tcPr>
            <w:tcW w:w="0" w:type="auto"/>
            <w:tcBorders>
              <w:top w:val="single" w:color="B7B7B7" w:sz="6" w:space="0"/>
              <w:left w:val="single" w:color="B7B7B7" w:sz="6" w:space="0"/>
              <w:bottom w:val="single" w:color="B7B7B7" w:sz="6" w:space="0"/>
              <w:right w:val="single" w:color="B7B7B7" w:sz="6" w:space="0"/>
            </w:tcBorders>
            <w:shd w:val="clear" w:color="auto" w:fill="auto"/>
            <w:vAlign w:val="center"/>
          </w:tcPr>
          <w:p>
            <w:pPr>
              <w:rPr>
                <w:rFonts w:ascii="仿宋" w:hAnsi="仿宋" w:eastAsia="仿宋" w:cs="仿宋"/>
              </w:rPr>
            </w:pPr>
            <w:r>
              <w:rPr>
                <w:rFonts w:hint="eastAsia" w:ascii="仿宋" w:hAnsi="仿宋" w:eastAsia="仿宋" w:cs="仿宋"/>
                <w:lang w:bidi="ar"/>
              </w:rPr>
              <w:t>X＜10</w:t>
            </w:r>
          </w:p>
        </w:tc>
      </w:tr>
    </w:tbl>
    <w:p>
      <w:pPr>
        <w:shd w:val="clear" w:color="auto" w:fill="FFFFFF"/>
        <w:spacing w:line="420" w:lineRule="atLeast"/>
        <w:textAlignment w:val="baseline"/>
        <w:rPr>
          <w:rFonts w:ascii="仿宋" w:hAnsi="仿宋" w:eastAsia="仿宋" w:cs="仿宋"/>
          <w:szCs w:val="21"/>
          <w:shd w:val="clear" w:color="auto" w:fill="FFFFFF"/>
        </w:rPr>
      </w:pPr>
      <w:r>
        <w:rPr>
          <w:rFonts w:hint="eastAsia" w:ascii="仿宋" w:hAnsi="仿宋" w:eastAsia="仿宋" w:cs="仿宋"/>
          <w:szCs w:val="21"/>
          <w:shd w:val="clear" w:color="auto" w:fill="FFFFFF"/>
          <w:lang w:bidi="ar"/>
        </w:rPr>
        <w:t>说明： 　　</w:t>
      </w:r>
    </w:p>
    <w:p>
      <w:pPr>
        <w:shd w:val="clear" w:color="auto" w:fill="FFFFFF"/>
        <w:spacing w:line="420" w:lineRule="atLeast"/>
        <w:textAlignment w:val="baseline"/>
        <w:rPr>
          <w:rFonts w:ascii="仿宋" w:hAnsi="仿宋" w:eastAsia="仿宋" w:cs="仿宋"/>
          <w:szCs w:val="21"/>
          <w:shd w:val="clear" w:color="auto" w:fill="FFFFFF"/>
        </w:rPr>
      </w:pPr>
      <w:r>
        <w:rPr>
          <w:rFonts w:hint="eastAsia" w:ascii="仿宋" w:hAnsi="仿宋" w:eastAsia="仿宋" w:cs="仿宋"/>
          <w:szCs w:val="21"/>
          <w:shd w:val="clear" w:color="auto" w:fill="FFFFFF"/>
          <w:lang w:bidi="ar"/>
        </w:rPr>
        <w:t>    1.大型、中型和小型企业须同时满足所列指标的下限，否则下划一档；微型企业只须满足所列指标中的一项即可。 　　</w:t>
      </w:r>
    </w:p>
    <w:p>
      <w:pPr>
        <w:shd w:val="clear" w:color="auto" w:fill="FFFFFF"/>
        <w:spacing w:line="420" w:lineRule="atLeast"/>
        <w:textAlignment w:val="baseline"/>
        <w:rPr>
          <w:rFonts w:ascii="仿宋" w:hAnsi="仿宋" w:eastAsia="仿宋" w:cs="仿宋"/>
          <w:szCs w:val="21"/>
          <w:shd w:val="clear" w:color="auto" w:fill="FFFFFF"/>
        </w:rPr>
      </w:pPr>
      <w:r>
        <w:rPr>
          <w:rFonts w:hint="eastAsia" w:ascii="仿宋" w:hAnsi="仿宋" w:eastAsia="仿宋" w:cs="仿宋"/>
          <w:szCs w:val="21"/>
          <w:shd w:val="clear" w:color="auto" w:fill="FFFFFF"/>
          <w:lang w:bidi="ar"/>
        </w:rPr>
        <w:t>    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 　　</w:t>
      </w:r>
    </w:p>
    <w:p>
      <w:pPr>
        <w:shd w:val="clear" w:color="auto" w:fill="FFFFFF"/>
        <w:spacing w:line="420" w:lineRule="atLeast"/>
        <w:textAlignment w:val="baseline"/>
        <w:rPr>
          <w:rFonts w:ascii="仿宋" w:hAnsi="仿宋" w:eastAsia="仿宋" w:cs="仿宋"/>
          <w:szCs w:val="21"/>
          <w:shd w:val="clear" w:color="auto" w:fill="FFFFFF"/>
        </w:rPr>
      </w:pPr>
      <w:r>
        <w:rPr>
          <w:rFonts w:hint="eastAsia" w:ascii="仿宋" w:hAnsi="仿宋" w:eastAsia="仿宋" w:cs="仿宋"/>
          <w:szCs w:val="21"/>
          <w:shd w:val="clear" w:color="auto" w:fill="FFFFFF"/>
          <w:lang w:bidi="ar"/>
        </w:rPr>
        <w:t>    3.企业划分指标以现行统计制度为准。 </w:t>
      </w:r>
    </w:p>
    <w:p>
      <w:pPr>
        <w:shd w:val="clear" w:color="auto" w:fill="FFFFFF"/>
        <w:spacing w:line="420" w:lineRule="atLeast"/>
        <w:textAlignment w:val="baseline"/>
        <w:rPr>
          <w:rFonts w:ascii="仿宋" w:hAnsi="仿宋" w:eastAsia="仿宋" w:cs="仿宋"/>
          <w:szCs w:val="21"/>
          <w:shd w:val="clear" w:color="auto" w:fill="FFFFFF"/>
        </w:rPr>
      </w:pPr>
      <w:r>
        <w:rPr>
          <w:rFonts w:hint="eastAsia" w:ascii="仿宋" w:hAnsi="仿宋" w:eastAsia="仿宋" w:cs="仿宋"/>
          <w:szCs w:val="21"/>
          <w:shd w:val="clear" w:color="auto" w:fill="FFFFFF"/>
          <w:lang w:bidi="ar"/>
        </w:rPr>
        <w:t>    （1）从业人员，是指期末从业人员数，没有期末从业人员数的，采用全年平均人员数代替。 </w:t>
      </w:r>
    </w:p>
    <w:p>
      <w:pPr>
        <w:shd w:val="clear" w:color="auto" w:fill="FFFFFF"/>
        <w:spacing w:line="420" w:lineRule="atLeast"/>
        <w:textAlignment w:val="baseline"/>
        <w:rPr>
          <w:rFonts w:ascii="仿宋" w:hAnsi="仿宋" w:eastAsia="仿宋" w:cs="仿宋"/>
          <w:szCs w:val="21"/>
          <w:shd w:val="clear" w:color="auto" w:fill="FFFFFF"/>
        </w:rPr>
      </w:pPr>
      <w:r>
        <w:rPr>
          <w:rFonts w:hint="eastAsia" w:ascii="仿宋" w:hAnsi="仿宋" w:eastAsia="仿宋" w:cs="仿宋"/>
          <w:szCs w:val="21"/>
          <w:shd w:val="clear" w:color="auto" w:fill="FFFFFF"/>
          <w:lang w:bidi="ar"/>
        </w:rPr>
        <w:t>    （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 </w:t>
      </w:r>
    </w:p>
    <w:p>
      <w:pPr>
        <w:shd w:val="clear" w:color="auto" w:fill="FFFFFF"/>
        <w:spacing w:line="420" w:lineRule="atLeast"/>
        <w:ind w:firstLine="233"/>
        <w:textAlignment w:val="baseline"/>
        <w:rPr>
          <w:rFonts w:ascii="仿宋" w:hAnsi="仿宋" w:eastAsia="仿宋" w:cs="仿宋"/>
          <w:szCs w:val="21"/>
          <w:shd w:val="clear" w:color="auto" w:fill="FFFFFF"/>
          <w:lang w:bidi="ar"/>
        </w:rPr>
        <w:sectPr>
          <w:headerReference r:id="rId26" w:type="first"/>
          <w:headerReference r:id="rId25" w:type="default"/>
          <w:pgSz w:w="16838" w:h="11906" w:orient="landscape"/>
          <w:pgMar w:top="1361" w:right="1361" w:bottom="1361" w:left="1361" w:header="851" w:footer="992" w:gutter="0"/>
          <w:cols w:space="720" w:num="1"/>
          <w:titlePg/>
          <w:docGrid w:linePitch="312" w:charSpace="0"/>
        </w:sectPr>
      </w:pPr>
      <w:r>
        <w:rPr>
          <w:rFonts w:hint="eastAsia" w:ascii="仿宋" w:hAnsi="仿宋" w:eastAsia="仿宋" w:cs="仿宋"/>
          <w:szCs w:val="21"/>
          <w:shd w:val="clear" w:color="auto" w:fill="FFFFFF"/>
          <w:lang w:bidi="ar"/>
        </w:rPr>
        <w:t>（3）资产总额，采用资产总计代替。</w:t>
      </w:r>
    </w:p>
    <w:p>
      <w:pPr>
        <w:pStyle w:val="5"/>
        <w:numPr>
          <w:ilvl w:val="255"/>
          <w:numId w:val="0"/>
        </w:numPr>
        <w:spacing w:before="0" w:after="0"/>
        <w:ind w:left="630"/>
        <w:rPr>
          <w:rFonts w:ascii="仿宋" w:hAnsi="仿宋" w:eastAsia="仿宋" w:cs="仿宋"/>
        </w:rPr>
      </w:pPr>
      <w:r>
        <w:rPr>
          <w:rFonts w:hint="eastAsia" w:ascii="仿宋" w:hAnsi="仿宋" w:eastAsia="仿宋" w:cs="仿宋"/>
        </w:rPr>
        <w:t>政府采购活动现场确认声明书（开标后提供）</w:t>
      </w:r>
    </w:p>
    <w:p>
      <w:pPr>
        <w:pStyle w:val="5"/>
        <w:spacing w:before="0" w:after="0"/>
        <w:ind w:left="0" w:firstLine="0"/>
        <w:jc w:val="center"/>
        <w:rPr>
          <w:rFonts w:ascii="仿宋" w:hAnsi="仿宋" w:eastAsia="仿宋" w:cs="仿宋"/>
          <w:sz w:val="28"/>
          <w:szCs w:val="28"/>
        </w:rPr>
      </w:pPr>
      <w:r>
        <w:rPr>
          <w:rFonts w:hint="eastAsia" w:ascii="仿宋" w:hAnsi="仿宋" w:eastAsia="仿宋" w:cs="仿宋"/>
          <w:sz w:val="28"/>
          <w:szCs w:val="28"/>
        </w:rPr>
        <w:t>政府采购活动现场确认声明书</w:t>
      </w:r>
    </w:p>
    <w:p>
      <w:pPr>
        <w:pStyle w:val="318"/>
        <w:snapToGrid w:val="0"/>
        <w:spacing w:line="300" w:lineRule="auto"/>
        <w:ind w:firstLine="400"/>
        <w:rPr>
          <w:rFonts w:ascii="仿宋" w:hAnsi="仿宋" w:eastAsia="仿宋" w:cs="仿宋"/>
          <w:b/>
          <w:szCs w:val="21"/>
        </w:rPr>
      </w:pPr>
      <w:r>
        <w:rPr>
          <w:rFonts w:hint="eastAsia" w:ascii="仿宋" w:hAnsi="仿宋" w:eastAsia="仿宋" w:cs="仿宋"/>
          <w:szCs w:val="21"/>
        </w:rPr>
        <w:t>浙江省成套工程有限公司：</w:t>
      </w:r>
    </w:p>
    <w:p>
      <w:pPr>
        <w:pStyle w:val="318"/>
        <w:adjustRightInd w:val="0"/>
        <w:snapToGrid w:val="0"/>
        <w:spacing w:line="300" w:lineRule="auto"/>
        <w:ind w:firstLine="424"/>
        <w:rPr>
          <w:rFonts w:ascii="仿宋" w:hAnsi="仿宋" w:eastAsia="仿宋" w:cs="仿宋"/>
          <w:u w:val="single"/>
        </w:rPr>
      </w:pPr>
      <w:r>
        <w:rPr>
          <w:rFonts w:hint="eastAsia" w:ascii="仿宋" w:hAnsi="仿宋" w:eastAsia="仿宋" w:cs="仿宋"/>
          <w:spacing w:val="6"/>
          <w:szCs w:val="21"/>
        </w:rPr>
        <w:t>本人</w:t>
      </w:r>
      <w:r>
        <w:rPr>
          <w:rFonts w:hint="eastAsia" w:ascii="仿宋" w:hAnsi="仿宋" w:eastAsia="仿宋" w:cs="仿宋"/>
          <w:spacing w:val="6"/>
          <w:szCs w:val="21"/>
          <w:u w:val="single"/>
        </w:rPr>
        <w:t xml:space="preserve">     （授权代表姓名）</w:t>
      </w:r>
      <w:r>
        <w:rPr>
          <w:rFonts w:hint="eastAsia" w:ascii="仿宋" w:hAnsi="仿宋" w:eastAsia="仿宋" w:cs="仿宋"/>
          <w:spacing w:val="6"/>
          <w:szCs w:val="21"/>
        </w:rPr>
        <w:t>，经由</w:t>
      </w:r>
      <w:r>
        <w:rPr>
          <w:rFonts w:hint="eastAsia" w:ascii="仿宋" w:hAnsi="仿宋" w:eastAsia="仿宋" w:cs="仿宋"/>
          <w:spacing w:val="6"/>
          <w:szCs w:val="21"/>
          <w:u w:val="single"/>
        </w:rPr>
        <w:t xml:space="preserve">             </w:t>
      </w:r>
      <w:r>
        <w:rPr>
          <w:rFonts w:hint="eastAsia" w:ascii="仿宋" w:hAnsi="仿宋" w:eastAsia="仿宋" w:cs="仿宋"/>
          <w:spacing w:val="6"/>
          <w:szCs w:val="21"/>
        </w:rPr>
        <w:t>（单位）</w:t>
      </w:r>
      <w:r>
        <w:rPr>
          <w:rFonts w:hint="eastAsia" w:ascii="仿宋" w:hAnsi="仿宋" w:eastAsia="仿宋" w:cs="仿宋"/>
          <w:spacing w:val="6"/>
          <w:szCs w:val="21"/>
          <w:u w:val="single"/>
        </w:rPr>
        <w:t xml:space="preserve">         </w:t>
      </w:r>
      <w:r>
        <w:rPr>
          <w:rFonts w:hint="eastAsia" w:ascii="仿宋" w:hAnsi="仿宋" w:eastAsia="仿宋" w:cs="仿宋"/>
          <w:spacing w:val="6"/>
          <w:szCs w:val="21"/>
        </w:rPr>
        <w:t>（法定代表人姓名）合法授权参加</w:t>
      </w:r>
      <w:r>
        <w:rPr>
          <w:rFonts w:hint="eastAsia" w:ascii="仿宋" w:hAnsi="仿宋" w:eastAsia="仿宋" w:cs="仿宋"/>
          <w:u w:val="single"/>
        </w:rPr>
        <w:t xml:space="preserve">           （</w:t>
      </w:r>
      <w:r>
        <w:rPr>
          <w:rFonts w:hint="eastAsia" w:ascii="仿宋" w:hAnsi="仿宋" w:eastAsia="仿宋" w:cs="仿宋"/>
        </w:rPr>
        <w:t>采购人）</w:t>
      </w:r>
      <w:r>
        <w:rPr>
          <w:rFonts w:hint="eastAsia" w:ascii="仿宋" w:hAnsi="仿宋" w:eastAsia="仿宋" w:cs="仿宋"/>
          <w:u w:val="single"/>
        </w:rPr>
        <w:t xml:space="preserve">            </w:t>
      </w:r>
      <w:r>
        <w:rPr>
          <w:rFonts w:hint="eastAsia" w:ascii="仿宋" w:hAnsi="仿宋" w:eastAsia="仿宋" w:cs="仿宋"/>
        </w:rPr>
        <w:t>（项目名称）</w:t>
      </w:r>
      <w:r>
        <w:rPr>
          <w:rFonts w:hint="eastAsia" w:ascii="仿宋" w:hAnsi="仿宋" w:eastAsia="仿宋" w:cs="仿宋"/>
          <w:u w:val="single"/>
        </w:rPr>
        <w:t xml:space="preserve">                  </w:t>
      </w:r>
      <w:r>
        <w:rPr>
          <w:rFonts w:hint="eastAsia" w:ascii="仿宋" w:hAnsi="仿宋" w:eastAsia="仿宋" w:cs="仿宋"/>
        </w:rPr>
        <w:t>（项目编号）</w:t>
      </w:r>
      <w:r>
        <w:rPr>
          <w:rFonts w:hint="eastAsia" w:ascii="仿宋" w:hAnsi="仿宋" w:eastAsia="仿宋" w:cs="仿宋"/>
          <w:spacing w:val="6"/>
          <w:szCs w:val="21"/>
        </w:rPr>
        <w:t>政府采购活动，经与本单位法人代表人联系确认，现就有关公平竞争事项郑重声明如下：</w:t>
      </w:r>
    </w:p>
    <w:p>
      <w:pPr>
        <w:pStyle w:val="319"/>
        <w:widowControl/>
        <w:snapToGrid w:val="0"/>
        <w:spacing w:line="300" w:lineRule="auto"/>
        <w:rPr>
          <w:rFonts w:ascii="仿宋" w:hAnsi="仿宋" w:eastAsia="仿宋" w:cs="仿宋"/>
          <w:kern w:val="0"/>
          <w:szCs w:val="21"/>
        </w:rPr>
      </w:pPr>
      <w:r>
        <w:rPr>
          <w:rFonts w:hint="eastAsia" w:ascii="仿宋" w:hAnsi="仿宋" w:eastAsia="仿宋" w:cs="仿宋"/>
          <w:kern w:val="0"/>
          <w:szCs w:val="21"/>
        </w:rPr>
        <w:t xml:space="preserve">一、本单位与采购人之间 </w:t>
      </w:r>
      <w:r>
        <w:rPr>
          <w:rFonts w:hint="eastAsia" w:ascii="仿宋" w:hAnsi="仿宋" w:eastAsia="仿宋" w:cs="仿宋"/>
          <w:kern w:val="0"/>
        </w:rPr>
        <w:sym w:font="Wingdings" w:char="00A8"/>
      </w:r>
      <w:r>
        <w:rPr>
          <w:rFonts w:hint="eastAsia" w:ascii="仿宋" w:hAnsi="仿宋" w:eastAsia="仿宋" w:cs="仿宋"/>
          <w:kern w:val="0"/>
          <w:szCs w:val="21"/>
        </w:rPr>
        <w:t xml:space="preserve">不存在利害关系 </w:t>
      </w:r>
      <w:r>
        <w:rPr>
          <w:rFonts w:hint="eastAsia" w:ascii="仿宋" w:hAnsi="仿宋" w:eastAsia="仿宋" w:cs="仿宋"/>
          <w:kern w:val="0"/>
        </w:rPr>
        <w:sym w:font="Wingdings" w:char="00A8"/>
      </w:r>
      <w:r>
        <w:rPr>
          <w:rFonts w:hint="eastAsia" w:ascii="仿宋" w:hAnsi="仿宋" w:eastAsia="仿宋" w:cs="仿宋"/>
          <w:kern w:val="0"/>
          <w:szCs w:val="21"/>
        </w:rPr>
        <w:t>存在下列利害关系</w:t>
      </w:r>
      <w:r>
        <w:rPr>
          <w:rFonts w:hint="eastAsia" w:ascii="仿宋" w:hAnsi="仿宋" w:eastAsia="仿宋" w:cs="仿宋"/>
          <w:kern w:val="0"/>
          <w:szCs w:val="21"/>
          <w:u w:val="single"/>
        </w:rPr>
        <w:t xml:space="preserve">                         </w:t>
      </w:r>
      <w:r>
        <w:rPr>
          <w:rFonts w:hint="eastAsia" w:ascii="仿宋" w:hAnsi="仿宋" w:eastAsia="仿宋" w:cs="仿宋"/>
          <w:kern w:val="0"/>
          <w:szCs w:val="21"/>
        </w:rPr>
        <w:t>：</w:t>
      </w:r>
    </w:p>
    <w:p>
      <w:pPr>
        <w:pStyle w:val="319"/>
        <w:widowControl/>
        <w:snapToGrid w:val="0"/>
        <w:spacing w:line="300" w:lineRule="auto"/>
        <w:rPr>
          <w:rFonts w:ascii="仿宋" w:hAnsi="仿宋" w:eastAsia="仿宋" w:cs="仿宋"/>
          <w:kern w:val="0"/>
          <w:szCs w:val="21"/>
        </w:rPr>
      </w:pPr>
      <w:r>
        <w:rPr>
          <w:rFonts w:hint="eastAsia" w:ascii="仿宋" w:hAnsi="仿宋" w:eastAsia="仿宋" w:cs="仿宋"/>
          <w:kern w:val="0"/>
          <w:szCs w:val="21"/>
        </w:rPr>
        <w:t>A.投资关系    B.行政隶属关系    C.业务指导关系</w:t>
      </w:r>
    </w:p>
    <w:p>
      <w:pPr>
        <w:pStyle w:val="319"/>
        <w:widowControl/>
        <w:snapToGrid w:val="0"/>
        <w:spacing w:line="300" w:lineRule="auto"/>
        <w:rPr>
          <w:rFonts w:ascii="仿宋" w:hAnsi="仿宋" w:eastAsia="仿宋" w:cs="仿宋"/>
          <w:kern w:val="0"/>
          <w:szCs w:val="21"/>
        </w:rPr>
      </w:pPr>
      <w:r>
        <w:rPr>
          <w:rFonts w:hint="eastAsia" w:ascii="仿宋" w:hAnsi="仿宋" w:eastAsia="仿宋" w:cs="仿宋"/>
          <w:kern w:val="0"/>
          <w:szCs w:val="21"/>
        </w:rPr>
        <w:t>D.其他可能</w:t>
      </w:r>
      <w:r>
        <w:rPr>
          <w:rFonts w:hint="eastAsia" w:ascii="仿宋" w:hAnsi="仿宋" w:eastAsia="仿宋" w:cs="仿宋"/>
          <w:szCs w:val="21"/>
        </w:rPr>
        <w:t>影响采购公正的</w:t>
      </w:r>
      <w:r>
        <w:rPr>
          <w:rFonts w:hint="eastAsia" w:ascii="仿宋" w:hAnsi="仿宋" w:eastAsia="仿宋" w:cs="仿宋"/>
          <w:kern w:val="0"/>
          <w:szCs w:val="21"/>
        </w:rPr>
        <w:t>利害关系</w:t>
      </w:r>
      <w:r>
        <w:rPr>
          <w:rFonts w:hint="eastAsia" w:ascii="仿宋" w:hAnsi="仿宋" w:eastAsia="仿宋" w:cs="仿宋"/>
          <w:kern w:val="0"/>
          <w:szCs w:val="21"/>
          <w:u w:val="single"/>
        </w:rPr>
        <w:t xml:space="preserve">（如有，请如实说明）                              </w:t>
      </w:r>
      <w:r>
        <w:rPr>
          <w:rFonts w:hint="eastAsia" w:ascii="仿宋" w:hAnsi="仿宋" w:eastAsia="仿宋" w:cs="仿宋"/>
          <w:kern w:val="0"/>
          <w:szCs w:val="21"/>
        </w:rPr>
        <w:t>。</w:t>
      </w:r>
    </w:p>
    <w:p>
      <w:pPr>
        <w:pStyle w:val="319"/>
        <w:widowControl/>
        <w:snapToGrid w:val="0"/>
        <w:spacing w:line="300" w:lineRule="auto"/>
        <w:ind w:firstLine="504"/>
        <w:rPr>
          <w:rFonts w:ascii="仿宋" w:hAnsi="仿宋" w:eastAsia="仿宋" w:cs="仿宋"/>
          <w:kern w:val="0"/>
          <w:szCs w:val="21"/>
        </w:rPr>
      </w:pPr>
      <w:r>
        <w:rPr>
          <w:rFonts w:hint="eastAsia" w:ascii="仿宋" w:hAnsi="仿宋" w:eastAsia="仿宋" w:cs="仿宋"/>
          <w:spacing w:val="6"/>
          <w:szCs w:val="21"/>
        </w:rPr>
        <w:t>二、</w:t>
      </w:r>
      <w:r>
        <w:rPr>
          <w:rFonts w:hint="eastAsia" w:ascii="仿宋" w:hAnsi="仿宋" w:eastAsia="仿宋" w:cs="仿宋"/>
          <w:kern w:val="0"/>
          <w:szCs w:val="21"/>
        </w:rPr>
        <w:t xml:space="preserve">现已清楚知道参加本项目采购活动的其他所有供应商名称，本单位 </w:t>
      </w:r>
      <w:r>
        <w:rPr>
          <w:rFonts w:hint="eastAsia" w:ascii="仿宋" w:hAnsi="仿宋" w:eastAsia="仿宋" w:cs="仿宋"/>
          <w:kern w:val="0"/>
        </w:rPr>
        <w:sym w:font="Wingdings" w:char="00A8"/>
      </w:r>
      <w:r>
        <w:rPr>
          <w:rFonts w:hint="eastAsia" w:ascii="仿宋" w:hAnsi="仿宋" w:eastAsia="仿宋" w:cs="仿宋"/>
          <w:kern w:val="0"/>
          <w:szCs w:val="21"/>
        </w:rPr>
        <w:t xml:space="preserve">与其他所有供应商之间均不存在利害关系 </w:t>
      </w:r>
      <w:r>
        <w:rPr>
          <w:rFonts w:hint="eastAsia" w:ascii="仿宋" w:hAnsi="仿宋" w:eastAsia="仿宋" w:cs="仿宋"/>
          <w:kern w:val="0"/>
        </w:rPr>
        <w:sym w:font="Wingdings" w:char="00A8"/>
      </w:r>
      <w:r>
        <w:rPr>
          <w:rFonts w:hint="eastAsia" w:ascii="仿宋" w:hAnsi="仿宋" w:eastAsia="仿宋" w:cs="仿宋"/>
          <w:kern w:val="0"/>
          <w:szCs w:val="21"/>
        </w:rPr>
        <w:t>与</w:t>
      </w:r>
      <w:r>
        <w:rPr>
          <w:rFonts w:hint="eastAsia" w:ascii="仿宋" w:hAnsi="仿宋" w:eastAsia="仿宋" w:cs="仿宋"/>
          <w:kern w:val="0"/>
          <w:szCs w:val="21"/>
          <w:u w:val="single"/>
        </w:rPr>
        <w:t xml:space="preserve">           （供应商名称）</w:t>
      </w:r>
      <w:r>
        <w:rPr>
          <w:rFonts w:hint="eastAsia" w:ascii="仿宋" w:hAnsi="仿宋" w:eastAsia="仿宋" w:cs="仿宋"/>
          <w:kern w:val="0"/>
          <w:szCs w:val="21"/>
        </w:rPr>
        <w:t>之间存在下列利害关系</w:t>
      </w:r>
      <w:r>
        <w:rPr>
          <w:rFonts w:hint="eastAsia" w:ascii="仿宋" w:hAnsi="仿宋" w:eastAsia="仿宋" w:cs="仿宋"/>
          <w:kern w:val="0"/>
          <w:szCs w:val="21"/>
          <w:u w:val="single"/>
        </w:rPr>
        <w:t xml:space="preserve">                   </w:t>
      </w:r>
      <w:r>
        <w:rPr>
          <w:rFonts w:hint="eastAsia" w:ascii="仿宋" w:hAnsi="仿宋" w:eastAsia="仿宋" w:cs="仿宋"/>
          <w:kern w:val="0"/>
          <w:szCs w:val="21"/>
        </w:rPr>
        <w:t>：</w:t>
      </w:r>
    </w:p>
    <w:p>
      <w:pPr>
        <w:pStyle w:val="319"/>
        <w:widowControl/>
        <w:snapToGrid w:val="0"/>
        <w:spacing w:line="300" w:lineRule="auto"/>
        <w:rPr>
          <w:rFonts w:ascii="仿宋" w:hAnsi="仿宋" w:eastAsia="仿宋" w:cs="仿宋"/>
          <w:kern w:val="0"/>
          <w:szCs w:val="21"/>
        </w:rPr>
      </w:pPr>
      <w:r>
        <w:rPr>
          <w:rFonts w:hint="eastAsia" w:ascii="仿宋" w:hAnsi="仿宋" w:eastAsia="仿宋" w:cs="仿宋"/>
          <w:kern w:val="0"/>
          <w:szCs w:val="21"/>
        </w:rPr>
        <w:t>A.法定代表人或负责人或实际控制人是同一人</w:t>
      </w:r>
    </w:p>
    <w:p>
      <w:pPr>
        <w:pStyle w:val="319"/>
        <w:widowControl/>
        <w:snapToGrid w:val="0"/>
        <w:spacing w:line="300" w:lineRule="auto"/>
        <w:rPr>
          <w:rFonts w:ascii="仿宋" w:hAnsi="仿宋" w:eastAsia="仿宋" w:cs="仿宋"/>
          <w:kern w:val="0"/>
          <w:szCs w:val="21"/>
        </w:rPr>
      </w:pPr>
      <w:r>
        <w:rPr>
          <w:rFonts w:hint="eastAsia" w:ascii="仿宋" w:hAnsi="仿宋" w:eastAsia="仿宋" w:cs="仿宋"/>
          <w:kern w:val="0"/>
          <w:szCs w:val="21"/>
        </w:rPr>
        <w:t>B.法定代表人或负责人或实际控制人是夫妻关系</w:t>
      </w:r>
    </w:p>
    <w:p>
      <w:pPr>
        <w:pStyle w:val="319"/>
        <w:widowControl/>
        <w:snapToGrid w:val="0"/>
        <w:spacing w:line="300" w:lineRule="auto"/>
        <w:rPr>
          <w:rFonts w:ascii="仿宋" w:hAnsi="仿宋" w:eastAsia="仿宋" w:cs="仿宋"/>
          <w:kern w:val="0"/>
          <w:szCs w:val="21"/>
        </w:rPr>
      </w:pPr>
      <w:r>
        <w:rPr>
          <w:rFonts w:hint="eastAsia" w:ascii="仿宋" w:hAnsi="仿宋" w:eastAsia="仿宋" w:cs="仿宋"/>
          <w:kern w:val="0"/>
          <w:szCs w:val="21"/>
        </w:rPr>
        <w:t>C.法定代表人或负责人或实际控制人是直系血亲关系</w:t>
      </w:r>
    </w:p>
    <w:p>
      <w:pPr>
        <w:pStyle w:val="319"/>
        <w:widowControl/>
        <w:snapToGrid w:val="0"/>
        <w:spacing w:line="300" w:lineRule="auto"/>
        <w:rPr>
          <w:rFonts w:ascii="仿宋" w:hAnsi="仿宋" w:eastAsia="仿宋" w:cs="仿宋"/>
          <w:kern w:val="0"/>
          <w:szCs w:val="21"/>
        </w:rPr>
      </w:pPr>
      <w:r>
        <w:rPr>
          <w:rFonts w:hint="eastAsia" w:ascii="仿宋" w:hAnsi="仿宋" w:eastAsia="仿宋" w:cs="仿宋"/>
          <w:kern w:val="0"/>
          <w:szCs w:val="21"/>
        </w:rPr>
        <w:t>D.法定代表人或负责人或实际控制人存在三代以内旁系血亲关系</w:t>
      </w:r>
    </w:p>
    <w:p>
      <w:pPr>
        <w:pStyle w:val="319"/>
        <w:widowControl/>
        <w:snapToGrid w:val="0"/>
        <w:spacing w:line="300" w:lineRule="auto"/>
        <w:rPr>
          <w:rFonts w:ascii="仿宋" w:hAnsi="仿宋" w:eastAsia="仿宋" w:cs="仿宋"/>
          <w:kern w:val="0"/>
          <w:szCs w:val="21"/>
        </w:rPr>
      </w:pPr>
      <w:r>
        <w:rPr>
          <w:rFonts w:hint="eastAsia" w:ascii="仿宋" w:hAnsi="仿宋" w:eastAsia="仿宋" w:cs="仿宋"/>
          <w:kern w:val="0"/>
          <w:szCs w:val="21"/>
        </w:rPr>
        <w:t>E.法定代表人或负责人或实际控制人存在近姻亲关系</w:t>
      </w:r>
    </w:p>
    <w:p>
      <w:pPr>
        <w:pStyle w:val="319"/>
        <w:widowControl/>
        <w:snapToGrid w:val="0"/>
        <w:spacing w:line="300" w:lineRule="auto"/>
        <w:rPr>
          <w:rFonts w:ascii="仿宋" w:hAnsi="仿宋" w:eastAsia="仿宋" w:cs="仿宋"/>
          <w:kern w:val="0"/>
          <w:szCs w:val="21"/>
        </w:rPr>
      </w:pPr>
      <w:r>
        <w:rPr>
          <w:rFonts w:hint="eastAsia" w:ascii="仿宋" w:hAnsi="仿宋" w:eastAsia="仿宋" w:cs="仿宋"/>
          <w:kern w:val="0"/>
          <w:szCs w:val="21"/>
        </w:rPr>
        <w:t>F.法定代表人或负责人或实际控制人存在股份控制或实际控制关系</w:t>
      </w:r>
    </w:p>
    <w:p>
      <w:pPr>
        <w:pStyle w:val="319"/>
        <w:widowControl/>
        <w:snapToGrid w:val="0"/>
        <w:spacing w:line="300" w:lineRule="auto"/>
        <w:rPr>
          <w:rFonts w:ascii="仿宋" w:hAnsi="仿宋" w:eastAsia="仿宋" w:cs="仿宋"/>
          <w:kern w:val="0"/>
          <w:szCs w:val="21"/>
        </w:rPr>
      </w:pPr>
      <w:r>
        <w:rPr>
          <w:rFonts w:hint="eastAsia" w:ascii="仿宋" w:hAnsi="仿宋" w:eastAsia="仿宋" w:cs="仿宋"/>
          <w:kern w:val="0"/>
          <w:szCs w:val="21"/>
        </w:rPr>
        <w:t>G.存在共同直接或间接投资设立子公司、联营企业和合营企业情况</w:t>
      </w:r>
    </w:p>
    <w:p>
      <w:pPr>
        <w:pStyle w:val="319"/>
        <w:widowControl/>
        <w:snapToGrid w:val="0"/>
        <w:spacing w:line="300" w:lineRule="auto"/>
        <w:rPr>
          <w:rFonts w:ascii="仿宋" w:hAnsi="仿宋" w:eastAsia="仿宋" w:cs="仿宋"/>
          <w:kern w:val="0"/>
          <w:szCs w:val="21"/>
        </w:rPr>
      </w:pPr>
      <w:r>
        <w:rPr>
          <w:rFonts w:hint="eastAsia" w:ascii="仿宋" w:hAnsi="仿宋" w:eastAsia="仿宋" w:cs="仿宋"/>
          <w:kern w:val="0"/>
          <w:szCs w:val="21"/>
        </w:rPr>
        <w:t>H.存在分级代理或代销关系、同一生产制造商关系、管理关系、重要业务（占主营业务收入50%以上）或重要财务往来关系（如融资）等其他实质性控制关系</w:t>
      </w:r>
    </w:p>
    <w:p>
      <w:pPr>
        <w:pStyle w:val="319"/>
        <w:widowControl/>
        <w:snapToGrid w:val="0"/>
        <w:spacing w:line="300" w:lineRule="auto"/>
        <w:rPr>
          <w:rFonts w:ascii="仿宋" w:hAnsi="仿宋" w:eastAsia="仿宋" w:cs="仿宋"/>
          <w:spacing w:val="6"/>
          <w:szCs w:val="21"/>
        </w:rPr>
      </w:pPr>
      <w:r>
        <w:rPr>
          <w:rFonts w:hint="eastAsia" w:ascii="仿宋" w:hAnsi="仿宋" w:eastAsia="仿宋" w:cs="仿宋"/>
          <w:szCs w:val="21"/>
        </w:rPr>
        <w:t>I</w:t>
      </w:r>
      <w:r>
        <w:rPr>
          <w:rFonts w:hint="eastAsia" w:ascii="仿宋" w:hAnsi="仿宋" w:eastAsia="仿宋" w:cs="仿宋"/>
          <w:kern w:val="0"/>
          <w:szCs w:val="21"/>
        </w:rPr>
        <w:t>.</w:t>
      </w:r>
      <w:r>
        <w:rPr>
          <w:rFonts w:hint="eastAsia" w:ascii="仿宋" w:hAnsi="仿宋" w:eastAsia="仿宋" w:cs="仿宋"/>
          <w:szCs w:val="21"/>
        </w:rPr>
        <w:t>其他利害关系情况</w:t>
      </w:r>
      <w:r>
        <w:rPr>
          <w:rFonts w:hint="eastAsia" w:ascii="仿宋" w:hAnsi="仿宋" w:eastAsia="仿宋" w:cs="仿宋"/>
          <w:szCs w:val="21"/>
          <w:u w:val="single"/>
        </w:rPr>
        <w:t xml:space="preserve">                                   </w:t>
      </w:r>
      <w:r>
        <w:rPr>
          <w:rFonts w:hint="eastAsia" w:ascii="仿宋" w:hAnsi="仿宋" w:eastAsia="仿宋" w:cs="仿宋"/>
          <w:kern w:val="0"/>
          <w:szCs w:val="21"/>
        </w:rPr>
        <w:t>。</w:t>
      </w:r>
    </w:p>
    <w:p>
      <w:pPr>
        <w:pStyle w:val="319"/>
        <w:widowControl/>
        <w:snapToGrid w:val="0"/>
        <w:spacing w:line="300" w:lineRule="auto"/>
        <w:rPr>
          <w:rFonts w:ascii="仿宋" w:hAnsi="仿宋" w:eastAsia="仿宋" w:cs="仿宋"/>
          <w:kern w:val="0"/>
          <w:szCs w:val="21"/>
        </w:rPr>
      </w:pPr>
      <w:r>
        <w:rPr>
          <w:rFonts w:hint="eastAsia" w:ascii="仿宋" w:hAnsi="仿宋" w:eastAsia="仿宋" w:cs="仿宋"/>
          <w:szCs w:val="21"/>
        </w:rPr>
        <w:t>三、现已清楚知道并</w:t>
      </w:r>
      <w:r>
        <w:rPr>
          <w:rFonts w:hint="eastAsia" w:ascii="仿宋" w:hAnsi="仿宋" w:eastAsia="仿宋" w:cs="仿宋"/>
          <w:kern w:val="0"/>
          <w:szCs w:val="21"/>
        </w:rPr>
        <w:t>严格遵守政府采购法律法规和现场纪律。</w:t>
      </w:r>
    </w:p>
    <w:p>
      <w:pPr>
        <w:pStyle w:val="319"/>
        <w:widowControl/>
        <w:snapToGrid w:val="0"/>
        <w:spacing w:line="300" w:lineRule="auto"/>
        <w:rPr>
          <w:rFonts w:ascii="仿宋" w:hAnsi="仿宋" w:eastAsia="仿宋" w:cs="仿宋"/>
          <w:kern w:val="0"/>
          <w:szCs w:val="21"/>
        </w:rPr>
      </w:pPr>
      <w:r>
        <w:rPr>
          <w:rFonts w:hint="eastAsia" w:ascii="仿宋" w:hAnsi="仿宋" w:eastAsia="仿宋" w:cs="仿宋"/>
          <w:kern w:val="0"/>
          <w:szCs w:val="21"/>
        </w:rPr>
        <w:t>四、我发现</w:t>
      </w:r>
      <w:r>
        <w:rPr>
          <w:rFonts w:hint="eastAsia" w:ascii="仿宋" w:hAnsi="仿宋" w:eastAsia="仿宋" w:cs="仿宋"/>
          <w:kern w:val="0"/>
          <w:szCs w:val="21"/>
          <w:u w:val="single"/>
        </w:rPr>
        <w:t xml:space="preserve">                    </w:t>
      </w:r>
      <w:r>
        <w:rPr>
          <w:rFonts w:hint="eastAsia" w:ascii="仿宋" w:hAnsi="仿宋" w:eastAsia="仿宋" w:cs="仿宋"/>
          <w:kern w:val="0"/>
          <w:szCs w:val="21"/>
        </w:rPr>
        <w:t>供应商之间存在或可能存在上述第二条第</w:t>
      </w:r>
      <w:r>
        <w:rPr>
          <w:rFonts w:hint="eastAsia" w:ascii="仿宋" w:hAnsi="仿宋" w:eastAsia="仿宋" w:cs="仿宋"/>
          <w:kern w:val="0"/>
          <w:szCs w:val="21"/>
          <w:u w:val="single"/>
        </w:rPr>
        <w:t xml:space="preserve">        </w:t>
      </w:r>
      <w:r>
        <w:rPr>
          <w:rFonts w:hint="eastAsia" w:ascii="仿宋" w:hAnsi="仿宋" w:eastAsia="仿宋" w:cs="仿宋"/>
          <w:kern w:val="0"/>
          <w:szCs w:val="21"/>
        </w:rPr>
        <w:t>项利害关系。</w:t>
      </w:r>
    </w:p>
    <w:p>
      <w:pPr>
        <w:pStyle w:val="319"/>
        <w:widowControl/>
        <w:snapToGrid w:val="0"/>
        <w:spacing w:line="300" w:lineRule="auto"/>
        <w:rPr>
          <w:rFonts w:ascii="仿宋" w:hAnsi="仿宋" w:eastAsia="仿宋" w:cs="仿宋"/>
        </w:rPr>
      </w:pPr>
    </w:p>
    <w:p>
      <w:pPr>
        <w:snapToGrid w:val="0"/>
        <w:spacing w:line="300" w:lineRule="auto"/>
        <w:ind w:firstLine="420" w:firstLineChars="200"/>
        <w:rPr>
          <w:rFonts w:ascii="仿宋" w:hAnsi="仿宋" w:eastAsia="仿宋" w:cs="仿宋"/>
          <w:spacing w:val="20"/>
          <w:u w:val="single"/>
        </w:rPr>
      </w:pPr>
      <w:r>
        <w:rPr>
          <w:rFonts w:hint="eastAsia" w:ascii="仿宋" w:hAnsi="仿宋" w:eastAsia="仿宋" w:cs="仿宋"/>
          <w:szCs w:val="21"/>
        </w:rPr>
        <w:t>投标人全称：</w:t>
      </w:r>
      <w:r>
        <w:rPr>
          <w:rFonts w:hint="eastAsia" w:ascii="仿宋" w:hAnsi="仿宋" w:eastAsia="仿宋" w:cs="仿宋"/>
          <w:szCs w:val="21"/>
          <w:u w:val="single"/>
        </w:rPr>
        <w:t xml:space="preserve">                       </w:t>
      </w:r>
      <w:r>
        <w:rPr>
          <w:rFonts w:hint="eastAsia" w:ascii="仿宋" w:hAnsi="仿宋" w:eastAsia="仿宋" w:cs="仿宋"/>
          <w:szCs w:val="21"/>
        </w:rPr>
        <w:t>（盖单位公章）</w:t>
      </w:r>
    </w:p>
    <w:p>
      <w:pPr>
        <w:snapToGrid w:val="0"/>
        <w:spacing w:line="300" w:lineRule="auto"/>
        <w:ind w:firstLine="420" w:firstLineChars="200"/>
        <w:rPr>
          <w:rFonts w:ascii="仿宋" w:hAnsi="仿宋" w:eastAsia="仿宋" w:cs="仿宋"/>
        </w:rPr>
      </w:pPr>
      <w:r>
        <w:rPr>
          <w:rFonts w:hint="eastAsia" w:ascii="仿宋" w:hAnsi="仿宋" w:eastAsia="仿宋" w:cs="仿宋"/>
        </w:rPr>
        <w:t>授权代表（签字）：</w:t>
      </w:r>
    </w:p>
    <w:p>
      <w:pPr>
        <w:snapToGrid w:val="0"/>
        <w:spacing w:line="300" w:lineRule="auto"/>
        <w:ind w:firstLine="420" w:firstLineChars="200"/>
        <w:rPr>
          <w:rFonts w:ascii="仿宋" w:hAnsi="仿宋" w:eastAsia="仿宋" w:cs="仿宋"/>
        </w:rPr>
      </w:pPr>
      <w:r>
        <w:rPr>
          <w:rFonts w:hint="eastAsia" w:ascii="仿宋" w:hAnsi="仿宋" w:eastAsia="仿宋" w:cs="仿宋"/>
        </w:rPr>
        <w:t>日期：2022年   月   日</w:t>
      </w:r>
    </w:p>
    <w:p>
      <w:pPr>
        <w:rPr>
          <w:rFonts w:ascii="仿宋" w:hAnsi="仿宋" w:eastAsia="仿宋" w:cs="仿宋"/>
        </w:rPr>
      </w:pPr>
    </w:p>
    <w:p>
      <w:pPr>
        <w:widowControl/>
        <w:snapToGrid w:val="0"/>
        <w:spacing w:line="300" w:lineRule="auto"/>
        <w:jc w:val="left"/>
        <w:rPr>
          <w:rFonts w:ascii="仿宋" w:hAnsi="仿宋" w:eastAsia="仿宋" w:cs="仿宋"/>
          <w:sz w:val="24"/>
        </w:rPr>
      </w:pPr>
      <w:r>
        <w:rPr>
          <w:rFonts w:hint="eastAsia" w:ascii="仿宋" w:hAnsi="仿宋" w:eastAsia="仿宋" w:cs="仿宋"/>
          <w:b/>
          <w:bCs/>
          <w:kern w:val="0"/>
          <w:szCs w:val="21"/>
        </w:rPr>
        <w:t>（开标当天投标人解密投标文件后此声明书签字盖章，以扫描件形式发送给采购代理机构。邮箱：</w:t>
      </w:r>
      <w:r>
        <w:fldChar w:fldCharType="begin"/>
      </w:r>
      <w:r>
        <w:instrText xml:space="preserve"> HYPERLINK "mailto:15798741@qq.com" </w:instrText>
      </w:r>
      <w:r>
        <w:fldChar w:fldCharType="separate"/>
      </w:r>
      <w:r>
        <w:rPr>
          <w:rFonts w:hint="eastAsia" w:ascii="仿宋" w:hAnsi="仿宋" w:eastAsia="仿宋" w:cs="仿宋"/>
          <w:b/>
          <w:bCs/>
          <w:kern w:val="0"/>
          <w:szCs w:val="21"/>
        </w:rPr>
        <w:t xml:space="preserve"> 944963774@qq.com</w:t>
      </w:r>
      <w:r>
        <w:rPr>
          <w:rFonts w:hint="eastAsia" w:ascii="仿宋" w:hAnsi="仿宋" w:eastAsia="仿宋" w:cs="仿宋"/>
          <w:b/>
          <w:bCs/>
          <w:kern w:val="0"/>
          <w:szCs w:val="21"/>
        </w:rPr>
        <w:fldChar w:fldCharType="end"/>
      </w:r>
      <w:r>
        <w:rPr>
          <w:rFonts w:hint="eastAsia" w:ascii="仿宋" w:hAnsi="仿宋" w:eastAsia="仿宋" w:cs="仿宋"/>
          <w:b/>
          <w:bCs/>
          <w:kern w:val="0"/>
          <w:szCs w:val="21"/>
        </w:rPr>
        <w:t>或362272630@qq.com）</w:t>
      </w:r>
    </w:p>
    <w:p>
      <w:pPr>
        <w:spacing w:line="360" w:lineRule="auto"/>
        <w:ind w:firstLine="241" w:firstLineChars="100"/>
        <w:jc w:val="left"/>
        <w:rPr>
          <w:rFonts w:ascii="宋体" w:hAnsi="宋体" w:cs="仿宋_GB2312"/>
          <w:b/>
          <w:sz w:val="24"/>
        </w:rPr>
      </w:pPr>
    </w:p>
    <w:sectPr>
      <w:pgSz w:w="11906" w:h="16838"/>
      <w:pgMar w:top="1361" w:right="1361" w:bottom="1361" w:left="1361"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Lucida Sans">
    <w:panose1 w:val="020B0602040502020204"/>
    <w:charset w:val="00"/>
    <w:family w:val="swiss"/>
    <w:pitch w:val="default"/>
    <w:sig w:usb0="8100AAF7" w:usb1="0000807B" w:usb2="00000008" w:usb3="00000000" w:csb0="6000009F" w:csb1="FFFF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Segoe UI Semilight">
    <w:panose1 w:val="020B04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80</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80</w:t>
    </w:r>
    <w:r>
      <w:rPr>
        <w:rFonts w:hint="eastAsia" w:ascii="仿宋_GB2312" w:eastAsia="仿宋_GB2312"/>
        <w:kern w:val="0"/>
        <w:szCs w:val="21"/>
      </w:rPr>
      <w:fldChar w:fldCharType="end"/>
    </w:r>
    <w:bookmarkStart w:id="569" w:name="_Toc36110187"/>
    <w:bookmarkStart w:id="570" w:name="_Toc91899912"/>
    <w:bookmarkStart w:id="571" w:name="_Toc131845147"/>
    <w:bookmarkStart w:id="572" w:name="_Toc164085800"/>
    <w:r>
      <w:rPr>
        <w:rFonts w:hint="eastAsia" w:ascii="仿宋_GB2312" w:eastAsia="仿宋_GB2312"/>
        <w:kern w:val="0"/>
        <w:szCs w:val="21"/>
      </w:rPr>
      <w:t xml:space="preserve"> 页</w:t>
    </w:r>
    <w:bookmarkEnd w:id="569"/>
    <w:bookmarkEnd w:id="570"/>
    <w:bookmarkEnd w:id="571"/>
    <w:bookmarkEnd w:id="57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both"/>
      <w:rPr>
        <w:rFonts w:ascii="仿宋" w:hAnsi="仿宋" w:eastAsia="仿宋" w:cs="仿宋"/>
        <w:sz w:val="21"/>
        <w:szCs w:val="24"/>
        <w:lang w:val="zh-CN"/>
      </w:rPr>
    </w:pPr>
    <w:r>
      <w:rPr>
        <w:rFonts w:hint="eastAsia" w:ascii="仿宋" w:hAnsi="仿宋" w:eastAsia="仿宋" w:cs="仿宋"/>
        <w:sz w:val="21"/>
        <w:szCs w:val="24"/>
        <w:lang w:val="zh-CN"/>
      </w:rPr>
      <w:t>拱墅区智慧工地监管平台项目</w:t>
    </w:r>
    <w:r>
      <w:rPr>
        <w:rFonts w:hint="eastAsia" w:ascii="仿宋" w:hAnsi="仿宋" w:eastAsia="仿宋" w:cs="仿宋"/>
        <w:sz w:val="21"/>
        <w:szCs w:val="24"/>
      </w:rPr>
      <w:t xml:space="preserve">                            </w:t>
    </w:r>
    <w:r>
      <w:rPr>
        <w:rFonts w:hint="eastAsia" w:ascii="仿宋" w:hAnsi="仿宋" w:eastAsia="仿宋" w:cs="仿宋"/>
        <w:sz w:val="21"/>
        <w:szCs w:val="24"/>
        <w:lang w:val="zh-CN"/>
      </w:rPr>
      <w:t>杭州市拱墅区政府采购公开招标文件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both"/>
    </w:pPr>
    <w:r>
      <w:rPr>
        <w:rFonts w:hint="eastAsia" w:ascii="仿宋" w:hAnsi="仿宋" w:eastAsia="仿宋" w:cs="仿宋"/>
        <w:sz w:val="21"/>
        <w:szCs w:val="24"/>
        <w:lang w:val="zh-CN"/>
      </w:rPr>
      <w:t>拱墅区智慧工地监管平台项目</w:t>
    </w:r>
    <w:r>
      <w:rPr>
        <w:rFonts w:hint="eastAsia" w:ascii="仿宋" w:hAnsi="仿宋" w:eastAsia="仿宋" w:cs="仿宋"/>
        <w:sz w:val="21"/>
        <w:szCs w:val="24"/>
      </w:rPr>
      <w:t xml:space="preserve">                             </w:t>
    </w:r>
    <w:r>
      <w:rPr>
        <w:rFonts w:hint="eastAsia" w:ascii="仿宋" w:hAnsi="仿宋" w:eastAsia="仿宋" w:cs="仿宋"/>
        <w:sz w:val="21"/>
        <w:szCs w:val="24"/>
        <w:lang w:val="zh-CN"/>
      </w:rPr>
      <w:t>杭州市拱墅区政府采购公开招标文件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both"/>
      <w:rPr>
        <w:rFonts w:ascii="仿宋" w:hAnsi="仿宋" w:eastAsia="仿宋" w:cs="仿宋"/>
        <w:sz w:val="21"/>
        <w:szCs w:val="24"/>
        <w:lang w:val="zh-CN"/>
      </w:rPr>
    </w:pPr>
    <w:r>
      <w:rPr>
        <w:rFonts w:hint="eastAsia" w:ascii="仿宋" w:hAnsi="仿宋" w:eastAsia="仿宋" w:cs="仿宋"/>
        <w:sz w:val="21"/>
        <w:szCs w:val="24"/>
        <w:lang w:val="zh-CN"/>
      </w:rPr>
      <w:t>拱墅区智慧工地监管平台项目</w:t>
    </w:r>
    <w:r>
      <w:rPr>
        <w:rFonts w:hint="eastAsia" w:ascii="仿宋" w:hAnsi="仿宋" w:eastAsia="仿宋" w:cs="仿宋"/>
        <w:sz w:val="21"/>
        <w:szCs w:val="24"/>
      </w:rPr>
      <w:t xml:space="preserve">                                                                       </w:t>
    </w:r>
    <w:r>
      <w:rPr>
        <w:rFonts w:hint="eastAsia" w:ascii="仿宋" w:hAnsi="仿宋" w:eastAsia="仿宋" w:cs="仿宋"/>
        <w:sz w:val="21"/>
        <w:szCs w:val="24"/>
        <w:lang w:val="zh-CN"/>
      </w:rPr>
      <w:t>杭州市拱墅区政府采购公开招标文件</w:t>
    </w:r>
  </w:p>
  <w:p>
    <w:pPr>
      <w:rPr>
        <w:rFonts w:ascii="仿宋_GB2312" w:eastAsia="仿宋_GB2312"/>
        <w:b/>
        <w:i/>
        <w:sz w:val="18"/>
        <w:u w:val="single"/>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both"/>
    </w:pPr>
    <w:r>
      <w:rPr>
        <w:rFonts w:hint="eastAsia" w:ascii="仿宋" w:hAnsi="仿宋" w:eastAsia="仿宋" w:cs="仿宋"/>
        <w:sz w:val="21"/>
        <w:szCs w:val="24"/>
        <w:lang w:val="zh-CN"/>
      </w:rPr>
      <w:t>拱墅区智慧工地监管平台项目</w:t>
    </w:r>
    <w:r>
      <w:rPr>
        <w:rFonts w:hint="eastAsia" w:ascii="仿宋" w:hAnsi="仿宋" w:eastAsia="仿宋" w:cs="仿宋"/>
        <w:sz w:val="21"/>
        <w:szCs w:val="24"/>
      </w:rPr>
      <w:t xml:space="preserve">                                                                 </w:t>
    </w:r>
    <w:r>
      <w:rPr>
        <w:rFonts w:hint="eastAsia" w:ascii="仿宋" w:hAnsi="仿宋" w:eastAsia="仿宋" w:cs="仿宋"/>
        <w:sz w:val="21"/>
        <w:szCs w:val="24"/>
        <w:lang w:val="zh-CN"/>
      </w:rPr>
      <w:t>杭州市拱墅区政府采购公开招标文件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spacing w:line="360" w:lineRule="auto"/>
      <w:rPr>
        <w:rFonts w:ascii="仿宋" w:hAnsi="仿宋" w:eastAsia="仿宋" w:cs="仿宋"/>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both"/>
      <w:rPr>
        <w:rFonts w:ascii="仿宋" w:hAnsi="仿宋" w:eastAsia="仿宋" w:cs="仿宋"/>
        <w:sz w:val="21"/>
        <w:szCs w:val="24"/>
        <w:lang w:val="zh-CN"/>
      </w:rPr>
    </w:pPr>
    <w:r>
      <w:rPr>
        <w:rFonts w:hint="eastAsia" w:ascii="仿宋" w:hAnsi="仿宋" w:eastAsia="仿宋" w:cs="仿宋"/>
        <w:sz w:val="21"/>
        <w:szCs w:val="24"/>
        <w:lang w:val="zh-CN"/>
      </w:rPr>
      <w:t>拱墅区智慧工地监管平台项目</w:t>
    </w:r>
    <w:r>
      <w:rPr>
        <w:rFonts w:hint="eastAsia" w:ascii="仿宋" w:hAnsi="仿宋" w:eastAsia="仿宋" w:cs="仿宋"/>
        <w:sz w:val="21"/>
        <w:szCs w:val="24"/>
      </w:rPr>
      <w:t xml:space="preserve">                             </w:t>
    </w:r>
    <w:r>
      <w:rPr>
        <w:rFonts w:hint="eastAsia" w:ascii="仿宋" w:hAnsi="仿宋" w:eastAsia="仿宋" w:cs="仿宋"/>
        <w:sz w:val="21"/>
        <w:szCs w:val="24"/>
        <w:lang w:val="zh-CN"/>
      </w:rPr>
      <w:t>杭州市拱墅区政府采购公开招标文件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both"/>
    </w:pPr>
    <w:r>
      <w:rPr>
        <w:lang w:val="zh-CN"/>
      </w:rPr>
      <w:t></w:t>
    </w:r>
    <w:r>
      <w:rPr>
        <w:rFonts w:hint="eastAsia" w:ascii="仿宋" w:hAnsi="仿宋" w:eastAsia="仿宋" w:cs="仿宋"/>
        <w:sz w:val="21"/>
        <w:szCs w:val="21"/>
        <w:lang w:val="zh-CN"/>
      </w:rPr>
      <w:t>拱墅区智慧工地监管平台项目</w:t>
    </w:r>
    <w:r>
      <w:rPr>
        <w:rFonts w:hint="eastAsia" w:ascii="仿宋" w:hAnsi="仿宋" w:eastAsia="仿宋" w:cs="仿宋"/>
        <w:sz w:val="21"/>
        <w:szCs w:val="21"/>
      </w:rPr>
      <w:t xml:space="preserve">                                  </w:t>
    </w:r>
    <w:r>
      <w:rPr>
        <w:rFonts w:hint="eastAsia" w:ascii="仿宋" w:hAnsi="仿宋" w:eastAsia="仿宋" w:cs="仿宋"/>
        <w:sz w:val="21"/>
        <w:szCs w:val="21"/>
        <w:lang w:val="zh-CN"/>
      </w:rPr>
      <w:t>杭州市拱墅区政府采购公开招标文件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both"/>
    </w:pPr>
    <w:r>
      <w:rPr>
        <w:rFonts w:hint="eastAsia" w:ascii="仿宋" w:hAnsi="仿宋" w:eastAsia="仿宋" w:cs="仿宋"/>
        <w:sz w:val="21"/>
        <w:szCs w:val="24"/>
        <w:lang w:val="zh-CN"/>
      </w:rPr>
      <w:t>拱墅区智慧工地监管平台项目</w:t>
    </w:r>
    <w:r>
      <w:rPr>
        <w:rFonts w:hint="eastAsia" w:ascii="仿宋" w:hAnsi="仿宋" w:eastAsia="仿宋" w:cs="仿宋"/>
        <w:sz w:val="21"/>
        <w:szCs w:val="24"/>
      </w:rPr>
      <w:t xml:space="preserve">                                    </w:t>
    </w:r>
    <w:r>
      <w:rPr>
        <w:rFonts w:hint="eastAsia" w:ascii="仿宋" w:hAnsi="仿宋" w:eastAsia="仿宋" w:cs="仿宋"/>
        <w:sz w:val="21"/>
        <w:szCs w:val="24"/>
        <w:lang w:val="zh-CN"/>
      </w:rPr>
      <w:t>杭州市拱墅区政府采购公开招标文件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both"/>
      <w:rPr>
        <w:rFonts w:ascii="仿宋_GB2312" w:eastAsia="仿宋_GB2312"/>
        <w:b/>
        <w:i/>
        <w:u w:val="single"/>
      </w:rPr>
    </w:pPr>
    <w:r>
      <w:rPr>
        <w:rFonts w:hint="eastAsia" w:ascii="仿宋" w:hAnsi="仿宋" w:eastAsia="仿宋" w:cs="仿宋"/>
        <w:sz w:val="21"/>
        <w:szCs w:val="24"/>
        <w:lang w:val="zh-CN"/>
      </w:rPr>
      <w:t>拱墅区智慧工地监管平台项目</w:t>
    </w:r>
    <w:r>
      <w:rPr>
        <w:rFonts w:hint="eastAsia" w:ascii="仿宋" w:hAnsi="仿宋" w:eastAsia="仿宋" w:cs="仿宋"/>
        <w:sz w:val="21"/>
        <w:szCs w:val="24"/>
      </w:rPr>
      <w:t xml:space="preserve">                                    </w:t>
    </w:r>
    <w:r>
      <w:rPr>
        <w:rFonts w:hint="eastAsia" w:ascii="仿宋" w:hAnsi="仿宋" w:eastAsia="仿宋" w:cs="仿宋"/>
        <w:sz w:val="21"/>
        <w:szCs w:val="24"/>
        <w:lang w:val="zh-CN"/>
      </w:rPr>
      <w:t>杭州市拱墅区政府采购公开招标文件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both"/>
    </w:pPr>
    <w:r>
      <w:rPr>
        <w:rFonts w:hint="eastAsia" w:ascii="仿宋" w:hAnsi="仿宋" w:eastAsia="仿宋" w:cs="仿宋"/>
        <w:sz w:val="21"/>
        <w:szCs w:val="24"/>
        <w:lang w:val="zh-CN"/>
      </w:rPr>
      <w:t>拱墅区智慧工地监管平台项目</w:t>
    </w:r>
    <w:r>
      <w:rPr>
        <w:rFonts w:hint="eastAsia" w:ascii="仿宋" w:hAnsi="仿宋" w:eastAsia="仿宋" w:cs="仿宋"/>
        <w:sz w:val="21"/>
        <w:szCs w:val="24"/>
      </w:rPr>
      <w:t xml:space="preserve">                             </w:t>
    </w:r>
    <w:r>
      <w:rPr>
        <w:rFonts w:hint="eastAsia" w:ascii="仿宋" w:hAnsi="仿宋" w:eastAsia="仿宋" w:cs="仿宋"/>
        <w:sz w:val="21"/>
        <w:szCs w:val="24"/>
        <w:lang w:val="zh-CN"/>
      </w:rPr>
      <w:t>杭州市拱墅区政府采购公开招标文件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both"/>
      <w:rPr>
        <w:rFonts w:ascii="仿宋_GB2312" w:eastAsia="仿宋_GB2312"/>
        <w:b/>
        <w:i/>
        <w:u w:val="single"/>
      </w:rPr>
    </w:pPr>
    <w:r>
      <w:rPr>
        <w:rFonts w:hint="eastAsia" w:ascii="仿宋" w:hAnsi="仿宋" w:eastAsia="仿宋" w:cs="仿宋"/>
        <w:sz w:val="21"/>
        <w:szCs w:val="24"/>
        <w:lang w:val="zh-CN"/>
      </w:rPr>
      <w:t>拱墅区智慧工地监管平台项目</w:t>
    </w:r>
    <w:r>
      <w:rPr>
        <w:rFonts w:hint="eastAsia" w:ascii="仿宋" w:hAnsi="仿宋" w:eastAsia="仿宋" w:cs="仿宋"/>
        <w:sz w:val="21"/>
        <w:szCs w:val="24"/>
      </w:rPr>
      <w:t xml:space="preserve">                                                                              </w:t>
    </w:r>
    <w:r>
      <w:rPr>
        <w:rFonts w:hint="eastAsia" w:ascii="仿宋" w:hAnsi="仿宋" w:eastAsia="仿宋" w:cs="仿宋"/>
        <w:sz w:val="21"/>
        <w:szCs w:val="24"/>
        <w:lang w:val="zh-CN"/>
      </w:rPr>
      <w:t>杭州市拱墅区政府采购公开招标文件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both"/>
      <w:rPr>
        <w:rFonts w:ascii="仿宋" w:hAnsi="仿宋" w:eastAsia="仿宋" w:cs="仿宋"/>
        <w:sz w:val="21"/>
        <w:szCs w:val="24"/>
        <w:lang w:val="zh-CN"/>
      </w:rPr>
    </w:pPr>
    <w:r>
      <w:rPr>
        <w:rFonts w:hint="eastAsia" w:ascii="仿宋" w:hAnsi="仿宋" w:eastAsia="仿宋" w:cs="仿宋"/>
        <w:sz w:val="21"/>
        <w:szCs w:val="24"/>
        <w:lang w:val="zh-CN"/>
      </w:rPr>
      <w:t>拱墅区智慧工地监管平台项目</w:t>
    </w:r>
    <w:r>
      <w:rPr>
        <w:rFonts w:hint="eastAsia" w:ascii="仿宋" w:hAnsi="仿宋" w:eastAsia="仿宋" w:cs="仿宋"/>
        <w:sz w:val="21"/>
        <w:szCs w:val="24"/>
      </w:rPr>
      <w:t xml:space="preserve">                            </w:t>
    </w:r>
    <w:r>
      <w:rPr>
        <w:rFonts w:hint="eastAsia" w:ascii="仿宋" w:hAnsi="仿宋" w:eastAsia="仿宋" w:cs="仿宋"/>
        <w:sz w:val="21"/>
        <w:szCs w:val="24"/>
        <w:lang w:val="zh-CN"/>
      </w:rPr>
      <w:t>杭州市拱墅区政府采购公开招标文件</w:t>
    </w:r>
  </w:p>
  <w:p>
    <w:pPr>
      <w:rPr>
        <w:rFonts w:ascii="仿宋_GB2312" w:eastAsia="仿宋_GB2312"/>
        <w:b/>
        <w:i/>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AD4604"/>
    <w:multiLevelType w:val="singleLevel"/>
    <w:tmpl w:val="83AD4604"/>
    <w:lvl w:ilvl="0" w:tentative="0">
      <w:start w:val="2"/>
      <w:numFmt w:val="decimal"/>
      <w:suff w:val="nothing"/>
      <w:lvlText w:val="%1、"/>
      <w:lvlJc w:val="left"/>
    </w:lvl>
  </w:abstractNum>
  <w:abstractNum w:abstractNumId="1">
    <w:nsid w:val="BFF6C775"/>
    <w:multiLevelType w:val="multilevel"/>
    <w:tmpl w:val="BFF6C775"/>
    <w:lvl w:ilvl="0" w:tentative="0">
      <w:start w:val="1"/>
      <w:numFmt w:val="decimal"/>
      <w:pStyle w:val="965"/>
      <w:suff w:val="nothing"/>
      <w:lvlText w:val="%1."/>
      <w:lvlJc w:val="left"/>
      <w:pPr>
        <w:tabs>
          <w:tab w:val="left" w:pos="420"/>
        </w:tabs>
        <w:ind w:left="0" w:firstLine="0"/>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2">
    <w:nsid w:val="08FCF7A2"/>
    <w:multiLevelType w:val="singleLevel"/>
    <w:tmpl w:val="08FCF7A2"/>
    <w:lvl w:ilvl="0" w:tentative="0">
      <w:start w:val="5"/>
      <w:numFmt w:val="chineseCounting"/>
      <w:suff w:val="nothing"/>
      <w:lvlText w:val="%1、"/>
      <w:lvlJc w:val="left"/>
      <w:rPr>
        <w:rFonts w:hint="eastAsia"/>
      </w:rPr>
    </w:lvl>
  </w:abstractNum>
  <w:abstractNum w:abstractNumId="3">
    <w:nsid w:val="6675DEAF"/>
    <w:multiLevelType w:val="singleLevel"/>
    <w:tmpl w:val="6675DEAF"/>
    <w:lvl w:ilvl="0" w:tentative="0">
      <w:start w:val="2"/>
      <w:numFmt w:val="upperLetter"/>
      <w:lvlText w:val="%1."/>
      <w:lvlJc w:val="left"/>
      <w:pPr>
        <w:tabs>
          <w:tab w:val="left" w:pos="312"/>
        </w:tabs>
      </w:pPr>
    </w:lvl>
  </w:abstractNum>
  <w:abstractNum w:abstractNumId="4">
    <w:nsid w:val="668F940D"/>
    <w:multiLevelType w:val="singleLevel"/>
    <w:tmpl w:val="668F940D"/>
    <w:lvl w:ilvl="0" w:tentative="0">
      <w:start w:val="1"/>
      <w:numFmt w:val="decimal"/>
      <w:suff w:val="nothing"/>
      <w:lvlText w:val="（%1）"/>
      <w:lvlJc w:val="left"/>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zhjNmYxNDQwMDYyOTQ5MjhkODMxYjYzNTNiNT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17E59"/>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35EA1"/>
    <w:rsid w:val="00040447"/>
    <w:rsid w:val="00040494"/>
    <w:rsid w:val="00040B70"/>
    <w:rsid w:val="00042441"/>
    <w:rsid w:val="00042533"/>
    <w:rsid w:val="00042DBB"/>
    <w:rsid w:val="00042E65"/>
    <w:rsid w:val="0004347C"/>
    <w:rsid w:val="00043907"/>
    <w:rsid w:val="00044F48"/>
    <w:rsid w:val="00047354"/>
    <w:rsid w:val="00050656"/>
    <w:rsid w:val="00050A19"/>
    <w:rsid w:val="0005103D"/>
    <w:rsid w:val="000511B6"/>
    <w:rsid w:val="00051B00"/>
    <w:rsid w:val="00051C72"/>
    <w:rsid w:val="00052192"/>
    <w:rsid w:val="0005238F"/>
    <w:rsid w:val="000526DA"/>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784"/>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3CF2"/>
    <w:rsid w:val="000D453A"/>
    <w:rsid w:val="000D4AFA"/>
    <w:rsid w:val="000D5EA6"/>
    <w:rsid w:val="000D5F00"/>
    <w:rsid w:val="000D6C9F"/>
    <w:rsid w:val="000D6E3B"/>
    <w:rsid w:val="000D6F30"/>
    <w:rsid w:val="000D74E4"/>
    <w:rsid w:val="000D7C9D"/>
    <w:rsid w:val="000D7CE0"/>
    <w:rsid w:val="000E164D"/>
    <w:rsid w:val="000E2785"/>
    <w:rsid w:val="000E27BB"/>
    <w:rsid w:val="000E3153"/>
    <w:rsid w:val="000E3484"/>
    <w:rsid w:val="000E386F"/>
    <w:rsid w:val="000E4051"/>
    <w:rsid w:val="000E4139"/>
    <w:rsid w:val="000E4765"/>
    <w:rsid w:val="000E4DD3"/>
    <w:rsid w:val="000E5B7E"/>
    <w:rsid w:val="000E5FF9"/>
    <w:rsid w:val="000E6AE1"/>
    <w:rsid w:val="000E7142"/>
    <w:rsid w:val="000E7632"/>
    <w:rsid w:val="000E7737"/>
    <w:rsid w:val="000E7739"/>
    <w:rsid w:val="000E77EE"/>
    <w:rsid w:val="000F1604"/>
    <w:rsid w:val="000F20E6"/>
    <w:rsid w:val="000F287A"/>
    <w:rsid w:val="000F2940"/>
    <w:rsid w:val="000F2AB3"/>
    <w:rsid w:val="000F3D08"/>
    <w:rsid w:val="000F4495"/>
    <w:rsid w:val="000F4A05"/>
    <w:rsid w:val="000F4AA8"/>
    <w:rsid w:val="000F4AEA"/>
    <w:rsid w:val="000F4E67"/>
    <w:rsid w:val="000F505B"/>
    <w:rsid w:val="000F51F3"/>
    <w:rsid w:val="000F5677"/>
    <w:rsid w:val="000F5C3B"/>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692"/>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17956"/>
    <w:rsid w:val="0012153F"/>
    <w:rsid w:val="0012159D"/>
    <w:rsid w:val="00121804"/>
    <w:rsid w:val="00121EC9"/>
    <w:rsid w:val="001224FE"/>
    <w:rsid w:val="001231D3"/>
    <w:rsid w:val="001232A7"/>
    <w:rsid w:val="00123716"/>
    <w:rsid w:val="00123F7C"/>
    <w:rsid w:val="0012419E"/>
    <w:rsid w:val="00124470"/>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1916"/>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933"/>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CD3"/>
    <w:rsid w:val="001A5FD7"/>
    <w:rsid w:val="001A66A6"/>
    <w:rsid w:val="001A6BAF"/>
    <w:rsid w:val="001A6BBB"/>
    <w:rsid w:val="001A79A2"/>
    <w:rsid w:val="001B06A6"/>
    <w:rsid w:val="001B13BF"/>
    <w:rsid w:val="001B16F5"/>
    <w:rsid w:val="001B1C1F"/>
    <w:rsid w:val="001B219B"/>
    <w:rsid w:val="001B2703"/>
    <w:rsid w:val="001B3DCD"/>
    <w:rsid w:val="001B3DD2"/>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4FB0"/>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2F"/>
    <w:rsid w:val="001E507F"/>
    <w:rsid w:val="001E56C2"/>
    <w:rsid w:val="001E59FB"/>
    <w:rsid w:val="001E610C"/>
    <w:rsid w:val="001E7AD0"/>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220"/>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A8C"/>
    <w:rsid w:val="00215D21"/>
    <w:rsid w:val="0021636B"/>
    <w:rsid w:val="00216387"/>
    <w:rsid w:val="00216E7B"/>
    <w:rsid w:val="00217E1F"/>
    <w:rsid w:val="002203DC"/>
    <w:rsid w:val="002204BC"/>
    <w:rsid w:val="00220F7B"/>
    <w:rsid w:val="002213CE"/>
    <w:rsid w:val="00221AF7"/>
    <w:rsid w:val="00222494"/>
    <w:rsid w:val="00222775"/>
    <w:rsid w:val="00222A31"/>
    <w:rsid w:val="00222CF6"/>
    <w:rsid w:val="00223854"/>
    <w:rsid w:val="00224037"/>
    <w:rsid w:val="0022435B"/>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5EDA"/>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2694"/>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80D"/>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3DF"/>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1F8D"/>
    <w:rsid w:val="002D22A6"/>
    <w:rsid w:val="002D2819"/>
    <w:rsid w:val="002D2CD6"/>
    <w:rsid w:val="002D2F81"/>
    <w:rsid w:val="002D31E7"/>
    <w:rsid w:val="002D38A3"/>
    <w:rsid w:val="002D3BA3"/>
    <w:rsid w:val="002D43EE"/>
    <w:rsid w:val="002D4892"/>
    <w:rsid w:val="002D4D06"/>
    <w:rsid w:val="002D4DDE"/>
    <w:rsid w:val="002D4EE7"/>
    <w:rsid w:val="002D4EED"/>
    <w:rsid w:val="002D5850"/>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2C31"/>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A51"/>
    <w:rsid w:val="00310EDB"/>
    <w:rsid w:val="00311C51"/>
    <w:rsid w:val="00311CE8"/>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17C24"/>
    <w:rsid w:val="00320688"/>
    <w:rsid w:val="00320B75"/>
    <w:rsid w:val="00321DB7"/>
    <w:rsid w:val="00321E7A"/>
    <w:rsid w:val="0032226D"/>
    <w:rsid w:val="003235E6"/>
    <w:rsid w:val="00324038"/>
    <w:rsid w:val="00324951"/>
    <w:rsid w:val="003249F6"/>
    <w:rsid w:val="00324B2F"/>
    <w:rsid w:val="00325856"/>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04F"/>
    <w:rsid w:val="00334927"/>
    <w:rsid w:val="003360AD"/>
    <w:rsid w:val="0033631D"/>
    <w:rsid w:val="003369C7"/>
    <w:rsid w:val="003373A6"/>
    <w:rsid w:val="00337409"/>
    <w:rsid w:val="00337E18"/>
    <w:rsid w:val="003405AF"/>
    <w:rsid w:val="00340756"/>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6CB5"/>
    <w:rsid w:val="003B7403"/>
    <w:rsid w:val="003C0015"/>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90A"/>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63F9"/>
    <w:rsid w:val="003F7425"/>
    <w:rsid w:val="003F765B"/>
    <w:rsid w:val="003F7CB8"/>
    <w:rsid w:val="00400CB4"/>
    <w:rsid w:val="00401386"/>
    <w:rsid w:val="004013E6"/>
    <w:rsid w:val="004018C4"/>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5C"/>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C45"/>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8C1"/>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24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6AC"/>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6"/>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23E"/>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63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0A2C"/>
    <w:rsid w:val="00531064"/>
    <w:rsid w:val="005312CB"/>
    <w:rsid w:val="005313B2"/>
    <w:rsid w:val="005315F7"/>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90"/>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0F03"/>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72"/>
    <w:rsid w:val="00561A9B"/>
    <w:rsid w:val="00561E54"/>
    <w:rsid w:val="00561F73"/>
    <w:rsid w:val="005621F7"/>
    <w:rsid w:val="0056278F"/>
    <w:rsid w:val="00562FB1"/>
    <w:rsid w:val="00563068"/>
    <w:rsid w:val="0056376A"/>
    <w:rsid w:val="00563B3C"/>
    <w:rsid w:val="0056419C"/>
    <w:rsid w:val="00564A91"/>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775E1"/>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1CA1"/>
    <w:rsid w:val="00592825"/>
    <w:rsid w:val="00594437"/>
    <w:rsid w:val="00594B70"/>
    <w:rsid w:val="00596CFA"/>
    <w:rsid w:val="00596EC6"/>
    <w:rsid w:val="005973DF"/>
    <w:rsid w:val="005975CE"/>
    <w:rsid w:val="00597DD1"/>
    <w:rsid w:val="005A0088"/>
    <w:rsid w:val="005A030E"/>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6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C9C"/>
    <w:rsid w:val="005D0FB4"/>
    <w:rsid w:val="005D1176"/>
    <w:rsid w:val="005D1747"/>
    <w:rsid w:val="005D266D"/>
    <w:rsid w:val="005D306D"/>
    <w:rsid w:val="005D3327"/>
    <w:rsid w:val="005D4854"/>
    <w:rsid w:val="005D5BCF"/>
    <w:rsid w:val="005D65BF"/>
    <w:rsid w:val="005D6626"/>
    <w:rsid w:val="005D6D84"/>
    <w:rsid w:val="005D70A1"/>
    <w:rsid w:val="005D79F2"/>
    <w:rsid w:val="005D7CB1"/>
    <w:rsid w:val="005D7F57"/>
    <w:rsid w:val="005E0067"/>
    <w:rsid w:val="005E0141"/>
    <w:rsid w:val="005E083B"/>
    <w:rsid w:val="005E09CA"/>
    <w:rsid w:val="005E1AB4"/>
    <w:rsid w:val="005E255B"/>
    <w:rsid w:val="005E2CF7"/>
    <w:rsid w:val="005E4543"/>
    <w:rsid w:val="005E4A1C"/>
    <w:rsid w:val="005E56C9"/>
    <w:rsid w:val="005E5CF7"/>
    <w:rsid w:val="005E5FF0"/>
    <w:rsid w:val="005E642A"/>
    <w:rsid w:val="005E65A7"/>
    <w:rsid w:val="005E721E"/>
    <w:rsid w:val="005E7DEF"/>
    <w:rsid w:val="005F0857"/>
    <w:rsid w:val="005F1470"/>
    <w:rsid w:val="005F15A9"/>
    <w:rsid w:val="005F2807"/>
    <w:rsid w:val="005F2CD5"/>
    <w:rsid w:val="005F3382"/>
    <w:rsid w:val="005F3720"/>
    <w:rsid w:val="005F4811"/>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7FD"/>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07208"/>
    <w:rsid w:val="00607AD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176"/>
    <w:rsid w:val="00644334"/>
    <w:rsid w:val="0064487C"/>
    <w:rsid w:val="00644BED"/>
    <w:rsid w:val="00644E2E"/>
    <w:rsid w:val="00645A3A"/>
    <w:rsid w:val="00645B87"/>
    <w:rsid w:val="00645CB4"/>
    <w:rsid w:val="00646084"/>
    <w:rsid w:val="006468ED"/>
    <w:rsid w:val="00647664"/>
    <w:rsid w:val="006501EC"/>
    <w:rsid w:val="00650D19"/>
    <w:rsid w:val="0065270B"/>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262"/>
    <w:rsid w:val="00686E80"/>
    <w:rsid w:val="0068790B"/>
    <w:rsid w:val="00687AF2"/>
    <w:rsid w:val="006901AC"/>
    <w:rsid w:val="00690C8D"/>
    <w:rsid w:val="006914F6"/>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08F"/>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5C0"/>
    <w:rsid w:val="006B6ED2"/>
    <w:rsid w:val="006B7F74"/>
    <w:rsid w:val="006C0230"/>
    <w:rsid w:val="006C05C7"/>
    <w:rsid w:val="006C25AB"/>
    <w:rsid w:val="006C2DA6"/>
    <w:rsid w:val="006C3581"/>
    <w:rsid w:val="006C39A0"/>
    <w:rsid w:val="006C3EFE"/>
    <w:rsid w:val="006C46C7"/>
    <w:rsid w:val="006C4767"/>
    <w:rsid w:val="006C4A1A"/>
    <w:rsid w:val="006C4C85"/>
    <w:rsid w:val="006C4D02"/>
    <w:rsid w:val="006C53A4"/>
    <w:rsid w:val="006C53F0"/>
    <w:rsid w:val="006C54DF"/>
    <w:rsid w:val="006C5D5D"/>
    <w:rsid w:val="006C5E7E"/>
    <w:rsid w:val="006C627E"/>
    <w:rsid w:val="006C6303"/>
    <w:rsid w:val="006C6414"/>
    <w:rsid w:val="006C6A51"/>
    <w:rsid w:val="006C6EBD"/>
    <w:rsid w:val="006C7E04"/>
    <w:rsid w:val="006C7F79"/>
    <w:rsid w:val="006D0004"/>
    <w:rsid w:val="006D015F"/>
    <w:rsid w:val="006D060E"/>
    <w:rsid w:val="006D0681"/>
    <w:rsid w:val="006D0A80"/>
    <w:rsid w:val="006D0AE8"/>
    <w:rsid w:val="006D135C"/>
    <w:rsid w:val="006D2F72"/>
    <w:rsid w:val="006D3C5A"/>
    <w:rsid w:val="006D43C1"/>
    <w:rsid w:val="006D541F"/>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056"/>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9D7"/>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90"/>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30E"/>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1C19"/>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632"/>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274"/>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1E95"/>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C54"/>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5EF5"/>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470CA"/>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3897"/>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897"/>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69C5"/>
    <w:rsid w:val="008B7042"/>
    <w:rsid w:val="008B770C"/>
    <w:rsid w:val="008B7BE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A88"/>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27851"/>
    <w:rsid w:val="009307CA"/>
    <w:rsid w:val="009312F9"/>
    <w:rsid w:val="00931445"/>
    <w:rsid w:val="00931AB8"/>
    <w:rsid w:val="00931C19"/>
    <w:rsid w:val="00931C63"/>
    <w:rsid w:val="00931D10"/>
    <w:rsid w:val="0093218A"/>
    <w:rsid w:val="0093386D"/>
    <w:rsid w:val="00934C8E"/>
    <w:rsid w:val="00935194"/>
    <w:rsid w:val="00936EA5"/>
    <w:rsid w:val="0093701B"/>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4597"/>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896"/>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0C4"/>
    <w:rsid w:val="009E19BB"/>
    <w:rsid w:val="009E1C47"/>
    <w:rsid w:val="009E38D1"/>
    <w:rsid w:val="009E3DF1"/>
    <w:rsid w:val="009E514A"/>
    <w:rsid w:val="009E5177"/>
    <w:rsid w:val="009E5701"/>
    <w:rsid w:val="009E5711"/>
    <w:rsid w:val="009E7433"/>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03"/>
    <w:rsid w:val="00A044AA"/>
    <w:rsid w:val="00A0700C"/>
    <w:rsid w:val="00A102F8"/>
    <w:rsid w:val="00A10A20"/>
    <w:rsid w:val="00A1101A"/>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57CC5"/>
    <w:rsid w:val="00A60350"/>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042"/>
    <w:rsid w:val="00A82D32"/>
    <w:rsid w:val="00A82EAE"/>
    <w:rsid w:val="00A82FC7"/>
    <w:rsid w:val="00A8362B"/>
    <w:rsid w:val="00A847F9"/>
    <w:rsid w:val="00A84F27"/>
    <w:rsid w:val="00A8519C"/>
    <w:rsid w:val="00A855EE"/>
    <w:rsid w:val="00A8597A"/>
    <w:rsid w:val="00A85B87"/>
    <w:rsid w:val="00A85F83"/>
    <w:rsid w:val="00A86019"/>
    <w:rsid w:val="00A86EED"/>
    <w:rsid w:val="00A8733A"/>
    <w:rsid w:val="00A87AC2"/>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16"/>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5E4A"/>
    <w:rsid w:val="00AA634D"/>
    <w:rsid w:val="00AA6F6C"/>
    <w:rsid w:val="00AA721D"/>
    <w:rsid w:val="00AA74A4"/>
    <w:rsid w:val="00AA7519"/>
    <w:rsid w:val="00AA790A"/>
    <w:rsid w:val="00AB02EA"/>
    <w:rsid w:val="00AB110C"/>
    <w:rsid w:val="00AB227A"/>
    <w:rsid w:val="00AB22BF"/>
    <w:rsid w:val="00AB256E"/>
    <w:rsid w:val="00AB3466"/>
    <w:rsid w:val="00AB36C5"/>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08"/>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5E66"/>
    <w:rsid w:val="00AF6476"/>
    <w:rsid w:val="00AF669D"/>
    <w:rsid w:val="00AF672C"/>
    <w:rsid w:val="00AF673E"/>
    <w:rsid w:val="00AF6ABE"/>
    <w:rsid w:val="00AF7389"/>
    <w:rsid w:val="00AF79DF"/>
    <w:rsid w:val="00AF7C37"/>
    <w:rsid w:val="00B00378"/>
    <w:rsid w:val="00B00D91"/>
    <w:rsid w:val="00B00E84"/>
    <w:rsid w:val="00B01DD9"/>
    <w:rsid w:val="00B01F0E"/>
    <w:rsid w:val="00B02AF8"/>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8B4"/>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1DEE"/>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AB"/>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C65"/>
    <w:rsid w:val="00B70E01"/>
    <w:rsid w:val="00B72CF0"/>
    <w:rsid w:val="00B7380E"/>
    <w:rsid w:val="00B740F6"/>
    <w:rsid w:val="00B74615"/>
    <w:rsid w:val="00B74789"/>
    <w:rsid w:val="00B755B6"/>
    <w:rsid w:val="00B75977"/>
    <w:rsid w:val="00B75A48"/>
    <w:rsid w:val="00B75BC1"/>
    <w:rsid w:val="00B75CC0"/>
    <w:rsid w:val="00B76021"/>
    <w:rsid w:val="00B76FCD"/>
    <w:rsid w:val="00B7764D"/>
    <w:rsid w:val="00B804F8"/>
    <w:rsid w:val="00B8095A"/>
    <w:rsid w:val="00B81274"/>
    <w:rsid w:val="00B815D3"/>
    <w:rsid w:val="00B81742"/>
    <w:rsid w:val="00B817B5"/>
    <w:rsid w:val="00B81DE7"/>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52C"/>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008"/>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12"/>
    <w:rsid w:val="00BF4F7C"/>
    <w:rsid w:val="00BF537B"/>
    <w:rsid w:val="00BF5901"/>
    <w:rsid w:val="00BF626A"/>
    <w:rsid w:val="00BF688E"/>
    <w:rsid w:val="00BF6D77"/>
    <w:rsid w:val="00BF739A"/>
    <w:rsid w:val="00BF7EF5"/>
    <w:rsid w:val="00C00BF6"/>
    <w:rsid w:val="00C0185A"/>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207"/>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1D5C"/>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A86"/>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EEC"/>
    <w:rsid w:val="00C71F09"/>
    <w:rsid w:val="00C72588"/>
    <w:rsid w:val="00C727B9"/>
    <w:rsid w:val="00C72EE5"/>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11D"/>
    <w:rsid w:val="00C93B40"/>
    <w:rsid w:val="00C93DB5"/>
    <w:rsid w:val="00C94CB9"/>
    <w:rsid w:val="00C955E1"/>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5D9C"/>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B7FF7"/>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2C12"/>
    <w:rsid w:val="00CD3CAB"/>
    <w:rsid w:val="00CD44FF"/>
    <w:rsid w:val="00CD46A7"/>
    <w:rsid w:val="00CD47BC"/>
    <w:rsid w:val="00CD4BD2"/>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37E1"/>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213"/>
    <w:rsid w:val="00D10327"/>
    <w:rsid w:val="00D103C9"/>
    <w:rsid w:val="00D10BE1"/>
    <w:rsid w:val="00D11FE3"/>
    <w:rsid w:val="00D12393"/>
    <w:rsid w:val="00D12945"/>
    <w:rsid w:val="00D12CC0"/>
    <w:rsid w:val="00D12DA1"/>
    <w:rsid w:val="00D130C0"/>
    <w:rsid w:val="00D132E5"/>
    <w:rsid w:val="00D1343A"/>
    <w:rsid w:val="00D13D50"/>
    <w:rsid w:val="00D14101"/>
    <w:rsid w:val="00D144D8"/>
    <w:rsid w:val="00D14919"/>
    <w:rsid w:val="00D14E25"/>
    <w:rsid w:val="00D14E48"/>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2B23"/>
    <w:rsid w:val="00D2303F"/>
    <w:rsid w:val="00D2371E"/>
    <w:rsid w:val="00D237E0"/>
    <w:rsid w:val="00D23A17"/>
    <w:rsid w:val="00D255D7"/>
    <w:rsid w:val="00D25676"/>
    <w:rsid w:val="00D2579F"/>
    <w:rsid w:val="00D2580E"/>
    <w:rsid w:val="00D265A7"/>
    <w:rsid w:val="00D2690C"/>
    <w:rsid w:val="00D2696E"/>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561"/>
    <w:rsid w:val="00D539DA"/>
    <w:rsid w:val="00D54A50"/>
    <w:rsid w:val="00D54FFD"/>
    <w:rsid w:val="00D5552C"/>
    <w:rsid w:val="00D5556D"/>
    <w:rsid w:val="00D55C34"/>
    <w:rsid w:val="00D55C81"/>
    <w:rsid w:val="00D5674B"/>
    <w:rsid w:val="00D56B56"/>
    <w:rsid w:val="00D56BF5"/>
    <w:rsid w:val="00D56F99"/>
    <w:rsid w:val="00D5743F"/>
    <w:rsid w:val="00D579F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06B0"/>
    <w:rsid w:val="00D815E6"/>
    <w:rsid w:val="00D81A28"/>
    <w:rsid w:val="00D81BDE"/>
    <w:rsid w:val="00D8201D"/>
    <w:rsid w:val="00D82B00"/>
    <w:rsid w:val="00D82B04"/>
    <w:rsid w:val="00D82BE4"/>
    <w:rsid w:val="00D82E05"/>
    <w:rsid w:val="00D83B8A"/>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98B"/>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1C22"/>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672"/>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C54"/>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8D1"/>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C8F"/>
    <w:rsid w:val="00E71D1E"/>
    <w:rsid w:val="00E726F2"/>
    <w:rsid w:val="00E728E2"/>
    <w:rsid w:val="00E738FA"/>
    <w:rsid w:val="00E739B6"/>
    <w:rsid w:val="00E74A2B"/>
    <w:rsid w:val="00E75667"/>
    <w:rsid w:val="00E756D3"/>
    <w:rsid w:val="00E75A5A"/>
    <w:rsid w:val="00E75E7C"/>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6F4"/>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AFB"/>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62A"/>
    <w:rsid w:val="00EA380C"/>
    <w:rsid w:val="00EA613D"/>
    <w:rsid w:val="00EA6744"/>
    <w:rsid w:val="00EA7308"/>
    <w:rsid w:val="00EA7474"/>
    <w:rsid w:val="00EB044C"/>
    <w:rsid w:val="00EB06D3"/>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82C"/>
    <w:rsid w:val="00EF196E"/>
    <w:rsid w:val="00EF1F01"/>
    <w:rsid w:val="00EF2C39"/>
    <w:rsid w:val="00EF2C5F"/>
    <w:rsid w:val="00EF3811"/>
    <w:rsid w:val="00EF3AC4"/>
    <w:rsid w:val="00EF3FF9"/>
    <w:rsid w:val="00EF41AF"/>
    <w:rsid w:val="00EF41D7"/>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E64"/>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B9D"/>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5A16"/>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6C6"/>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23B"/>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DD9"/>
    <w:rsid w:val="00FE4F80"/>
    <w:rsid w:val="00FE570E"/>
    <w:rsid w:val="00FE6870"/>
    <w:rsid w:val="00FE6937"/>
    <w:rsid w:val="00FE713E"/>
    <w:rsid w:val="00FE7877"/>
    <w:rsid w:val="00FE7DD1"/>
    <w:rsid w:val="00FF001C"/>
    <w:rsid w:val="00FF0B4F"/>
    <w:rsid w:val="00FF0F58"/>
    <w:rsid w:val="00FF183C"/>
    <w:rsid w:val="00FF1A06"/>
    <w:rsid w:val="00FF1AD3"/>
    <w:rsid w:val="00FF1B46"/>
    <w:rsid w:val="00FF219D"/>
    <w:rsid w:val="00FF2A7B"/>
    <w:rsid w:val="00FF308C"/>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B5695E"/>
    <w:rsid w:val="02DC4B10"/>
    <w:rsid w:val="02DD76CE"/>
    <w:rsid w:val="02F36323"/>
    <w:rsid w:val="02F5619C"/>
    <w:rsid w:val="0326446A"/>
    <w:rsid w:val="032D5555"/>
    <w:rsid w:val="036634D2"/>
    <w:rsid w:val="039E5551"/>
    <w:rsid w:val="03DD35E4"/>
    <w:rsid w:val="04076900"/>
    <w:rsid w:val="041A5A3B"/>
    <w:rsid w:val="042311BA"/>
    <w:rsid w:val="042B157A"/>
    <w:rsid w:val="048D195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683284"/>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0FF934B9"/>
    <w:rsid w:val="10646583"/>
    <w:rsid w:val="107D4B15"/>
    <w:rsid w:val="108A3C80"/>
    <w:rsid w:val="10C26171"/>
    <w:rsid w:val="10F33360"/>
    <w:rsid w:val="10FC16EA"/>
    <w:rsid w:val="110F1D40"/>
    <w:rsid w:val="11266F33"/>
    <w:rsid w:val="115455AE"/>
    <w:rsid w:val="118714DF"/>
    <w:rsid w:val="118963A1"/>
    <w:rsid w:val="11C6522A"/>
    <w:rsid w:val="11E104CC"/>
    <w:rsid w:val="11E20309"/>
    <w:rsid w:val="12255233"/>
    <w:rsid w:val="12530213"/>
    <w:rsid w:val="127723A9"/>
    <w:rsid w:val="12862074"/>
    <w:rsid w:val="12883966"/>
    <w:rsid w:val="129E45B4"/>
    <w:rsid w:val="12B5467B"/>
    <w:rsid w:val="12D81596"/>
    <w:rsid w:val="13072A44"/>
    <w:rsid w:val="135F4BE2"/>
    <w:rsid w:val="139B1A0A"/>
    <w:rsid w:val="139D25C7"/>
    <w:rsid w:val="13BF3CE4"/>
    <w:rsid w:val="141008D8"/>
    <w:rsid w:val="14125FE6"/>
    <w:rsid w:val="144715C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74A89"/>
    <w:rsid w:val="1C88086E"/>
    <w:rsid w:val="1CA84319"/>
    <w:rsid w:val="1D266CE1"/>
    <w:rsid w:val="1D3963AF"/>
    <w:rsid w:val="1D6A673C"/>
    <w:rsid w:val="1D9247AE"/>
    <w:rsid w:val="1DB567EC"/>
    <w:rsid w:val="1DF51A98"/>
    <w:rsid w:val="1E3D060F"/>
    <w:rsid w:val="1E3F7D2E"/>
    <w:rsid w:val="1E4134E4"/>
    <w:rsid w:val="1E5062B3"/>
    <w:rsid w:val="1E523514"/>
    <w:rsid w:val="1E543091"/>
    <w:rsid w:val="1E714A66"/>
    <w:rsid w:val="1E802593"/>
    <w:rsid w:val="1EA703CC"/>
    <w:rsid w:val="1EB7330C"/>
    <w:rsid w:val="1F0A0FF3"/>
    <w:rsid w:val="1F5771FF"/>
    <w:rsid w:val="1FE868A9"/>
    <w:rsid w:val="20034907"/>
    <w:rsid w:val="20173E4B"/>
    <w:rsid w:val="204E48BC"/>
    <w:rsid w:val="206439E9"/>
    <w:rsid w:val="208921B3"/>
    <w:rsid w:val="20973DEB"/>
    <w:rsid w:val="20B26522"/>
    <w:rsid w:val="20B44310"/>
    <w:rsid w:val="20ED1259"/>
    <w:rsid w:val="211116EB"/>
    <w:rsid w:val="216133FC"/>
    <w:rsid w:val="216A6880"/>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EB1DA2"/>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BE5622"/>
    <w:rsid w:val="2CE82D6F"/>
    <w:rsid w:val="2D343236"/>
    <w:rsid w:val="2DD15014"/>
    <w:rsid w:val="2DF72DE4"/>
    <w:rsid w:val="2E0220AF"/>
    <w:rsid w:val="2E4B082A"/>
    <w:rsid w:val="2E5D4E86"/>
    <w:rsid w:val="2E5D790B"/>
    <w:rsid w:val="2E9A3C18"/>
    <w:rsid w:val="2EBB0FEE"/>
    <w:rsid w:val="2EC60F41"/>
    <w:rsid w:val="2EC63002"/>
    <w:rsid w:val="2F0A6B38"/>
    <w:rsid w:val="2F946CCB"/>
    <w:rsid w:val="2FD25781"/>
    <w:rsid w:val="2FFD7934"/>
    <w:rsid w:val="30733ACD"/>
    <w:rsid w:val="308C3862"/>
    <w:rsid w:val="309379D8"/>
    <w:rsid w:val="30A270F7"/>
    <w:rsid w:val="30DF1478"/>
    <w:rsid w:val="30EC586F"/>
    <w:rsid w:val="31945F81"/>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8128F"/>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6358BF"/>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9B22F6"/>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CE65BD"/>
    <w:rsid w:val="40FF545D"/>
    <w:rsid w:val="410067C8"/>
    <w:rsid w:val="411F496C"/>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CC2BFE"/>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35AA8"/>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DFD51AC"/>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3B67AF4"/>
    <w:rsid w:val="53CE7FA5"/>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C54BAD"/>
    <w:rsid w:val="55DC29B6"/>
    <w:rsid w:val="55DD4241"/>
    <w:rsid w:val="566B6D1E"/>
    <w:rsid w:val="57032A2C"/>
    <w:rsid w:val="570F5219"/>
    <w:rsid w:val="575D12B5"/>
    <w:rsid w:val="57610A87"/>
    <w:rsid w:val="5767709B"/>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CD03307"/>
    <w:rsid w:val="5CF00CA8"/>
    <w:rsid w:val="5D0C4701"/>
    <w:rsid w:val="5D0F0395"/>
    <w:rsid w:val="5D221076"/>
    <w:rsid w:val="5D397964"/>
    <w:rsid w:val="5D5A391C"/>
    <w:rsid w:val="5D5F10C0"/>
    <w:rsid w:val="5D714DC0"/>
    <w:rsid w:val="5D891B7B"/>
    <w:rsid w:val="5DAD38EE"/>
    <w:rsid w:val="5E006862"/>
    <w:rsid w:val="5E0207B9"/>
    <w:rsid w:val="5E1834A1"/>
    <w:rsid w:val="5E261785"/>
    <w:rsid w:val="5E3FE1E4"/>
    <w:rsid w:val="5E4A7017"/>
    <w:rsid w:val="5E552BBA"/>
    <w:rsid w:val="5E611C10"/>
    <w:rsid w:val="5E8F2D4E"/>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6C481B"/>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5076C4"/>
    <w:rsid w:val="64560C5F"/>
    <w:rsid w:val="648B6EEF"/>
    <w:rsid w:val="64C158BF"/>
    <w:rsid w:val="64CE2EAA"/>
    <w:rsid w:val="653C3090"/>
    <w:rsid w:val="65854376"/>
    <w:rsid w:val="658767BE"/>
    <w:rsid w:val="65892531"/>
    <w:rsid w:val="66195831"/>
    <w:rsid w:val="662E75B1"/>
    <w:rsid w:val="66342C2E"/>
    <w:rsid w:val="663E784C"/>
    <w:rsid w:val="668B6A45"/>
    <w:rsid w:val="6692162D"/>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6C085C"/>
    <w:rsid w:val="6977531D"/>
    <w:rsid w:val="698536CB"/>
    <w:rsid w:val="69CC2BFF"/>
    <w:rsid w:val="69FD55B8"/>
    <w:rsid w:val="6A0B1C62"/>
    <w:rsid w:val="6A2406C8"/>
    <w:rsid w:val="6ADE0BD1"/>
    <w:rsid w:val="6AE96859"/>
    <w:rsid w:val="6AEA4AEA"/>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B44959"/>
    <w:rsid w:val="6DBF77E5"/>
    <w:rsid w:val="6DC0172B"/>
    <w:rsid w:val="6DCB690C"/>
    <w:rsid w:val="6DD41A5B"/>
    <w:rsid w:val="6DF43C2E"/>
    <w:rsid w:val="6DF51CA3"/>
    <w:rsid w:val="6E8335BD"/>
    <w:rsid w:val="6E8E12EF"/>
    <w:rsid w:val="6E972936"/>
    <w:rsid w:val="6ED446C5"/>
    <w:rsid w:val="6EDA6491"/>
    <w:rsid w:val="6F2A7D94"/>
    <w:rsid w:val="6F8331F1"/>
    <w:rsid w:val="6FAE1A09"/>
    <w:rsid w:val="6FD75BF8"/>
    <w:rsid w:val="707723D0"/>
    <w:rsid w:val="70ED65D6"/>
    <w:rsid w:val="70F5661B"/>
    <w:rsid w:val="71360107"/>
    <w:rsid w:val="713B688E"/>
    <w:rsid w:val="716B25E0"/>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09047C"/>
    <w:rsid w:val="752E6DCD"/>
    <w:rsid w:val="7551380D"/>
    <w:rsid w:val="75600BE5"/>
    <w:rsid w:val="7564475C"/>
    <w:rsid w:val="7583797F"/>
    <w:rsid w:val="758601E4"/>
    <w:rsid w:val="75D20F1D"/>
    <w:rsid w:val="75DA2C18"/>
    <w:rsid w:val="75F54412"/>
    <w:rsid w:val="761D08E0"/>
    <w:rsid w:val="765D347C"/>
    <w:rsid w:val="76826699"/>
    <w:rsid w:val="76C87133"/>
    <w:rsid w:val="76CD08D5"/>
    <w:rsid w:val="76DB4B92"/>
    <w:rsid w:val="77052AA4"/>
    <w:rsid w:val="770631E9"/>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EAFFD96E"/>
    <w:rsid w:val="F5FFD31F"/>
    <w:rsid w:val="FDEF8FA1"/>
    <w:rsid w:val="FF7BC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2">
    <w:name w:val="List Paragraph"/>
    <w:basedOn w:val="1"/>
    <w:qFormat/>
    <w:uiPriority w:val="34"/>
    <w:pPr>
      <w:spacing w:line="360" w:lineRule="auto"/>
      <w:ind w:firstLine="200" w:firstLineChars="200"/>
    </w:pPr>
    <w:rPr>
      <w:rFonts w:eastAsia="楷体_GB2312" w:cs="Lucida Sans"/>
      <w:sz w:val="24"/>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Normal Indent"/>
    <w:basedOn w:val="1"/>
    <w:next w:val="17"/>
    <w:link w:val="193"/>
    <w:qFormat/>
    <w:uiPriority w:val="0"/>
    <w:pPr>
      <w:widowControl/>
      <w:snapToGrid w:val="0"/>
      <w:spacing w:line="480" w:lineRule="exact"/>
      <w:ind w:firstLine="567"/>
    </w:pPr>
    <w:rPr>
      <w:rFonts w:ascii="宋体"/>
      <w:snapToGrid w:val="0"/>
      <w:color w:val="000000"/>
      <w:kern w:val="28"/>
      <w:sz w:val="28"/>
      <w:szCs w:val="20"/>
    </w:rPr>
  </w:style>
  <w:style w:type="paragraph" w:styleId="17">
    <w:name w:val="Body Text Indent"/>
    <w:basedOn w:val="1"/>
    <w:next w:val="16"/>
    <w:link w:val="263"/>
    <w:qFormat/>
    <w:uiPriority w:val="0"/>
    <w:pPr>
      <w:spacing w:line="480" w:lineRule="exact"/>
      <w:ind w:firstLine="480" w:firstLineChars="200"/>
    </w:pPr>
    <w:rPr>
      <w:rFonts w:ascii="宋体" w:hAnsi="宋体"/>
      <w:sz w:val="24"/>
    </w:rPr>
  </w:style>
  <w:style w:type="paragraph" w:styleId="18">
    <w:name w:val="caption"/>
    <w:basedOn w:val="1"/>
    <w:next w:val="1"/>
    <w:link w:val="229"/>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2"/>
    <w:qFormat/>
    <w:uiPriority w:val="0"/>
    <w:pPr>
      <w:shd w:val="clear" w:color="auto" w:fill="000080"/>
    </w:pPr>
  </w:style>
  <w:style w:type="paragraph" w:styleId="21">
    <w:name w:val="annotation text"/>
    <w:basedOn w:val="1"/>
    <w:link w:val="344"/>
    <w:qFormat/>
    <w:uiPriority w:val="99"/>
    <w:pPr>
      <w:jc w:val="left"/>
    </w:pPr>
  </w:style>
  <w:style w:type="paragraph" w:styleId="22">
    <w:name w:val="Salutation"/>
    <w:basedOn w:val="1"/>
    <w:next w:val="1"/>
    <w:link w:val="296"/>
    <w:qFormat/>
    <w:uiPriority w:val="0"/>
    <w:rPr>
      <w:rFonts w:ascii="仿宋_GB2312" w:eastAsia="仿宋_GB2312"/>
      <w:sz w:val="28"/>
      <w:szCs w:val="20"/>
    </w:rPr>
  </w:style>
  <w:style w:type="paragraph" w:styleId="23">
    <w:name w:val="Body Text 3"/>
    <w:basedOn w:val="1"/>
    <w:link w:val="330"/>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26"/>
    <w:link w:val="430"/>
    <w:qFormat/>
    <w:uiPriority w:val="0"/>
    <w:pPr>
      <w:autoSpaceDE w:val="0"/>
      <w:autoSpaceDN w:val="0"/>
      <w:spacing w:line="360" w:lineRule="auto"/>
    </w:pPr>
    <w:rPr>
      <w:rFonts w:ascii="宋体" w:hAnsi="Arial" w:cs="Arial"/>
      <w:snapToGrid w:val="0"/>
      <w:sz w:val="24"/>
      <w:szCs w:val="21"/>
      <w:lang w:val="zh-CN"/>
    </w:rPr>
  </w:style>
  <w:style w:type="paragraph" w:styleId="26">
    <w:name w:val="toc 8"/>
    <w:basedOn w:val="1"/>
    <w:next w:val="1"/>
    <w:qFormat/>
    <w:uiPriority w:val="0"/>
    <w:pPr>
      <w:ind w:left="2940" w:leftChars="1400"/>
    </w:p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9"/>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125"/>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Date"/>
    <w:basedOn w:val="1"/>
    <w:next w:val="1"/>
    <w:link w:val="181"/>
    <w:qFormat/>
    <w:uiPriority w:val="0"/>
    <w:pPr>
      <w:ind w:left="100" w:leftChars="2500"/>
    </w:pPr>
    <w:rPr>
      <w:rFonts w:ascii="宋体"/>
      <w:sz w:val="24"/>
      <w:szCs w:val="21"/>
      <w:lang w:val="zh-CN"/>
    </w:rPr>
  </w:style>
  <w:style w:type="paragraph" w:styleId="37">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8">
    <w:name w:val="endnote text"/>
    <w:basedOn w:val="1"/>
    <w:link w:val="931"/>
    <w:qFormat/>
    <w:uiPriority w:val="0"/>
    <w:rPr>
      <w:lang w:val="zh-CN"/>
    </w:rPr>
  </w:style>
  <w:style w:type="paragraph" w:styleId="39">
    <w:name w:val="Balloon Text"/>
    <w:basedOn w:val="1"/>
    <w:link w:val="188"/>
    <w:qFormat/>
    <w:uiPriority w:val="0"/>
    <w:rPr>
      <w:sz w:val="18"/>
      <w:szCs w:val="18"/>
    </w:rPr>
  </w:style>
  <w:style w:type="paragraph" w:styleId="40">
    <w:name w:val="footer"/>
    <w:basedOn w:val="1"/>
    <w:link w:val="383"/>
    <w:qFormat/>
    <w:uiPriority w:val="99"/>
    <w:pPr>
      <w:tabs>
        <w:tab w:val="center" w:pos="4153"/>
        <w:tab w:val="right" w:pos="8306"/>
      </w:tabs>
      <w:snapToGrid w:val="0"/>
      <w:jc w:val="left"/>
    </w:pPr>
    <w:rPr>
      <w:sz w:val="18"/>
      <w:szCs w:val="18"/>
    </w:rPr>
  </w:style>
  <w:style w:type="paragraph" w:styleId="41">
    <w:name w:val="header"/>
    <w:basedOn w:val="1"/>
    <w:link w:val="392"/>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5"/>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16"/>
    <w:link w:val="308"/>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5"/>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0"/>
    <w:qFormat/>
    <w:uiPriority w:val="0"/>
    <w:pPr>
      <w:spacing w:after="120" w:line="480" w:lineRule="auto"/>
    </w:pPr>
  </w:style>
  <w:style w:type="paragraph" w:styleId="57">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next w:val="1"/>
    <w:link w:val="284"/>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link w:val="96"/>
    <w:qFormat/>
    <w:uiPriority w:val="0"/>
    <w:rPr>
      <w:b/>
      <w:bCs/>
    </w:rPr>
  </w:style>
  <w:style w:type="paragraph" w:styleId="61">
    <w:name w:val="Body Text First Indent"/>
    <w:basedOn w:val="25"/>
    <w:link w:val="321"/>
    <w:qFormat/>
    <w:uiPriority w:val="0"/>
    <w:pPr>
      <w:ind w:firstLine="420"/>
    </w:pPr>
    <w:rPr>
      <w:rFonts w:hAnsi="Calibri" w:cs="Times New Roman"/>
      <w:snapToGrid/>
      <w:szCs w:val="20"/>
    </w:rPr>
  </w:style>
  <w:style w:type="paragraph" w:styleId="62">
    <w:name w:val="Body Text First Indent 2"/>
    <w:basedOn w:val="17"/>
    <w:next w:val="1"/>
    <w:link w:val="121"/>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Default"/>
    <w:link w:val="23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1">
    <w:name w:val="1. 表格｜华文仿宋｜小四｜0间距"/>
    <w:qFormat/>
    <w:uiPriority w:val="0"/>
    <w:pPr>
      <w:spacing w:before="60" w:after="60"/>
      <w:jc w:val="center"/>
    </w:pPr>
    <w:rPr>
      <w:rFonts w:hint="eastAsia" w:ascii="Times New Roman" w:hAnsi="Times New Roman" w:eastAsia="华文仿宋" w:cs="Times New Roman"/>
      <w:sz w:val="28"/>
      <w:lang w:val="en-US" w:eastAsia="zh-CN" w:bidi="ar-SA"/>
    </w:rPr>
  </w:style>
  <w:style w:type="character" w:customStyle="1" w:styleId="82">
    <w:name w:val="表格非标题文字 Char"/>
    <w:link w:val="83"/>
    <w:qFormat/>
    <w:uiPriority w:val="0"/>
    <w:rPr>
      <w:rFonts w:ascii="Futura Bk" w:hAnsi="Futura Bk"/>
      <w:kern w:val="2"/>
      <w:sz w:val="18"/>
      <w:szCs w:val="21"/>
      <w:lang w:val="en-US" w:eastAsia="zh-CN" w:bidi="ar-SA"/>
    </w:rPr>
  </w:style>
  <w:style w:type="paragraph" w:customStyle="1" w:styleId="83">
    <w:name w:val="表格非标题文字"/>
    <w:link w:val="82"/>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qFormat/>
    <w:locked/>
    <w:uiPriority w:val="0"/>
    <w:rPr>
      <w:rFonts w:ascii="宋体" w:hAnsi="宋体"/>
      <w:sz w:val="24"/>
    </w:rPr>
  </w:style>
  <w:style w:type="paragraph" w:customStyle="1" w:styleId="85">
    <w:name w:val="*正文"/>
    <w:basedOn w:val="1"/>
    <w:link w:val="84"/>
    <w:qFormat/>
    <w:uiPriority w:val="0"/>
    <w:pPr>
      <w:snapToGrid w:val="0"/>
      <w:spacing w:line="360" w:lineRule="auto"/>
      <w:ind w:firstLine="482"/>
      <w:jc w:val="left"/>
    </w:pPr>
    <w:rPr>
      <w:rFonts w:ascii="宋体" w:hAnsi="宋体"/>
      <w:kern w:val="0"/>
      <w:sz w:val="24"/>
      <w:szCs w:val="20"/>
    </w:rPr>
  </w:style>
  <w:style w:type="character" w:customStyle="1" w:styleId="86">
    <w:name w:val="Char Char71"/>
    <w:semiHidden/>
    <w:qFormat/>
    <w:uiPriority w:val="0"/>
    <w:rPr>
      <w:rFonts w:eastAsia="宋体"/>
      <w:kern w:val="2"/>
      <w:sz w:val="21"/>
      <w:szCs w:val="24"/>
      <w:lang w:val="en-US" w:eastAsia="zh-CN" w:bidi="ar-SA"/>
    </w:rPr>
  </w:style>
  <w:style w:type="character" w:customStyle="1" w:styleId="87">
    <w:name w:val="Char Char6"/>
    <w:qFormat/>
    <w:uiPriority w:val="0"/>
    <w:rPr>
      <w:rFonts w:eastAsia="宋体"/>
      <w:kern w:val="2"/>
      <w:sz w:val="21"/>
      <w:szCs w:val="24"/>
      <w:lang w:val="en-US" w:eastAsia="zh-CN" w:bidi="ar-SA"/>
    </w:rPr>
  </w:style>
  <w:style w:type="character" w:customStyle="1" w:styleId="88">
    <w:name w:val="正文缩进 Char"/>
    <w:qFormat/>
    <w:uiPriority w:val="0"/>
    <w:rPr>
      <w:rFonts w:eastAsia="宋体"/>
      <w:kern w:val="2"/>
      <w:sz w:val="21"/>
      <w:lang w:val="en-US" w:eastAsia="zh-CN"/>
    </w:rPr>
  </w:style>
  <w:style w:type="character" w:customStyle="1" w:styleId="89">
    <w:name w:val="正文首行缩进 Char1"/>
    <w:qFormat/>
    <w:uiPriority w:val="0"/>
    <w:rPr>
      <w:rFonts w:ascii="宋体" w:hAnsi="Times New Roman" w:eastAsia="宋体" w:cs="Times New Roman"/>
      <w:snapToGrid w:val="0"/>
      <w:kern w:val="2"/>
      <w:sz w:val="24"/>
      <w:szCs w:val="21"/>
      <w:lang w:val="zh-CN"/>
    </w:rPr>
  </w:style>
  <w:style w:type="character" w:customStyle="1" w:styleId="90">
    <w:name w:val="Char Char28"/>
    <w:qFormat/>
    <w:uiPriority w:val="6"/>
    <w:rPr>
      <w:rFonts w:ascii="仿宋_GB2312" w:hAnsi="仿宋_GB2312" w:eastAsia="仿宋_GB2312"/>
      <w:kern w:val="1"/>
      <w:sz w:val="28"/>
    </w:rPr>
  </w:style>
  <w:style w:type="character" w:customStyle="1" w:styleId="9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qFormat/>
    <w:uiPriority w:val="6"/>
    <w:rPr>
      <w:rFonts w:ascii="Times New Roman" w:hAnsi="Times New Roman" w:eastAsia="黑体" w:cs="Times New Roman"/>
      <w:b/>
      <w:kern w:val="0"/>
      <w:sz w:val="24"/>
      <w:szCs w:val="24"/>
    </w:rPr>
  </w:style>
  <w:style w:type="character" w:customStyle="1" w:styleId="93">
    <w:name w:val="U_正文 Char"/>
    <w:link w:val="94"/>
    <w:qFormat/>
    <w:uiPriority w:val="0"/>
    <w:rPr>
      <w:sz w:val="24"/>
      <w:szCs w:val="24"/>
    </w:rPr>
  </w:style>
  <w:style w:type="paragraph" w:customStyle="1" w:styleId="94">
    <w:name w:val="U_正文"/>
    <w:basedOn w:val="1"/>
    <w:link w:val="93"/>
    <w:qFormat/>
    <w:uiPriority w:val="0"/>
    <w:pPr>
      <w:adjustRightInd/>
      <w:spacing w:beforeLines="20" w:afterLines="20" w:line="300" w:lineRule="auto"/>
      <w:ind w:firstLine="200" w:firstLineChars="200"/>
    </w:pPr>
    <w:rPr>
      <w:kern w:val="0"/>
      <w:sz w:val="24"/>
    </w:rPr>
  </w:style>
  <w:style w:type="character" w:customStyle="1" w:styleId="95">
    <w:name w:val="HTML 地址 Char1"/>
    <w:qFormat/>
    <w:uiPriority w:val="0"/>
    <w:rPr>
      <w:rFonts w:ascii="Times New Roman" w:hAnsi="Times New Roman" w:eastAsia="宋体" w:cs="Times New Roman"/>
      <w:i/>
      <w:iCs/>
      <w:szCs w:val="24"/>
    </w:rPr>
  </w:style>
  <w:style w:type="character" w:customStyle="1" w:styleId="96">
    <w:name w:val="批注主题 Char1"/>
    <w:link w:val="60"/>
    <w:qFormat/>
    <w:uiPriority w:val="0"/>
    <w:rPr>
      <w:b/>
      <w:bCs/>
      <w:kern w:val="2"/>
      <w:sz w:val="21"/>
      <w:szCs w:val="24"/>
    </w:rPr>
  </w:style>
  <w:style w:type="character" w:customStyle="1" w:styleId="97">
    <w:name w:val="Char Char51"/>
    <w:qFormat/>
    <w:uiPriority w:val="0"/>
    <w:rPr>
      <w:rFonts w:ascii="宋体" w:hAnsi="Courier New" w:eastAsia="宋体"/>
      <w:kern w:val="2"/>
      <w:sz w:val="21"/>
      <w:lang w:val="en-US" w:eastAsia="zh-CN"/>
    </w:rPr>
  </w:style>
  <w:style w:type="character" w:customStyle="1" w:styleId="98">
    <w:name w:val="表正文 Char"/>
    <w:qFormat/>
    <w:uiPriority w:val="0"/>
    <w:rPr>
      <w:rFonts w:ascii="宋体" w:eastAsia="宋体"/>
      <w:snapToGrid w:val="0"/>
      <w:color w:val="000000"/>
      <w:kern w:val="28"/>
      <w:sz w:val="28"/>
      <w:lang w:val="en-US" w:eastAsia="zh-CN" w:bidi="ar-SA"/>
    </w:rPr>
  </w:style>
  <w:style w:type="character" w:customStyle="1" w:styleId="99">
    <w:name w:val="Char Char34"/>
    <w:qFormat/>
    <w:uiPriority w:val="6"/>
    <w:rPr>
      <w:b/>
      <w:kern w:val="1"/>
      <w:sz w:val="28"/>
      <w:szCs w:val="28"/>
    </w:rPr>
  </w:style>
  <w:style w:type="character" w:customStyle="1" w:styleId="10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qFormat/>
    <w:uiPriority w:val="0"/>
    <w:rPr>
      <w:rFonts w:ascii="宋体" w:hAnsi="宋体" w:eastAsia="宋体"/>
      <w:kern w:val="2"/>
      <w:sz w:val="24"/>
      <w:lang w:bidi="ar-SA"/>
    </w:rPr>
  </w:style>
  <w:style w:type="paragraph" w:customStyle="1" w:styleId="102">
    <w:name w:val="哈哈正文"/>
    <w:basedOn w:val="1"/>
    <w:link w:val="101"/>
    <w:qFormat/>
    <w:uiPriority w:val="0"/>
    <w:pPr>
      <w:adjustRightInd/>
      <w:spacing w:line="360" w:lineRule="auto"/>
      <w:ind w:firstLine="200" w:firstLineChars="200"/>
    </w:pPr>
    <w:rPr>
      <w:rFonts w:ascii="宋体" w:hAnsi="宋体"/>
      <w:sz w:val="24"/>
      <w:szCs w:val="20"/>
    </w:rPr>
  </w:style>
  <w:style w:type="character" w:customStyle="1" w:styleId="103">
    <w:name w:val="未处理的提及1"/>
    <w:qFormat/>
    <w:uiPriority w:val="0"/>
    <w:rPr>
      <w:color w:val="808080"/>
      <w:shd w:val="clear" w:color="auto" w:fill="E6E6E6"/>
    </w:rPr>
  </w:style>
  <w:style w:type="character" w:customStyle="1" w:styleId="104">
    <w:name w:val="txt"/>
    <w:qFormat/>
    <w:uiPriority w:val="0"/>
    <w:rPr>
      <w:rFonts w:ascii="仿宋_GB2312" w:eastAsia="微软雅黑"/>
      <w:b/>
      <w:kern w:val="2"/>
      <w:sz w:val="32"/>
      <w:szCs w:val="32"/>
      <w:lang w:val="en-US" w:eastAsia="zh-CN" w:bidi="ar-SA"/>
    </w:rPr>
  </w:style>
  <w:style w:type="character" w:customStyle="1" w:styleId="105">
    <w:name w:val="二级标题 Char Char"/>
    <w:qFormat/>
    <w:uiPriority w:val="0"/>
    <w:rPr>
      <w:rFonts w:ascii="宋体" w:hAnsi="宋体" w:eastAsia="宋体"/>
      <w:b/>
      <w:snapToGrid w:val="0"/>
      <w:kern w:val="2"/>
      <w:sz w:val="24"/>
      <w:szCs w:val="24"/>
      <w:lang w:val="en-US" w:eastAsia="zh-CN" w:bidi="ar-SA"/>
    </w:rPr>
  </w:style>
  <w:style w:type="character" w:customStyle="1" w:styleId="106">
    <w:name w:val="Char Char32"/>
    <w:qFormat/>
    <w:uiPriority w:val="6"/>
    <w:rPr>
      <w:b/>
      <w:kern w:val="1"/>
      <w:sz w:val="24"/>
      <w:szCs w:val="24"/>
    </w:rPr>
  </w:style>
  <w:style w:type="character" w:customStyle="1" w:styleId="107">
    <w:name w:val="PI Char1"/>
    <w:qFormat/>
    <w:uiPriority w:val="0"/>
    <w:rPr>
      <w:rFonts w:ascii="宋体" w:hAnsi="宋体"/>
      <w:kern w:val="2"/>
      <w:sz w:val="24"/>
      <w:szCs w:val="24"/>
    </w:rPr>
  </w:style>
  <w:style w:type="character" w:customStyle="1" w:styleId="108">
    <w:name w:val="tw4winTerm"/>
    <w:qFormat/>
    <w:uiPriority w:val="0"/>
    <w:rPr>
      <w:color w:val="0000FF"/>
    </w:rPr>
  </w:style>
  <w:style w:type="character" w:customStyle="1" w:styleId="109">
    <w:name w:val="Footer Char"/>
    <w:qFormat/>
    <w:locked/>
    <w:uiPriority w:val="0"/>
    <w:rPr>
      <w:rFonts w:eastAsia="宋体"/>
      <w:kern w:val="2"/>
      <w:sz w:val="18"/>
      <w:lang w:val="en-US" w:eastAsia="zh-CN" w:bidi="ar-SA"/>
    </w:rPr>
  </w:style>
  <w:style w:type="character" w:customStyle="1" w:styleId="110">
    <w:name w:val="普通文字 Char Char1"/>
    <w:qFormat/>
    <w:uiPriority w:val="0"/>
    <w:rPr>
      <w:rFonts w:ascii="宋体" w:hAnsi="Courier New"/>
      <w:kern w:val="2"/>
      <w:sz w:val="21"/>
    </w:rPr>
  </w:style>
  <w:style w:type="character" w:customStyle="1" w:styleId="111">
    <w:name w:val="Char Char101"/>
    <w:qFormat/>
    <w:uiPriority w:val="6"/>
    <w:rPr>
      <w:rFonts w:ascii="宋体" w:hAnsi="宋体"/>
      <w:kern w:val="2"/>
      <w:sz w:val="21"/>
      <w:szCs w:val="24"/>
      <w:lang w:val="en-US" w:eastAsia="zh-CN"/>
    </w:rPr>
  </w:style>
  <w:style w:type="character" w:customStyle="1" w:styleId="112">
    <w:name w:val="标题 4 Char"/>
    <w:qFormat/>
    <w:uiPriority w:val="0"/>
    <w:rPr>
      <w:rFonts w:ascii="Arial" w:hAnsi="Arial" w:eastAsia="黑体"/>
      <w:b/>
      <w:kern w:val="2"/>
      <w:sz w:val="28"/>
    </w:rPr>
  </w:style>
  <w:style w:type="character" w:customStyle="1" w:styleId="113">
    <w:name w:val="链接"/>
    <w:qFormat/>
    <w:uiPriority w:val="0"/>
    <w:rPr>
      <w:color w:val="0000FF"/>
      <w:sz w:val="21"/>
      <w:szCs w:val="21"/>
      <w:u w:val="single"/>
    </w:rPr>
  </w:style>
  <w:style w:type="character" w:customStyle="1" w:styleId="114">
    <w:name w:val="h4 Char"/>
    <w:qFormat/>
    <w:uiPriority w:val="0"/>
    <w:rPr>
      <w:rFonts w:ascii="Arial" w:hAnsi="Arial" w:eastAsia="黑体"/>
      <w:b/>
      <w:bCs/>
      <w:kern w:val="2"/>
      <w:sz w:val="28"/>
      <w:szCs w:val="28"/>
      <w:lang w:val="zh-CN" w:eastAsia="zh-CN" w:bidi="ar-SA"/>
    </w:rPr>
  </w:style>
  <w:style w:type="character" w:customStyle="1" w:styleId="115">
    <w:name w:val="5正文 Char"/>
    <w:link w:val="116"/>
    <w:qFormat/>
    <w:uiPriority w:val="0"/>
    <w:rPr>
      <w:rFonts w:ascii="仿宋_GB2312" w:hAnsi="微软雅黑" w:eastAsia="仿宋_GB2312"/>
      <w:sz w:val="28"/>
      <w:szCs w:val="21"/>
    </w:rPr>
  </w:style>
  <w:style w:type="paragraph" w:customStyle="1" w:styleId="116">
    <w:name w:val="5正文"/>
    <w:basedOn w:val="1"/>
    <w:link w:val="115"/>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qFormat/>
    <w:uiPriority w:val="9"/>
    <w:rPr>
      <w:b/>
      <w:bCs/>
      <w:kern w:val="2"/>
      <w:sz w:val="32"/>
      <w:szCs w:val="32"/>
    </w:rPr>
  </w:style>
  <w:style w:type="character" w:customStyle="1" w:styleId="118">
    <w:name w:val="样式6 Char"/>
    <w:qFormat/>
    <w:uiPriority w:val="0"/>
    <w:rPr>
      <w:rFonts w:ascii="仿宋_GB2312" w:hAnsi="宋体" w:eastAsia="仿宋_GB2312"/>
      <w:b/>
      <w:bCs/>
      <w:kern w:val="2"/>
      <w:sz w:val="24"/>
      <w:szCs w:val="24"/>
      <w:lang w:val="en-US" w:eastAsia="zh-CN" w:bidi="ar-SA"/>
    </w:rPr>
  </w:style>
  <w:style w:type="character" w:customStyle="1" w:styleId="119">
    <w:name w:val="Char Char14"/>
    <w:qFormat/>
    <w:uiPriority w:val="6"/>
    <w:rPr>
      <w:rFonts w:ascii="黑体" w:hAnsi="黑体" w:eastAsia="黑体"/>
    </w:rPr>
  </w:style>
  <w:style w:type="character" w:customStyle="1" w:styleId="120">
    <w:name w:val="Heading 2 Hidden Char"/>
    <w:qFormat/>
    <w:uiPriority w:val="0"/>
    <w:rPr>
      <w:rFonts w:ascii="仿宋_GB2312" w:eastAsia="仿宋_GB2312"/>
      <w:b/>
      <w:bCs/>
      <w:kern w:val="2"/>
      <w:sz w:val="24"/>
      <w:szCs w:val="24"/>
      <w:lang w:val="zh-CN" w:eastAsia="zh-CN" w:bidi="ar-SA"/>
    </w:rPr>
  </w:style>
  <w:style w:type="character" w:customStyle="1" w:styleId="121">
    <w:name w:val="正文首行缩进 2 Char"/>
    <w:link w:val="62"/>
    <w:qFormat/>
    <w:uiPriority w:val="0"/>
    <w:rPr>
      <w:rFonts w:ascii="宋体" w:hAnsi="宋体"/>
      <w:kern w:val="2"/>
      <w:sz w:val="21"/>
      <w:szCs w:val="24"/>
    </w:rPr>
  </w:style>
  <w:style w:type="character" w:customStyle="1" w:styleId="122">
    <w:name w:val="font11"/>
    <w:qFormat/>
    <w:uiPriority w:val="0"/>
    <w:rPr>
      <w:rFonts w:hint="default" w:ascii="Times New Roman" w:hAnsi="Times New Roman" w:cs="Times New Roman"/>
      <w:color w:val="000000"/>
      <w:sz w:val="22"/>
      <w:szCs w:val="22"/>
      <w:u w:val="none"/>
    </w:rPr>
  </w:style>
  <w:style w:type="character" w:customStyle="1" w:styleId="123">
    <w:name w:val="表正文 Char1"/>
    <w:qFormat/>
    <w:uiPriority w:val="0"/>
    <w:rPr>
      <w:rFonts w:ascii="宋体" w:eastAsia="宋体"/>
      <w:snapToGrid w:val="0"/>
      <w:color w:val="000000"/>
      <w:kern w:val="28"/>
      <w:sz w:val="28"/>
    </w:rPr>
  </w:style>
  <w:style w:type="character" w:customStyle="1" w:styleId="124">
    <w:name w:val="blue1"/>
    <w:basedOn w:val="70"/>
    <w:qFormat/>
    <w:uiPriority w:val="0"/>
    <w:rPr>
      <w:rFonts w:ascii="Arial" w:hAnsi="Arial" w:eastAsia="黑体" w:cs="Arial"/>
      <w:snapToGrid w:val="0"/>
      <w:kern w:val="0"/>
      <w:szCs w:val="21"/>
    </w:rPr>
  </w:style>
  <w:style w:type="character" w:customStyle="1" w:styleId="125">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6">
    <w:name w:val="标书1 Char"/>
    <w:qFormat/>
    <w:uiPriority w:val="0"/>
    <w:rPr>
      <w:rFonts w:eastAsia="宋体"/>
      <w:b/>
      <w:bCs/>
      <w:kern w:val="44"/>
      <w:sz w:val="44"/>
      <w:szCs w:val="44"/>
      <w:lang w:val="en-US" w:eastAsia="zh-CN" w:bidi="ar-SA"/>
    </w:rPr>
  </w:style>
  <w:style w:type="character" w:customStyle="1" w:styleId="127">
    <w:name w:val="样式5 Char"/>
    <w:qFormat/>
    <w:uiPriority w:val="0"/>
    <w:rPr>
      <w:rFonts w:ascii="仿宋_GB2312" w:hAnsi="仿宋" w:eastAsia="仿宋_GB2312"/>
      <w:kern w:val="2"/>
      <w:sz w:val="24"/>
      <w:szCs w:val="24"/>
    </w:rPr>
  </w:style>
  <w:style w:type="character" w:customStyle="1" w:styleId="128">
    <w:name w:val="样式4 Char"/>
    <w:qFormat/>
    <w:uiPriority w:val="0"/>
    <w:rPr>
      <w:rFonts w:ascii="仿宋_GB2312" w:hAnsi="仿宋" w:eastAsia="仿宋_GB2312"/>
      <w:b/>
      <w:kern w:val="2"/>
      <w:sz w:val="32"/>
      <w:szCs w:val="32"/>
      <w:lang w:bidi="ar-SA"/>
    </w:rPr>
  </w:style>
  <w:style w:type="character" w:customStyle="1" w:styleId="129">
    <w:name w:val="插图说明 Char"/>
    <w:qFormat/>
    <w:uiPriority w:val="0"/>
    <w:rPr>
      <w:rFonts w:eastAsia="黑体"/>
      <w:sz w:val="24"/>
      <w:lang w:val="en-US" w:eastAsia="zh-CN"/>
    </w:rPr>
  </w:style>
  <w:style w:type="character" w:customStyle="1" w:styleId="130">
    <w:name w:val="正文2 Char Char"/>
    <w:link w:val="131"/>
    <w:qFormat/>
    <w:uiPriority w:val="0"/>
    <w:rPr>
      <w:rFonts w:eastAsia="宋体"/>
      <w:kern w:val="2"/>
      <w:sz w:val="24"/>
      <w:lang w:val="en-US" w:eastAsia="zh-CN" w:bidi="ar-SA"/>
    </w:rPr>
  </w:style>
  <w:style w:type="paragraph" w:customStyle="1" w:styleId="131">
    <w:name w:val="正文2"/>
    <w:basedOn w:val="1"/>
    <w:link w:val="130"/>
    <w:qFormat/>
    <w:uiPriority w:val="0"/>
    <w:pPr>
      <w:spacing w:before="156" w:line="360" w:lineRule="auto"/>
      <w:ind w:firstLine="510" w:firstLineChars="200"/>
    </w:pPr>
    <w:rPr>
      <w:sz w:val="24"/>
      <w:szCs w:val="20"/>
    </w:rPr>
  </w:style>
  <w:style w:type="character" w:customStyle="1" w:styleId="132">
    <w:name w:val="Char Char24"/>
    <w:qFormat/>
    <w:uiPriority w:val="6"/>
    <w:rPr>
      <w:kern w:val="1"/>
      <w:sz w:val="21"/>
    </w:rPr>
  </w:style>
  <w:style w:type="character" w:customStyle="1" w:styleId="133">
    <w:name w:val="副标题 Char"/>
    <w:link w:val="47"/>
    <w:qFormat/>
    <w:uiPriority w:val="0"/>
    <w:rPr>
      <w:rFonts w:ascii="Arial" w:hAnsi="Arial" w:eastAsia="隶书"/>
      <w:b/>
      <w:bCs/>
      <w:kern w:val="28"/>
      <w:sz w:val="44"/>
      <w:szCs w:val="32"/>
      <w:lang w:val="en-US" w:eastAsia="zh-CN" w:bidi="ar-SA"/>
    </w:rPr>
  </w:style>
  <w:style w:type="character" w:customStyle="1" w:styleId="134">
    <w:name w:val="普通文字 Char1 Char"/>
    <w:qFormat/>
    <w:uiPriority w:val="0"/>
    <w:rPr>
      <w:rFonts w:ascii="宋体" w:hAnsi="Courier New" w:eastAsia="宋体"/>
      <w:kern w:val="2"/>
      <w:sz w:val="21"/>
      <w:szCs w:val="24"/>
      <w:lang w:val="en-US" w:eastAsia="zh-CN" w:bidi="ar-SA"/>
    </w:rPr>
  </w:style>
  <w:style w:type="character" w:customStyle="1" w:styleId="135">
    <w:name w:val="h3 Char1"/>
    <w:qFormat/>
    <w:uiPriority w:val="0"/>
    <w:rPr>
      <w:rFonts w:eastAsia="宋体"/>
      <w:b/>
      <w:bCs/>
      <w:kern w:val="2"/>
      <w:sz w:val="32"/>
      <w:szCs w:val="32"/>
      <w:lang w:bidi="ar-SA"/>
    </w:rPr>
  </w:style>
  <w:style w:type="character" w:customStyle="1" w:styleId="136">
    <w:name w:val="标题 Char1"/>
    <w:qFormat/>
    <w:uiPriority w:val="0"/>
    <w:rPr>
      <w:rFonts w:ascii="Cambria" w:hAnsi="Cambria" w:eastAsia="宋体" w:cs="Times New Roman"/>
      <w:b/>
      <w:bCs/>
      <w:sz w:val="32"/>
      <w:szCs w:val="32"/>
      <w:lang w:bidi="ar-SA"/>
    </w:rPr>
  </w:style>
  <w:style w:type="character" w:customStyle="1" w:styleId="137">
    <w:name w:val="gf正文1 Char"/>
    <w:qFormat/>
    <w:uiPriority w:val="0"/>
    <w:rPr>
      <w:rFonts w:ascii="宋体" w:hAnsi="宋体" w:eastAsia="宋体" w:cs="宋体"/>
      <w:kern w:val="2"/>
      <w:sz w:val="24"/>
      <w:szCs w:val="24"/>
      <w:lang w:val="en-US" w:eastAsia="zh-CN" w:bidi="ar-SA"/>
    </w:rPr>
  </w:style>
  <w:style w:type="character" w:customStyle="1" w:styleId="138">
    <w:name w:val="正文文本缩进 Char1"/>
    <w:qFormat/>
    <w:uiPriority w:val="0"/>
    <w:rPr>
      <w:rFonts w:ascii="Calibri" w:hAnsi="Calibri"/>
      <w:sz w:val="28"/>
    </w:rPr>
  </w:style>
  <w:style w:type="character" w:customStyle="1" w:styleId="139">
    <w:name w:val="No Spacing Char"/>
    <w:link w:val="140"/>
    <w:qFormat/>
    <w:uiPriority w:val="1"/>
    <w:rPr>
      <w:sz w:val="22"/>
      <w:szCs w:val="22"/>
      <w:lang w:val="en-US" w:eastAsia="zh-CN" w:bidi="ar-SA"/>
    </w:rPr>
  </w:style>
  <w:style w:type="paragraph" w:customStyle="1" w:styleId="140">
    <w:name w:val="无间隔1"/>
    <w:link w:val="139"/>
    <w:qFormat/>
    <w:uiPriority w:val="1"/>
    <w:rPr>
      <w:rFonts w:ascii="Times New Roman" w:hAnsi="Times New Roman" w:eastAsia="宋体" w:cs="Times New Roman"/>
      <w:sz w:val="22"/>
      <w:szCs w:val="22"/>
      <w:lang w:val="en-US" w:eastAsia="zh-CN" w:bidi="ar-SA"/>
    </w:rPr>
  </w:style>
  <w:style w:type="character" w:customStyle="1" w:styleId="141">
    <w:name w:val="样式7 Char"/>
    <w:qFormat/>
    <w:uiPriority w:val="0"/>
    <w:rPr>
      <w:rFonts w:ascii="仿宋_GB2312" w:hAnsi="仿宋" w:eastAsia="仿宋_GB2312"/>
      <w:b/>
      <w:kern w:val="2"/>
      <w:sz w:val="24"/>
      <w:szCs w:val="24"/>
    </w:rPr>
  </w:style>
  <w:style w:type="character" w:customStyle="1" w:styleId="142">
    <w:name w:val="font12gray1"/>
    <w:qFormat/>
    <w:uiPriority w:val="0"/>
    <w:rPr>
      <w:rFonts w:ascii="仿宋_GB2312" w:eastAsia="微软雅黑"/>
      <w:b/>
      <w:spacing w:val="300"/>
      <w:kern w:val="2"/>
      <w:sz w:val="18"/>
      <w:szCs w:val="18"/>
      <w:lang w:val="en-US" w:eastAsia="zh-CN" w:bidi="ar-SA"/>
    </w:rPr>
  </w:style>
  <w:style w:type="character" w:customStyle="1" w:styleId="143">
    <w:name w:val="Char Char7"/>
    <w:semiHidden/>
    <w:qFormat/>
    <w:uiPriority w:val="0"/>
    <w:rPr>
      <w:rFonts w:eastAsia="宋体"/>
      <w:kern w:val="2"/>
      <w:sz w:val="21"/>
      <w:szCs w:val="24"/>
      <w:lang w:val="en-US" w:eastAsia="zh-CN" w:bidi="ar-SA"/>
    </w:rPr>
  </w:style>
  <w:style w:type="character" w:customStyle="1" w:styleId="144">
    <w:name w:val="表名 Char"/>
    <w:qFormat/>
    <w:uiPriority w:val="0"/>
    <w:rPr>
      <w:rFonts w:eastAsia="宋体"/>
      <w:b/>
      <w:bCs/>
      <w:kern w:val="2"/>
      <w:sz w:val="24"/>
      <w:szCs w:val="24"/>
      <w:lang w:val="en-US" w:eastAsia="zh-CN" w:bidi="ar-SA"/>
    </w:rPr>
  </w:style>
  <w:style w:type="character" w:customStyle="1" w:styleId="145">
    <w:name w:val="Document Map Char"/>
    <w:qFormat/>
    <w:locked/>
    <w:uiPriority w:val="0"/>
    <w:rPr>
      <w:rFonts w:eastAsia="宋体"/>
      <w:kern w:val="2"/>
      <w:sz w:val="21"/>
      <w:szCs w:val="24"/>
      <w:lang w:val="en-US" w:eastAsia="zh-CN" w:bidi="ar-SA"/>
    </w:rPr>
  </w:style>
  <w:style w:type="character" w:customStyle="1" w:styleId="146">
    <w:name w:val="font41"/>
    <w:qFormat/>
    <w:uiPriority w:val="0"/>
    <w:rPr>
      <w:rFonts w:hint="eastAsia" w:ascii="仿宋_GB2312" w:eastAsia="仿宋_GB2312" w:cs="仿宋_GB2312"/>
      <w:color w:val="000000"/>
      <w:sz w:val="22"/>
      <w:szCs w:val="22"/>
      <w:u w:val="none"/>
    </w:rPr>
  </w:style>
  <w:style w:type="character" w:customStyle="1" w:styleId="147">
    <w:name w:val="标题 6 Char"/>
    <w:link w:val="8"/>
    <w:qFormat/>
    <w:uiPriority w:val="0"/>
    <w:rPr>
      <w:rFonts w:ascii="Arial" w:hAnsi="Arial" w:eastAsia="黑体"/>
      <w:b/>
      <w:bCs/>
      <w:kern w:val="2"/>
      <w:sz w:val="24"/>
      <w:szCs w:val="24"/>
    </w:rPr>
  </w:style>
  <w:style w:type="character" w:customStyle="1" w:styleId="148">
    <w:name w:val="纯文本 Char_0"/>
    <w:link w:val="149"/>
    <w:qFormat/>
    <w:uiPriority w:val="0"/>
    <w:rPr>
      <w:rFonts w:ascii="宋体" w:hAnsi="Courier New"/>
      <w:kern w:val="2"/>
      <w:sz w:val="21"/>
      <w:szCs w:val="21"/>
      <w:lang w:val="en-US" w:eastAsia="zh-CN"/>
    </w:rPr>
  </w:style>
  <w:style w:type="paragraph" w:customStyle="1" w:styleId="149">
    <w:name w:val="纯文本_0_0"/>
    <w:basedOn w:val="150"/>
    <w:link w:val="148"/>
    <w:qFormat/>
    <w:uiPriority w:val="0"/>
    <w:rPr>
      <w:rFonts w:ascii="宋体" w:hAnsi="Courier New"/>
      <w:szCs w:val="21"/>
    </w:rPr>
  </w:style>
  <w:style w:type="paragraph" w:customStyle="1" w:styleId="15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qFormat/>
    <w:locked/>
    <w:uiPriority w:val="0"/>
    <w:rPr>
      <w:rFonts w:eastAsia="宋体"/>
      <w:kern w:val="2"/>
      <w:sz w:val="18"/>
      <w:szCs w:val="18"/>
      <w:lang w:val="en-US" w:eastAsia="zh-CN" w:bidi="ar-SA"/>
    </w:rPr>
  </w:style>
  <w:style w:type="character" w:customStyle="1" w:styleId="152">
    <w:name w:val="正文 项目2 Char"/>
    <w:basedOn w:val="153"/>
    <w:qFormat/>
    <w:uiPriority w:val="0"/>
    <w:rPr>
      <w:rFonts w:ascii="仿宋_GB2312" w:hAnsi="仿宋_GB2312" w:eastAsia="仿宋_GB2312"/>
      <w:kern w:val="2"/>
      <w:sz w:val="24"/>
      <w:lang w:bidi="ar-SA"/>
    </w:rPr>
  </w:style>
  <w:style w:type="character" w:customStyle="1" w:styleId="153">
    <w:name w:val="正文 项目 Char"/>
    <w:qFormat/>
    <w:uiPriority w:val="0"/>
    <w:rPr>
      <w:rFonts w:ascii="仿宋_GB2312" w:hAnsi="仿宋_GB2312" w:eastAsia="仿宋_GB2312"/>
      <w:kern w:val="2"/>
      <w:sz w:val="24"/>
      <w:lang w:bidi="ar-SA"/>
    </w:rPr>
  </w:style>
  <w:style w:type="character" w:customStyle="1" w:styleId="154">
    <w:name w:val="h Char Char1"/>
    <w:qFormat/>
    <w:uiPriority w:val="0"/>
    <w:rPr>
      <w:rFonts w:eastAsia="宋体"/>
      <w:kern w:val="2"/>
      <w:sz w:val="18"/>
      <w:szCs w:val="18"/>
      <w:lang w:val="en-US" w:eastAsia="zh-CN" w:bidi="ar-SA"/>
    </w:rPr>
  </w:style>
  <w:style w:type="character" w:customStyle="1" w:styleId="155">
    <w:name w:val="Char Char27"/>
    <w:qFormat/>
    <w:uiPriority w:val="6"/>
    <w:rPr>
      <w:rFonts w:ascii="宋体" w:hAnsi="宋体" w:eastAsia="宋体"/>
      <w:color w:val="000000"/>
      <w:kern w:val="1"/>
      <w:sz w:val="28"/>
      <w:lang w:val="en-US" w:eastAsia="zh-CN" w:bidi="ar-SA"/>
    </w:rPr>
  </w:style>
  <w:style w:type="character" w:customStyle="1" w:styleId="156">
    <w:name w:val="px14"/>
    <w:qFormat/>
    <w:uiPriority w:val="0"/>
    <w:rPr>
      <w:rFonts w:ascii="仿宋_GB2312" w:eastAsia="微软雅黑" w:cs="Times New Roman"/>
      <w:b/>
      <w:kern w:val="2"/>
      <w:sz w:val="32"/>
      <w:szCs w:val="32"/>
      <w:lang w:val="en-US" w:eastAsia="zh-CN" w:bidi="ar-SA"/>
    </w:rPr>
  </w:style>
  <w:style w:type="character" w:customStyle="1" w:styleId="157">
    <w:name w:val="HTML 预设格式 Char1"/>
    <w:qFormat/>
    <w:uiPriority w:val="0"/>
    <w:rPr>
      <w:rFonts w:ascii="Courier New" w:hAnsi="Courier New" w:eastAsia="宋体" w:cs="Courier New"/>
      <w:sz w:val="20"/>
      <w:szCs w:val="20"/>
    </w:rPr>
  </w:style>
  <w:style w:type="character" w:customStyle="1" w:styleId="158">
    <w:name w:val="普通文字 Char1"/>
    <w:qFormat/>
    <w:uiPriority w:val="0"/>
    <w:rPr>
      <w:rFonts w:ascii="宋体" w:hAnsi="Courier New" w:eastAsia="宋体"/>
      <w:kern w:val="2"/>
      <w:sz w:val="21"/>
      <w:lang w:val="en-US" w:eastAsia="zh-CN"/>
    </w:rPr>
  </w:style>
  <w:style w:type="character" w:customStyle="1" w:styleId="159">
    <w:name w:val="hei16b1"/>
    <w:qFormat/>
    <w:uiPriority w:val="0"/>
    <w:rPr>
      <w:rFonts w:hint="default" w:ascii="Arial" w:hAnsi="Arial" w:cs="Arial"/>
      <w:b/>
      <w:bCs/>
      <w:color w:val="000000"/>
      <w:sz w:val="24"/>
      <w:szCs w:val="24"/>
    </w:rPr>
  </w:style>
  <w:style w:type="character" w:customStyle="1" w:styleId="160">
    <w:name w:val="正文（绿盟科技） Char"/>
    <w:link w:val="161"/>
    <w:qFormat/>
    <w:uiPriority w:val="0"/>
    <w:rPr>
      <w:rFonts w:ascii="Arial" w:hAnsi="Arial"/>
      <w:sz w:val="21"/>
      <w:szCs w:val="21"/>
    </w:rPr>
  </w:style>
  <w:style w:type="paragraph" w:customStyle="1" w:styleId="161">
    <w:name w:val="正文（绿盟科技）"/>
    <w:link w:val="160"/>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qFormat/>
    <w:uiPriority w:val="6"/>
    <w:rPr>
      <w:rFonts w:ascii="宋体" w:hAnsi="宋体"/>
      <w:i/>
      <w:sz w:val="24"/>
      <w:szCs w:val="24"/>
    </w:rPr>
  </w:style>
  <w:style w:type="character" w:customStyle="1" w:styleId="163">
    <w:name w:val="页脚 Char"/>
    <w:qFormat/>
    <w:uiPriority w:val="0"/>
    <w:rPr>
      <w:rFonts w:eastAsia="仿宋_GB2312"/>
      <w:kern w:val="2"/>
      <w:sz w:val="18"/>
      <w:lang w:val="en-US" w:eastAsia="zh-CN"/>
    </w:rPr>
  </w:style>
  <w:style w:type="character" w:customStyle="1" w:styleId="164">
    <w:name w:val="批注主题 Char"/>
    <w:qFormat/>
    <w:uiPriority w:val="0"/>
    <w:rPr>
      <w:rFonts w:eastAsia="宋体"/>
      <w:b/>
      <w:bCs/>
      <w:kern w:val="2"/>
      <w:sz w:val="21"/>
      <w:szCs w:val="24"/>
      <w:lang w:val="en-US" w:eastAsia="zh-CN" w:bidi="ar-SA"/>
    </w:rPr>
  </w:style>
  <w:style w:type="character" w:customStyle="1" w:styleId="165">
    <w:name w:val="Comment Text Char"/>
    <w:qFormat/>
    <w:locked/>
    <w:uiPriority w:val="0"/>
    <w:rPr>
      <w:rFonts w:ascii="宋体" w:hAnsi="宋体" w:eastAsia="宋体"/>
      <w:kern w:val="2"/>
      <w:sz w:val="24"/>
      <w:lang w:val="en-US" w:eastAsia="zh-CN" w:bidi="ar-SA"/>
    </w:rPr>
  </w:style>
  <w:style w:type="character" w:customStyle="1" w:styleId="166">
    <w:name w:val="标题 2 字符"/>
    <w:qFormat/>
    <w:uiPriority w:val="1"/>
    <w:rPr>
      <w:rFonts w:ascii="仿宋_GB2312" w:hAnsi="Times New Roman" w:eastAsia="仿宋_GB2312" w:cs="Times New Roman"/>
      <w:b/>
      <w:kern w:val="2"/>
      <w:sz w:val="24"/>
      <w:lang w:val="zh-CN"/>
    </w:rPr>
  </w:style>
  <w:style w:type="character" w:customStyle="1" w:styleId="167">
    <w:name w:val="Char Char72"/>
    <w:qFormat/>
    <w:uiPriority w:val="0"/>
    <w:rPr>
      <w:rFonts w:eastAsia="宋体"/>
      <w:kern w:val="2"/>
      <w:sz w:val="21"/>
      <w:szCs w:val="24"/>
      <w:lang w:val="en-US" w:eastAsia="zh-CN" w:bidi="ar-SA"/>
    </w:rPr>
  </w:style>
  <w:style w:type="character" w:customStyle="1" w:styleId="168">
    <w:name w:val="正文文本缩进 Char2"/>
    <w:qFormat/>
    <w:uiPriority w:val="0"/>
    <w:rPr>
      <w:rFonts w:ascii="Times New Roman" w:hAnsi="Times New Roman" w:eastAsia="宋体" w:cs="Times New Roman"/>
      <w:snapToGrid w:val="0"/>
      <w:kern w:val="0"/>
      <w:szCs w:val="24"/>
    </w:rPr>
  </w:style>
  <w:style w:type="character" w:customStyle="1" w:styleId="169">
    <w:name w:val="样式2 Char"/>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qFormat/>
    <w:uiPriority w:val="0"/>
    <w:rPr>
      <w:sz w:val="32"/>
    </w:rPr>
  </w:style>
  <w:style w:type="paragraph" w:customStyle="1" w:styleId="171">
    <w:name w:val="表格名称"/>
    <w:basedOn w:val="4"/>
    <w:link w:val="170"/>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qFormat/>
    <w:uiPriority w:val="0"/>
    <w:rPr>
      <w:rFonts w:eastAsia="宋体"/>
      <w:b/>
      <w:sz w:val="24"/>
      <w:lang w:val="en-GB" w:eastAsia="zh-CN" w:bidi="ar-SA"/>
    </w:rPr>
  </w:style>
  <w:style w:type="character" w:customStyle="1" w:styleId="173">
    <w:name w:val="c7 style3"/>
    <w:qFormat/>
    <w:uiPriority w:val="0"/>
  </w:style>
  <w:style w:type="character" w:customStyle="1" w:styleId="174">
    <w:name w:val="正文文本 3 Char1"/>
    <w:semiHidden/>
    <w:qFormat/>
    <w:uiPriority w:val="99"/>
    <w:rPr>
      <w:rFonts w:ascii="Times New Roman" w:hAnsi="Times New Roman" w:eastAsia="宋体" w:cs="Times New Roman"/>
      <w:sz w:val="16"/>
      <w:szCs w:val="16"/>
    </w:rPr>
  </w:style>
  <w:style w:type="character" w:customStyle="1" w:styleId="175">
    <w:name w:val="tw4winInternal"/>
    <w:qFormat/>
    <w:uiPriority w:val="0"/>
    <w:rPr>
      <w:rFonts w:ascii="Courier New" w:hAnsi="Courier New" w:cs="Courier New"/>
      <w:color w:val="FF0000"/>
      <w:lang w:val="en-US" w:eastAsia="zh-CN"/>
    </w:rPr>
  </w:style>
  <w:style w:type="character" w:customStyle="1" w:styleId="176">
    <w:name w:val="Char Char10"/>
    <w:semiHidden/>
    <w:qFormat/>
    <w:uiPriority w:val="0"/>
    <w:rPr>
      <w:rFonts w:ascii="宋体" w:hAnsi="宋体"/>
      <w:kern w:val="2"/>
      <w:sz w:val="21"/>
      <w:szCs w:val="24"/>
      <w:lang w:val="en-US" w:eastAsia="zh-CN"/>
    </w:rPr>
  </w:style>
  <w:style w:type="character" w:customStyle="1" w:styleId="177">
    <w:name w:val="shadow11"/>
    <w:qFormat/>
    <w:uiPriority w:val="0"/>
    <w:rPr>
      <w:color w:val="000000"/>
      <w:sz w:val="21"/>
    </w:rPr>
  </w:style>
  <w:style w:type="character" w:customStyle="1" w:styleId="178">
    <w:name w:val="正文非缩进 Char3"/>
    <w:qFormat/>
    <w:uiPriority w:val="0"/>
    <w:rPr>
      <w:rFonts w:ascii="宋体" w:eastAsia="宋体"/>
      <w:snapToGrid w:val="0"/>
      <w:color w:val="000000"/>
      <w:kern w:val="28"/>
      <w:sz w:val="28"/>
      <w:lang w:val="en-US" w:eastAsia="zh-CN" w:bidi="ar-SA"/>
    </w:rPr>
  </w:style>
  <w:style w:type="character" w:customStyle="1" w:styleId="179">
    <w:name w:val="Char Char"/>
    <w:qFormat/>
    <w:uiPriority w:val="0"/>
    <w:rPr>
      <w:rFonts w:ascii="宋体" w:hAnsi="Courier New" w:eastAsia="宋体"/>
      <w:kern w:val="2"/>
      <w:sz w:val="21"/>
      <w:lang w:val="en-US" w:eastAsia="zh-CN" w:bidi="ar-SA"/>
    </w:rPr>
  </w:style>
  <w:style w:type="character" w:customStyle="1" w:styleId="180">
    <w:name w:val="签名 Char1"/>
    <w:qFormat/>
    <w:uiPriority w:val="0"/>
    <w:rPr>
      <w:rFonts w:ascii="Times New Roman" w:hAnsi="Times New Roman" w:eastAsia="宋体" w:cs="Times New Roman"/>
      <w:szCs w:val="24"/>
    </w:rPr>
  </w:style>
  <w:style w:type="character" w:customStyle="1" w:styleId="181">
    <w:name w:val="日期 Char"/>
    <w:link w:val="36"/>
    <w:qFormat/>
    <w:uiPriority w:val="0"/>
    <w:rPr>
      <w:rFonts w:ascii="宋体"/>
      <w:kern w:val="2"/>
      <w:sz w:val="24"/>
      <w:szCs w:val="21"/>
      <w:lang w:val="zh-CN"/>
    </w:rPr>
  </w:style>
  <w:style w:type="character" w:customStyle="1" w:styleId="182">
    <w:name w:val="标题 9 Char"/>
    <w:link w:val="11"/>
    <w:qFormat/>
    <w:uiPriority w:val="0"/>
    <w:rPr>
      <w:rFonts w:ascii="Arial" w:hAnsi="Arial" w:eastAsia="黑体"/>
      <w:kern w:val="2"/>
      <w:sz w:val="21"/>
      <w:szCs w:val="21"/>
    </w:rPr>
  </w:style>
  <w:style w:type="character" w:customStyle="1" w:styleId="183">
    <w:name w:val="Char Char18"/>
    <w:qFormat/>
    <w:uiPriority w:val="6"/>
    <w:rPr>
      <w:rFonts w:ascii="宋体" w:hAnsi="宋体"/>
      <w:sz w:val="28"/>
    </w:rPr>
  </w:style>
  <w:style w:type="character" w:customStyle="1" w:styleId="184">
    <w:name w:val="批注文字 Char"/>
    <w:qFormat/>
    <w:uiPriority w:val="99"/>
    <w:rPr>
      <w:kern w:val="2"/>
      <w:sz w:val="21"/>
      <w:szCs w:val="24"/>
    </w:rPr>
  </w:style>
  <w:style w:type="character" w:customStyle="1" w:styleId="185">
    <w:name w:val="Char Char22"/>
    <w:qFormat/>
    <w:uiPriority w:val="6"/>
    <w:rPr>
      <w:rFonts w:ascii="宋体" w:hAnsi="宋体"/>
      <w:kern w:val="1"/>
      <w:sz w:val="24"/>
      <w:szCs w:val="24"/>
    </w:rPr>
  </w:style>
  <w:style w:type="character" w:customStyle="1" w:styleId="186">
    <w:name w:val="pt141"/>
    <w:qFormat/>
    <w:uiPriority w:val="0"/>
    <w:rPr>
      <w:color w:val="330066"/>
      <w:sz w:val="22"/>
      <w:szCs w:val="22"/>
    </w:rPr>
  </w:style>
  <w:style w:type="character" w:customStyle="1" w:styleId="187">
    <w:name w:val="正文文本缩进 2 Char1"/>
    <w:semiHidden/>
    <w:qFormat/>
    <w:uiPriority w:val="99"/>
    <w:rPr>
      <w:rFonts w:ascii="Times New Roman" w:hAnsi="Times New Roman" w:eastAsia="宋体" w:cs="Times New Roman"/>
      <w:szCs w:val="24"/>
    </w:rPr>
  </w:style>
  <w:style w:type="character" w:customStyle="1" w:styleId="188">
    <w:name w:val="批注框文本 Char"/>
    <w:link w:val="39"/>
    <w:qFormat/>
    <w:uiPriority w:val="0"/>
    <w:rPr>
      <w:kern w:val="2"/>
      <w:sz w:val="18"/>
      <w:szCs w:val="18"/>
    </w:rPr>
  </w:style>
  <w:style w:type="character" w:customStyle="1" w:styleId="189">
    <w:name w:val="Char Char611"/>
    <w:qFormat/>
    <w:uiPriority w:val="0"/>
    <w:rPr>
      <w:rFonts w:eastAsia="宋体"/>
      <w:kern w:val="2"/>
      <w:sz w:val="21"/>
      <w:szCs w:val="24"/>
      <w:lang w:val="en-US" w:eastAsia="zh-CN" w:bidi="ar-SA"/>
    </w:rPr>
  </w:style>
  <w:style w:type="character" w:customStyle="1" w:styleId="190">
    <w:name w:val="highlight1"/>
    <w:qFormat/>
    <w:uiPriority w:val="0"/>
    <w:rPr>
      <w:rFonts w:ascii="仿宋_GB2312" w:eastAsia="微软雅黑"/>
      <w:b/>
      <w:kern w:val="2"/>
      <w:sz w:val="23"/>
      <w:szCs w:val="23"/>
      <w:lang w:val="en-US" w:eastAsia="zh-CN" w:bidi="ar-SA"/>
    </w:rPr>
  </w:style>
  <w:style w:type="character" w:customStyle="1" w:styleId="191">
    <w:name w:val="my正文 Char"/>
    <w:link w:val="192"/>
    <w:qFormat/>
    <w:locked/>
    <w:uiPriority w:val="0"/>
    <w:rPr>
      <w:rFonts w:ascii="Tahoma" w:hAnsi="Tahoma"/>
      <w:sz w:val="24"/>
      <w:szCs w:val="24"/>
    </w:rPr>
  </w:style>
  <w:style w:type="paragraph" w:customStyle="1" w:styleId="192">
    <w:name w:val="my正文"/>
    <w:basedOn w:val="1"/>
    <w:link w:val="191"/>
    <w:qFormat/>
    <w:uiPriority w:val="0"/>
    <w:pPr>
      <w:adjustRightInd/>
      <w:spacing w:line="360" w:lineRule="auto"/>
      <w:ind w:firstLine="480" w:firstLineChars="200"/>
    </w:pPr>
    <w:rPr>
      <w:rFonts w:ascii="Tahoma" w:hAnsi="Tahoma"/>
      <w:kern w:val="0"/>
      <w:sz w:val="24"/>
    </w:rPr>
  </w:style>
  <w:style w:type="character" w:customStyle="1" w:styleId="193">
    <w:name w:val="正文缩进 Char2"/>
    <w:link w:val="16"/>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qFormat/>
    <w:uiPriority w:val="0"/>
    <w:rPr>
      <w:color w:val="0000FF"/>
      <w:sz w:val="21"/>
    </w:rPr>
  </w:style>
  <w:style w:type="character" w:customStyle="1" w:styleId="195">
    <w:name w:val="页眉 Char"/>
    <w:qFormat/>
    <w:uiPriority w:val="0"/>
    <w:rPr>
      <w:rFonts w:eastAsia="仿宋_GB2312"/>
      <w:kern w:val="2"/>
      <w:sz w:val="18"/>
      <w:lang w:val="en-US" w:eastAsia="zh-CN"/>
    </w:rPr>
  </w:style>
  <w:style w:type="character" w:customStyle="1" w:styleId="196">
    <w:name w:val="FA正文 Char Char"/>
    <w:qFormat/>
    <w:uiPriority w:val="0"/>
    <w:rPr>
      <w:rFonts w:hAnsi="宋体"/>
      <w:kern w:val="2"/>
      <w:sz w:val="24"/>
      <w:lang w:bidi="ar-SA"/>
    </w:rPr>
  </w:style>
  <w:style w:type="character" w:customStyle="1" w:styleId="197">
    <w:name w:val="纯文本 字符"/>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qFormat/>
    <w:uiPriority w:val="0"/>
    <w:rPr>
      <w:rFonts w:ascii="宋体" w:hAnsi="宋体"/>
      <w:b/>
      <w:bCs/>
      <w:snapToGrid/>
      <w:sz w:val="28"/>
    </w:rPr>
  </w:style>
  <w:style w:type="paragraph" w:customStyle="1" w:styleId="199">
    <w:name w:val="3级"/>
    <w:basedOn w:val="200"/>
    <w:link w:val="198"/>
    <w:qFormat/>
    <w:uiPriority w:val="0"/>
    <w:pPr>
      <w:ind w:left="0" w:right="466" w:firstLine="288"/>
    </w:pPr>
    <w:rPr>
      <w:rFonts w:hAnsi="宋体"/>
      <w:snapToGrid/>
    </w:rPr>
  </w:style>
  <w:style w:type="paragraph" w:customStyle="1" w:styleId="200">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qFormat/>
    <w:uiPriority w:val="0"/>
    <w:rPr>
      <w:rFonts w:ascii="仿宋_GB2312" w:eastAsia="微软雅黑"/>
      <w:b/>
      <w:kern w:val="2"/>
      <w:sz w:val="32"/>
      <w:szCs w:val="32"/>
      <w:lang w:val="en-US" w:eastAsia="zh-CN" w:bidi="ar-SA"/>
    </w:rPr>
  </w:style>
  <w:style w:type="character" w:customStyle="1" w:styleId="202">
    <w:name w:val="文档结构图 Char1"/>
    <w:link w:val="20"/>
    <w:qFormat/>
    <w:uiPriority w:val="0"/>
    <w:rPr>
      <w:kern w:val="2"/>
      <w:sz w:val="21"/>
      <w:szCs w:val="24"/>
      <w:shd w:val="clear" w:color="auto" w:fill="000080"/>
    </w:rPr>
  </w:style>
  <w:style w:type="character" w:customStyle="1" w:styleId="203">
    <w:name w:val="H6 Char"/>
    <w:qFormat/>
    <w:uiPriority w:val="0"/>
    <w:rPr>
      <w:rFonts w:ascii="Arial" w:hAnsi="Arial" w:eastAsia="黑体"/>
      <w:b/>
      <w:bCs/>
      <w:kern w:val="2"/>
      <w:sz w:val="24"/>
      <w:szCs w:val="24"/>
    </w:rPr>
  </w:style>
  <w:style w:type="character" w:customStyle="1" w:styleId="204">
    <w:name w:val="Char Char91"/>
    <w:qFormat/>
    <w:uiPriority w:val="0"/>
    <w:rPr>
      <w:rFonts w:eastAsia="宋体"/>
      <w:kern w:val="2"/>
      <w:sz w:val="18"/>
      <w:szCs w:val="18"/>
      <w:lang w:val="en-US" w:eastAsia="zh-CN" w:bidi="ar-SA"/>
    </w:rPr>
  </w:style>
  <w:style w:type="character" w:customStyle="1" w:styleId="205">
    <w:name w:val="副标题 Char1"/>
    <w:qFormat/>
    <w:uiPriority w:val="0"/>
    <w:rPr>
      <w:rFonts w:ascii="Cambria" w:hAnsi="Cambria" w:eastAsia="宋体" w:cs="Times New Roman"/>
      <w:b/>
      <w:bCs/>
      <w:snapToGrid w:val="0"/>
      <w:kern w:val="28"/>
      <w:sz w:val="32"/>
      <w:szCs w:val="32"/>
    </w:rPr>
  </w:style>
  <w:style w:type="character" w:customStyle="1" w:styleId="206">
    <w:name w:val="font61"/>
    <w:qFormat/>
    <w:uiPriority w:val="0"/>
    <w:rPr>
      <w:rFonts w:hint="eastAsia" w:ascii="仿宋" w:hAnsi="仿宋" w:eastAsia="仿宋" w:cs="仿宋"/>
      <w:color w:val="000000"/>
      <w:sz w:val="20"/>
      <w:szCs w:val="20"/>
      <w:u w:val="none"/>
    </w:rPr>
  </w:style>
  <w:style w:type="character" w:customStyle="1" w:styleId="20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qFormat/>
    <w:uiPriority w:val="0"/>
    <w:rPr>
      <w:rFonts w:eastAsia="宋体"/>
      <w:b/>
      <w:bCs/>
      <w:kern w:val="2"/>
      <w:sz w:val="21"/>
      <w:szCs w:val="24"/>
      <w:lang w:val="en-US" w:eastAsia="zh-CN" w:bidi="ar-SA"/>
    </w:rPr>
  </w:style>
  <w:style w:type="character" w:customStyle="1" w:styleId="209">
    <w:name w:val="标题 2 Char"/>
    <w:qFormat/>
    <w:uiPriority w:val="0"/>
    <w:rPr>
      <w:rFonts w:ascii="Arial" w:hAnsi="Arial" w:eastAsia="黑体"/>
      <w:b/>
      <w:kern w:val="2"/>
      <w:sz w:val="32"/>
      <w:lang w:val="en-US" w:eastAsia="zh-CN"/>
    </w:rPr>
  </w:style>
  <w:style w:type="character" w:customStyle="1" w:styleId="210">
    <w:name w:val="maywed421"/>
    <w:qFormat/>
    <w:uiPriority w:val="0"/>
    <w:rPr>
      <w:color w:val="366FB6"/>
      <w:u w:val="none"/>
    </w:rPr>
  </w:style>
  <w:style w:type="character" w:customStyle="1" w:styleId="211">
    <w:name w:val="正文文本缩进 Char"/>
    <w:qFormat/>
    <w:uiPriority w:val="0"/>
    <w:rPr>
      <w:rFonts w:ascii="宋体" w:hAnsi="宋体"/>
      <w:kern w:val="2"/>
      <w:sz w:val="24"/>
      <w:szCs w:val="24"/>
    </w:rPr>
  </w:style>
  <w:style w:type="character" w:customStyle="1" w:styleId="212">
    <w:name w:val="Char Char102"/>
    <w:semiHidden/>
    <w:qFormat/>
    <w:uiPriority w:val="0"/>
    <w:rPr>
      <w:rFonts w:ascii="宋体" w:hAnsi="宋体"/>
      <w:kern w:val="2"/>
      <w:sz w:val="21"/>
      <w:szCs w:val="24"/>
      <w:lang w:val="en-US" w:eastAsia="zh-CN"/>
    </w:rPr>
  </w:style>
  <w:style w:type="character" w:customStyle="1" w:styleId="213">
    <w:name w:val="页眉 Char1"/>
    <w:qFormat/>
    <w:uiPriority w:val="0"/>
    <w:rPr>
      <w:rFonts w:eastAsia="宋体"/>
      <w:kern w:val="2"/>
      <w:sz w:val="18"/>
      <w:szCs w:val="18"/>
      <w:lang w:val="en-US" w:eastAsia="zh-CN" w:bidi="ar-SA"/>
    </w:rPr>
  </w:style>
  <w:style w:type="character" w:customStyle="1" w:styleId="214">
    <w:name w:val="md"/>
    <w:basedOn w:val="70"/>
    <w:qFormat/>
    <w:uiPriority w:val="0"/>
    <w:rPr>
      <w:rFonts w:ascii="Arial" w:hAnsi="Arial" w:eastAsia="黑体" w:cs="Arial"/>
      <w:snapToGrid w:val="0"/>
      <w:kern w:val="0"/>
      <w:szCs w:val="21"/>
    </w:rPr>
  </w:style>
  <w:style w:type="character" w:customStyle="1" w:styleId="215">
    <w:name w:val="big1"/>
    <w:qFormat/>
    <w:uiPriority w:val="0"/>
    <w:rPr>
      <w:rFonts w:hint="eastAsia" w:ascii="宋体" w:hAnsi="宋体" w:eastAsia="宋体"/>
      <w:color w:val="333333"/>
      <w:sz w:val="22"/>
      <w:szCs w:val="22"/>
    </w:rPr>
  </w:style>
  <w:style w:type="character" w:customStyle="1" w:styleId="216">
    <w:name w:val="Char Char311"/>
    <w:qFormat/>
    <w:uiPriority w:val="0"/>
    <w:rPr>
      <w:rFonts w:eastAsia="宋体"/>
      <w:kern w:val="2"/>
      <w:sz w:val="21"/>
      <w:szCs w:val="24"/>
      <w:lang w:val="en-US" w:eastAsia="zh-CN" w:bidi="ar-SA"/>
    </w:rPr>
  </w:style>
  <w:style w:type="character" w:customStyle="1" w:styleId="217">
    <w:name w:val="Char Char81"/>
    <w:qFormat/>
    <w:uiPriority w:val="6"/>
    <w:rPr>
      <w:rFonts w:eastAsia="宋体"/>
      <w:b/>
      <w:sz w:val="24"/>
      <w:lang w:val="en-GB" w:eastAsia="zh-CN"/>
    </w:rPr>
  </w:style>
  <w:style w:type="character" w:customStyle="1" w:styleId="218">
    <w:name w:val="样式3 Char"/>
    <w:basedOn w:val="169"/>
    <w:qFormat/>
    <w:uiPriority w:val="0"/>
    <w:rPr>
      <w:rFonts w:ascii="仿宋_GB2312" w:hAnsi="仿宋" w:eastAsia="仿宋_GB2312" w:cs="仿宋_GB2312"/>
      <w:sz w:val="32"/>
      <w:szCs w:val="30"/>
      <w:lang w:val="zh-CN"/>
    </w:rPr>
  </w:style>
  <w:style w:type="character" w:customStyle="1" w:styleId="219">
    <w:name w:val="HTML 地址 Char"/>
    <w:link w:val="31"/>
    <w:qFormat/>
    <w:uiPriority w:val="0"/>
    <w:rPr>
      <w:rFonts w:ascii="宋体" w:hAnsi="宋体"/>
      <w:i/>
      <w:iCs/>
      <w:sz w:val="24"/>
      <w:szCs w:val="24"/>
    </w:rPr>
  </w:style>
  <w:style w:type="character" w:customStyle="1" w:styleId="220">
    <w:name w:val="正文首行缩进 2 Char1"/>
    <w:qFormat/>
    <w:uiPriority w:val="0"/>
    <w:rPr>
      <w:rFonts w:ascii="Times New Roman" w:hAnsi="Times New Roman" w:eastAsia="宋体" w:cs="Times New Roman"/>
      <w:kern w:val="2"/>
      <w:sz w:val="24"/>
      <w:szCs w:val="24"/>
    </w:rPr>
  </w:style>
  <w:style w:type="character" w:customStyle="1" w:styleId="221">
    <w:name w:val="副标题 Char2"/>
    <w:qFormat/>
    <w:uiPriority w:val="0"/>
    <w:rPr>
      <w:rFonts w:ascii="Cambria" w:hAnsi="Cambria" w:eastAsia="宋体" w:cs="Times New Roman"/>
      <w:b/>
      <w:bCs/>
      <w:snapToGrid w:val="0"/>
      <w:kern w:val="28"/>
      <w:sz w:val="32"/>
      <w:szCs w:val="32"/>
    </w:rPr>
  </w:style>
  <w:style w:type="character" w:customStyle="1" w:styleId="222">
    <w:name w:val="标题4-dyf Char"/>
    <w:link w:val="223"/>
    <w:qFormat/>
    <w:uiPriority w:val="0"/>
    <w:rPr>
      <w:rFonts w:ascii="Cambria" w:hAnsi="Cambria"/>
      <w:b/>
      <w:bCs/>
      <w:color w:val="000000"/>
      <w:kern w:val="2"/>
      <w:sz w:val="21"/>
      <w:szCs w:val="21"/>
    </w:rPr>
  </w:style>
  <w:style w:type="paragraph" w:customStyle="1" w:styleId="223">
    <w:name w:val="标题4-dyf"/>
    <w:basedOn w:val="6"/>
    <w:link w:val="22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qFormat/>
    <w:uiPriority w:val="0"/>
    <w:rPr>
      <w:rFonts w:ascii="宋体" w:hAnsi="宋体" w:eastAsia="宋体"/>
      <w:color w:val="333333"/>
      <w:sz w:val="21"/>
      <w:szCs w:val="21"/>
      <w:u w:val="none"/>
    </w:rPr>
  </w:style>
  <w:style w:type="character" w:customStyle="1" w:styleId="225">
    <w:name w:val="冯 Char"/>
    <w:link w:val="226"/>
    <w:qFormat/>
    <w:uiPriority w:val="0"/>
    <w:rPr>
      <w:rFonts w:ascii="宋体" w:hAnsi="宋体"/>
      <w:color w:val="000000"/>
      <w:sz w:val="24"/>
      <w:szCs w:val="24"/>
    </w:rPr>
  </w:style>
  <w:style w:type="paragraph" w:customStyle="1" w:styleId="226">
    <w:name w:val="冯"/>
    <w:basedOn w:val="1"/>
    <w:link w:val="225"/>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qFormat/>
    <w:locked/>
    <w:uiPriority w:val="0"/>
    <w:rPr>
      <w:rFonts w:eastAsia="宋体"/>
      <w:kern w:val="2"/>
      <w:sz w:val="18"/>
      <w:szCs w:val="18"/>
      <w:lang w:val="en-US" w:eastAsia="zh-CN" w:bidi="ar-SA"/>
    </w:rPr>
  </w:style>
  <w:style w:type="character" w:customStyle="1" w:styleId="228">
    <w:name w:val="Char Char12"/>
    <w:qFormat/>
    <w:uiPriority w:val="0"/>
    <w:rPr>
      <w:rFonts w:ascii="仿宋_GB2312" w:eastAsia="仿宋_GB2312"/>
      <w:b/>
      <w:bCs/>
      <w:kern w:val="2"/>
      <w:sz w:val="24"/>
      <w:szCs w:val="24"/>
      <w:lang w:val="zh-CN" w:eastAsia="zh-CN" w:bidi="ar-SA"/>
    </w:rPr>
  </w:style>
  <w:style w:type="character" w:customStyle="1" w:styleId="229">
    <w:name w:val="题注 Char"/>
    <w:link w:val="18"/>
    <w:qFormat/>
    <w:uiPriority w:val="0"/>
    <w:rPr>
      <w:b/>
      <w:kern w:val="2"/>
      <w:sz w:val="28"/>
    </w:rPr>
  </w:style>
  <w:style w:type="character" w:customStyle="1" w:styleId="230">
    <w:name w:val="普通文字 Char3"/>
    <w:qFormat/>
    <w:uiPriority w:val="0"/>
    <w:rPr>
      <w:rFonts w:ascii="宋体" w:hAnsi="Courier New" w:eastAsia="宋体"/>
      <w:kern w:val="2"/>
      <w:sz w:val="21"/>
      <w:lang w:val="en-US" w:eastAsia="zh-CN" w:bidi="ar-SA"/>
    </w:rPr>
  </w:style>
  <w:style w:type="character" w:customStyle="1" w:styleId="231">
    <w:name w:val="公文正文 Char"/>
    <w:qFormat/>
    <w:uiPriority w:val="0"/>
    <w:rPr>
      <w:rFonts w:ascii="仿宋_GB2312" w:eastAsia="仿宋_GB2312"/>
      <w:kern w:val="2"/>
      <w:sz w:val="24"/>
      <w:szCs w:val="24"/>
      <w:lang w:val="en-US" w:eastAsia="zh-CN" w:bidi="ar-SA"/>
    </w:rPr>
  </w:style>
  <w:style w:type="character" w:customStyle="1" w:styleId="232">
    <w:name w:val="正文首行缩进 Char Char Char Char Char"/>
    <w:qFormat/>
    <w:uiPriority w:val="0"/>
    <w:rPr>
      <w:rFonts w:ascii="宋体"/>
      <w:kern w:val="2"/>
      <w:sz w:val="24"/>
      <w:lang w:val="zh-CN"/>
    </w:rPr>
  </w:style>
  <w:style w:type="character" w:customStyle="1" w:styleId="233">
    <w:name w:val="PI Char"/>
    <w:qFormat/>
    <w:uiPriority w:val="0"/>
    <w:rPr>
      <w:rFonts w:ascii="宋体" w:hAnsi="宋体" w:eastAsia="宋体"/>
      <w:kern w:val="2"/>
      <w:sz w:val="24"/>
      <w:szCs w:val="24"/>
      <w:lang w:val="en-US" w:eastAsia="zh-CN" w:bidi="ar-SA"/>
    </w:rPr>
  </w:style>
  <w:style w:type="character" w:customStyle="1" w:styleId="234">
    <w:name w:val="Default Char"/>
    <w:link w:val="80"/>
    <w:qFormat/>
    <w:uiPriority w:val="0"/>
    <w:rPr>
      <w:rFonts w:ascii="仿宋_GB2312"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qFormat/>
    <w:uiPriority w:val="0"/>
    <w:rPr>
      <w:rFonts w:ascii="仿宋_GB2312" w:eastAsia="微软雅黑"/>
      <w:b/>
      <w:kern w:val="2"/>
      <w:sz w:val="32"/>
      <w:szCs w:val="32"/>
      <w:lang w:val="en-US" w:eastAsia="zh-CN" w:bidi="ar-SA"/>
    </w:rPr>
  </w:style>
  <w:style w:type="character" w:customStyle="1" w:styleId="238">
    <w:name w:val="unnamed11"/>
    <w:qFormat/>
    <w:uiPriority w:val="0"/>
    <w:rPr>
      <w:sz w:val="20"/>
      <w:szCs w:val="20"/>
    </w:rPr>
  </w:style>
  <w:style w:type="character" w:customStyle="1" w:styleId="239">
    <w:name w:val="正文文本 Char2"/>
    <w:semiHidden/>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locked/>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spacing w:line="360" w:lineRule="auto"/>
      <w:ind w:firstLine="480" w:firstLineChars="20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2"/>
    <w:link w:val="255"/>
    <w:qFormat/>
    <w:uiPriority w:val="0"/>
    <w:pPr>
      <w:widowControl/>
      <w:adjustRightInd/>
      <w:spacing w:after="200" w:line="360" w:lineRule="auto"/>
      <w:ind w:left="720" w:firstLine="200" w:firstLineChars="200"/>
      <w:jc w:val="left"/>
    </w:pPr>
    <w:rPr>
      <w:kern w:val="0"/>
      <w:sz w:val="24"/>
      <w:szCs w:val="20"/>
      <w:lang w:eastAsia="en-US"/>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Char3"/>
    <w:link w:val="17"/>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Char"/>
    <w:link w:val="3"/>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Char2"/>
    <w:link w:val="59"/>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Char"/>
    <w:link w:val="7"/>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Char"/>
    <w:link w:val="22"/>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Char"/>
    <w:link w:val="57"/>
    <w:qFormat/>
    <w:uiPriority w:val="0"/>
    <w:rPr>
      <w:rFonts w:ascii="黑体" w:hAnsi="Courier New" w:eastAsia="黑体"/>
    </w:rPr>
  </w:style>
  <w:style w:type="character" w:customStyle="1" w:styleId="300">
    <w:name w:val="正文文本 2 Char1"/>
    <w:link w:val="56"/>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6"/>
    <w:link w:val="413"/>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Char"/>
    <w:link w:val="9"/>
    <w:qFormat/>
    <w:uiPriority w:val="0"/>
    <w:rPr>
      <w:b/>
      <w:bCs/>
      <w:kern w:val="2"/>
      <w:sz w:val="24"/>
      <w:szCs w:val="24"/>
    </w:rPr>
  </w:style>
  <w:style w:type="character" w:customStyle="1" w:styleId="306">
    <w:name w:val="正文文本缩进 2 Char"/>
    <w:link w:val="37"/>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Char"/>
    <w:link w:val="50"/>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319"/>
    <w:link w:val="317"/>
    <w:qFormat/>
    <w:uiPriority w:val="0"/>
    <w:pPr>
      <w:tabs>
        <w:tab w:val="right" w:leader="dot" w:pos="8268"/>
      </w:tabs>
      <w:adjustRightInd/>
    </w:pPr>
    <w:rPr>
      <w:rFonts w:ascii="宋体"/>
      <w:kern w:val="0"/>
      <w:sz w:val="20"/>
      <w:szCs w:val="20"/>
    </w:rPr>
  </w:style>
  <w:style w:type="paragraph" w:customStyle="1" w:styleId="319">
    <w:name w:val="正文1"/>
    <w:basedOn w:val="33"/>
    <w:next w:val="320"/>
    <w:qFormat/>
    <w:uiPriority w:val="0"/>
    <w:pPr>
      <w:ind w:left="0" w:leftChars="0" w:firstLine="480" w:firstLineChars="200"/>
    </w:pPr>
    <w:rPr>
      <w:rFonts w:ascii="仿宋_GB2312" w:hAnsi="Courier New" w:eastAsia="仿宋_GB2312"/>
      <w:kern w:val="28"/>
      <w:sz w:val="24"/>
    </w:rPr>
  </w:style>
  <w:style w:type="paragraph" w:customStyle="1" w:styleId="320">
    <w:name w:val="目录 11"/>
    <w:basedOn w:val="319"/>
    <w:next w:val="319"/>
    <w:qFormat/>
    <w:uiPriority w:val="0"/>
    <w:pPr>
      <w:spacing w:line="240" w:lineRule="auto"/>
    </w:pPr>
    <w:rPr>
      <w:rFonts w:ascii="宋体" w:hAnsi="宋体" w:eastAsia="黑体" w:cs="宋体"/>
      <w:szCs w:val="21"/>
      <w:lang w:eastAsia="en-US"/>
    </w:rPr>
  </w:style>
  <w:style w:type="character" w:customStyle="1" w:styleId="321">
    <w:name w:val="正文首行缩进 Char"/>
    <w:link w:val="61"/>
    <w:qFormat/>
    <w:uiPriority w:val="0"/>
    <w:rPr>
      <w:rFonts w:ascii="宋体"/>
      <w:kern w:val="2"/>
      <w:sz w:val="24"/>
      <w:lang w:val="zh-CN"/>
    </w:rPr>
  </w:style>
  <w:style w:type="character" w:customStyle="1" w:styleId="322">
    <w:name w:val="h3 Char"/>
    <w:qFormat/>
    <w:uiPriority w:val="0"/>
    <w:rPr>
      <w:rFonts w:eastAsia="宋体"/>
      <w:b/>
      <w:kern w:val="2"/>
      <w:sz w:val="32"/>
      <w:lang w:val="en-US" w:eastAsia="zh-CN" w:bidi="ar-SA"/>
    </w:rPr>
  </w:style>
  <w:style w:type="character" w:customStyle="1" w:styleId="323">
    <w:name w:val="dandyren_title1"/>
    <w:qFormat/>
    <w:uiPriority w:val="0"/>
    <w:rPr>
      <w:b/>
      <w:bCs/>
      <w:color w:val="FF6633"/>
      <w:sz w:val="18"/>
      <w:szCs w:val="18"/>
    </w:rPr>
  </w:style>
  <w:style w:type="character" w:customStyle="1" w:styleId="324">
    <w:name w:val="Char Char31"/>
    <w:qFormat/>
    <w:uiPriority w:val="6"/>
    <w:rPr>
      <w:rFonts w:ascii="Arial" w:hAnsi="Arial" w:eastAsia="黑体"/>
      <w:kern w:val="1"/>
      <w:sz w:val="24"/>
      <w:szCs w:val="24"/>
    </w:rPr>
  </w:style>
  <w:style w:type="character" w:customStyle="1" w:styleId="325">
    <w:name w:val="h Char1"/>
    <w:qFormat/>
    <w:uiPriority w:val="0"/>
    <w:rPr>
      <w:sz w:val="18"/>
      <w:szCs w:val="18"/>
    </w:rPr>
  </w:style>
  <w:style w:type="character" w:customStyle="1" w:styleId="326">
    <w:name w:val="solutionfonts"/>
    <w:qFormat/>
    <w:uiPriority w:val="0"/>
  </w:style>
  <w:style w:type="character" w:customStyle="1" w:styleId="327">
    <w:name w:val="标题 4 Char2"/>
    <w:link w:val="6"/>
    <w:qFormat/>
    <w:uiPriority w:val="9"/>
    <w:rPr>
      <w:rFonts w:ascii="Arial" w:hAnsi="Arial" w:eastAsia="黑体"/>
      <w:b/>
      <w:bCs/>
      <w:kern w:val="2"/>
      <w:sz w:val="28"/>
      <w:szCs w:val="28"/>
      <w:lang w:val="zh-CN"/>
    </w:rPr>
  </w:style>
  <w:style w:type="character" w:customStyle="1" w:styleId="328">
    <w:name w:val="首行缩进 Char"/>
    <w:qFormat/>
    <w:uiPriority w:val="0"/>
    <w:rPr>
      <w:rFonts w:ascii="宋体" w:eastAsia="宋体"/>
      <w:kern w:val="2"/>
      <w:sz w:val="24"/>
      <w:lang w:val="en-US" w:eastAsia="zh-CN" w:bidi="ar-SA"/>
    </w:rPr>
  </w:style>
  <w:style w:type="character" w:customStyle="1" w:styleId="329">
    <w:name w:val="Char Char52"/>
    <w:qFormat/>
    <w:uiPriority w:val="0"/>
    <w:rPr>
      <w:rFonts w:ascii="宋体" w:hAnsi="Courier New" w:eastAsia="宋体"/>
      <w:kern w:val="2"/>
      <w:sz w:val="21"/>
      <w:lang w:val="en-US" w:eastAsia="zh-CN"/>
    </w:rPr>
  </w:style>
  <w:style w:type="character" w:customStyle="1" w:styleId="330">
    <w:name w:val="正文文本 3 Char"/>
    <w:link w:val="23"/>
    <w:qFormat/>
    <w:uiPriority w:val="0"/>
    <w:rPr>
      <w:kern w:val="2"/>
      <w:sz w:val="21"/>
    </w:rPr>
  </w:style>
  <w:style w:type="character" w:customStyle="1" w:styleId="331">
    <w:name w:val="font31"/>
    <w:qFormat/>
    <w:uiPriority w:val="0"/>
    <w:rPr>
      <w:rFonts w:hint="eastAsia" w:ascii="仿宋" w:hAnsi="仿宋" w:eastAsia="仿宋" w:cs="仿宋"/>
      <w:color w:val="000000"/>
      <w:sz w:val="20"/>
      <w:szCs w:val="20"/>
      <w:u w:val="none"/>
    </w:rPr>
  </w:style>
  <w:style w:type="character" w:customStyle="1" w:styleId="332">
    <w:name w:val="正文说明 Char"/>
    <w:link w:val="333"/>
    <w:qFormat/>
    <w:uiPriority w:val="0"/>
    <w:rPr>
      <w:sz w:val="24"/>
      <w:szCs w:val="24"/>
    </w:rPr>
  </w:style>
  <w:style w:type="paragraph" w:customStyle="1" w:styleId="333">
    <w:name w:val="正文说明"/>
    <w:basedOn w:val="1"/>
    <w:link w:val="332"/>
    <w:qFormat/>
    <w:uiPriority w:val="0"/>
    <w:pPr>
      <w:adjustRightInd/>
      <w:spacing w:line="360" w:lineRule="auto"/>
    </w:pPr>
    <w:rPr>
      <w:kern w:val="0"/>
      <w:sz w:val="24"/>
    </w:rPr>
  </w:style>
  <w:style w:type="character" w:customStyle="1" w:styleId="334">
    <w:name w:val="脚注文本 Char1"/>
    <w:qFormat/>
    <w:uiPriority w:val="0"/>
    <w:rPr>
      <w:rFonts w:ascii="Times New Roman" w:hAnsi="Times New Roman" w:eastAsia="宋体" w:cs="Times New Roman"/>
      <w:sz w:val="18"/>
      <w:szCs w:val="18"/>
    </w:rPr>
  </w:style>
  <w:style w:type="character" w:customStyle="1" w:styleId="335">
    <w:name w:val="Char Char1211"/>
    <w:qFormat/>
    <w:uiPriority w:val="0"/>
    <w:rPr>
      <w:rFonts w:ascii="仿宋_GB2312" w:eastAsia="仿宋_GB2312"/>
      <w:b/>
      <w:bCs/>
      <w:kern w:val="2"/>
      <w:sz w:val="24"/>
      <w:szCs w:val="24"/>
      <w:lang w:val="zh-CN" w:eastAsia="zh-CN" w:bidi="ar-SA"/>
    </w:rPr>
  </w:style>
  <w:style w:type="character" w:customStyle="1" w:styleId="336">
    <w:name w:val="标题 Char"/>
    <w:qFormat/>
    <w:uiPriority w:val="0"/>
    <w:rPr>
      <w:rFonts w:eastAsia="宋体"/>
      <w:b/>
      <w:sz w:val="24"/>
      <w:lang w:val="en-GB" w:eastAsia="zh-CN" w:bidi="ar-SA"/>
    </w:rPr>
  </w:style>
  <w:style w:type="character" w:customStyle="1" w:styleId="337">
    <w:name w:val="Char Char35"/>
    <w:qFormat/>
    <w:uiPriority w:val="6"/>
    <w:rPr>
      <w:rFonts w:ascii="Arial" w:hAnsi="Arial" w:eastAsia="黑体"/>
      <w:b/>
      <w:kern w:val="1"/>
      <w:sz w:val="28"/>
      <w:szCs w:val="28"/>
      <w:lang w:val="zh-CN"/>
    </w:rPr>
  </w:style>
  <w:style w:type="character" w:customStyle="1" w:styleId="338">
    <w:name w:val="纯文本 Char Char Char"/>
    <w:qFormat/>
    <w:uiPriority w:val="0"/>
    <w:rPr>
      <w:rFonts w:ascii="宋体" w:hAnsi="Courier New" w:eastAsia="宋体"/>
      <w:kern w:val="2"/>
      <w:sz w:val="21"/>
      <w:lang w:val="en-US" w:eastAsia="zh-CN" w:bidi="ar-SA"/>
    </w:rPr>
  </w:style>
  <w:style w:type="character" w:customStyle="1" w:styleId="339">
    <w:name w:val="Table Text Char"/>
    <w:link w:val="340"/>
    <w:qFormat/>
    <w:uiPriority w:val="0"/>
    <w:rPr>
      <w:sz w:val="24"/>
      <w:szCs w:val="24"/>
    </w:rPr>
  </w:style>
  <w:style w:type="paragraph" w:customStyle="1" w:styleId="340">
    <w:name w:val="Table Text"/>
    <w:basedOn w:val="1"/>
    <w:link w:val="339"/>
    <w:qFormat/>
    <w:uiPriority w:val="0"/>
    <w:pPr>
      <w:widowControl/>
      <w:spacing w:before="60" w:after="60"/>
      <w:jc w:val="left"/>
    </w:pPr>
    <w:rPr>
      <w:kern w:val="0"/>
      <w:sz w:val="24"/>
    </w:rPr>
  </w:style>
  <w:style w:type="character" w:customStyle="1" w:styleId="341">
    <w:name w:val="正文1 Char1"/>
    <w:qFormat/>
    <w:uiPriority w:val="0"/>
    <w:rPr>
      <w:rFonts w:ascii="仿宋_GB2312" w:hAnsi="Courier New" w:eastAsia="仿宋_GB2312"/>
      <w:kern w:val="28"/>
      <w:sz w:val="24"/>
      <w:szCs w:val="24"/>
      <w:lang w:val="en-US" w:eastAsia="zh-CN"/>
    </w:rPr>
  </w:style>
  <w:style w:type="character" w:customStyle="1" w:styleId="342">
    <w:name w:val="页脚 Char1"/>
    <w:qFormat/>
    <w:uiPriority w:val="0"/>
    <w:rPr>
      <w:rFonts w:eastAsia="宋体"/>
      <w:kern w:val="2"/>
      <w:sz w:val="18"/>
      <w:szCs w:val="18"/>
      <w:lang w:val="en-US" w:eastAsia="zh-CN" w:bidi="ar-SA"/>
    </w:rPr>
  </w:style>
  <w:style w:type="character" w:customStyle="1" w:styleId="343">
    <w:name w:val="Bold"/>
    <w:qFormat/>
    <w:uiPriority w:val="0"/>
    <w:rPr>
      <w:rFonts w:ascii="Arial" w:hAnsi="Arial" w:eastAsia="黑体" w:cs="Times New Roman"/>
      <w:b/>
      <w:kern w:val="2"/>
      <w:sz w:val="32"/>
      <w:szCs w:val="32"/>
      <w:lang w:val="en-US" w:eastAsia="zh-CN" w:bidi="ar-SA"/>
    </w:rPr>
  </w:style>
  <w:style w:type="character" w:customStyle="1" w:styleId="344">
    <w:name w:val="批注文字 Char1"/>
    <w:link w:val="21"/>
    <w:qFormat/>
    <w:uiPriority w:val="0"/>
    <w:rPr>
      <w:kern w:val="2"/>
      <w:sz w:val="21"/>
      <w:szCs w:val="24"/>
    </w:rPr>
  </w:style>
  <w:style w:type="character" w:customStyle="1" w:styleId="345">
    <w:name w:val="签名 Char"/>
    <w:link w:val="42"/>
    <w:qFormat/>
    <w:uiPriority w:val="0"/>
    <w:rPr>
      <w:rFonts w:eastAsia="仿宋_GB2312"/>
      <w:sz w:val="24"/>
    </w:rPr>
  </w:style>
  <w:style w:type="character" w:customStyle="1" w:styleId="346">
    <w:name w:val="hui3"/>
    <w:qFormat/>
    <w:uiPriority w:val="0"/>
    <w:rPr>
      <w:color w:val="333333"/>
    </w:rPr>
  </w:style>
  <w:style w:type="character" w:customStyle="1" w:styleId="347">
    <w:name w:val="Char Char17"/>
    <w:qFormat/>
    <w:uiPriority w:val="6"/>
    <w:rPr>
      <w:rFonts w:eastAsia="仿宋_GB2312"/>
      <w:sz w:val="24"/>
    </w:rPr>
  </w:style>
  <w:style w:type="character" w:customStyle="1" w:styleId="348">
    <w:name w:val="标题 4 字符"/>
    <w:qFormat/>
    <w:uiPriority w:val="9"/>
    <w:rPr>
      <w:rFonts w:ascii="等线 Light" w:hAnsi="等线 Light" w:eastAsia="等线 Light" w:cs="Times New Roman"/>
      <w:b/>
      <w:bCs/>
      <w:snapToGrid w:val="0"/>
      <w:kern w:val="0"/>
      <w:sz w:val="28"/>
      <w:szCs w:val="28"/>
    </w:rPr>
  </w:style>
  <w:style w:type="character" w:customStyle="1" w:styleId="349">
    <w:name w:val="Char Char37"/>
    <w:qFormat/>
    <w:uiPriority w:val="6"/>
    <w:rPr>
      <w:b/>
      <w:kern w:val="1"/>
      <w:sz w:val="44"/>
      <w:szCs w:val="44"/>
    </w:rPr>
  </w:style>
  <w:style w:type="character" w:customStyle="1" w:styleId="350">
    <w:name w:val="列出段落 Char"/>
    <w:qFormat/>
    <w:uiPriority w:val="0"/>
    <w:rPr>
      <w:rFonts w:eastAsia="楷体_GB2312" w:cs="Lucida Sans"/>
      <w:kern w:val="2"/>
      <w:sz w:val="24"/>
      <w:szCs w:val="24"/>
      <w:lang w:val="en-US" w:eastAsia="zh-CN" w:bidi="ar-SA"/>
    </w:rPr>
  </w:style>
  <w:style w:type="character" w:customStyle="1" w:styleId="351">
    <w:name w:val="正文文本缩进 3 Char1"/>
    <w:semiHidden/>
    <w:qFormat/>
    <w:uiPriority w:val="99"/>
    <w:rPr>
      <w:rFonts w:ascii="Times New Roman" w:hAnsi="Times New Roman" w:eastAsia="宋体" w:cs="Times New Roman"/>
      <w:sz w:val="16"/>
      <w:szCs w:val="16"/>
    </w:rPr>
  </w:style>
  <w:style w:type="character" w:customStyle="1" w:styleId="352">
    <w:name w:val="公文正文 Char Char"/>
    <w:link w:val="353"/>
    <w:qFormat/>
    <w:uiPriority w:val="0"/>
    <w:rPr>
      <w:rFonts w:ascii="仿宋_GB2312" w:eastAsia="仿宋_GB2312"/>
      <w:kern w:val="2"/>
      <w:sz w:val="24"/>
      <w:szCs w:val="24"/>
    </w:rPr>
  </w:style>
  <w:style w:type="paragraph" w:customStyle="1" w:styleId="353">
    <w:name w:val="公文正文"/>
    <w:basedOn w:val="1"/>
    <w:link w:val="352"/>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qFormat/>
    <w:uiPriority w:val="0"/>
    <w:rPr>
      <w:rFonts w:eastAsia="宋体"/>
      <w:sz w:val="24"/>
      <w:szCs w:val="24"/>
      <w:lang w:val="en-US" w:eastAsia="zh-CN" w:bidi="ar-SA"/>
    </w:rPr>
  </w:style>
  <w:style w:type="character" w:customStyle="1" w:styleId="355">
    <w:name w:val="标题 1 Char Char"/>
    <w:qFormat/>
    <w:uiPriority w:val="0"/>
    <w:rPr>
      <w:rFonts w:hint="eastAsia" w:ascii="宋体" w:hAnsi="宋体" w:eastAsia="宋体"/>
      <w:b/>
      <w:spacing w:val="-2"/>
      <w:sz w:val="24"/>
      <w:lang w:val="en-US" w:eastAsia="zh-CN" w:bidi="ar-SA"/>
    </w:rPr>
  </w:style>
  <w:style w:type="character" w:customStyle="1" w:styleId="356">
    <w:name w:val="正文（缩进2汉字） Char"/>
    <w:link w:val="357"/>
    <w:qFormat/>
    <w:uiPriority w:val="0"/>
    <w:rPr>
      <w:rFonts w:ascii="宋体"/>
    </w:rPr>
  </w:style>
  <w:style w:type="paragraph" w:customStyle="1" w:styleId="357">
    <w:name w:val="正文（缩进2汉字）"/>
    <w:basedOn w:val="1"/>
    <w:link w:val="35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Char"/>
    <w:link w:val="10"/>
    <w:qFormat/>
    <w:uiPriority w:val="0"/>
    <w:rPr>
      <w:rFonts w:ascii="Arial" w:hAnsi="Arial" w:eastAsia="黑体"/>
      <w:kern w:val="2"/>
      <w:sz w:val="24"/>
      <w:szCs w:val="24"/>
    </w:rPr>
  </w:style>
  <w:style w:type="character" w:customStyle="1" w:styleId="359">
    <w:name w:val="标书表格字体格式 Char"/>
    <w:qFormat/>
    <w:uiPriority w:val="0"/>
    <w:rPr>
      <w:kern w:val="2"/>
      <w:sz w:val="21"/>
      <w:szCs w:val="24"/>
      <w:lang w:bidi="ar-SA"/>
    </w:rPr>
  </w:style>
  <w:style w:type="character" w:customStyle="1" w:styleId="360">
    <w:name w:val="tw4winError"/>
    <w:qFormat/>
    <w:uiPriority w:val="0"/>
    <w:rPr>
      <w:rFonts w:ascii="Courier New" w:hAnsi="Courier New" w:cs="Courier New"/>
      <w:color w:val="00FF00"/>
      <w:sz w:val="40"/>
      <w:szCs w:val="40"/>
    </w:rPr>
  </w:style>
  <w:style w:type="character" w:customStyle="1" w:styleId="361">
    <w:name w:val="Body Text(ch) Char Char"/>
    <w:qFormat/>
    <w:uiPriority w:val="0"/>
    <w:rPr>
      <w:rFonts w:ascii="宋体"/>
      <w:kern w:val="2"/>
      <w:sz w:val="24"/>
      <w:szCs w:val="21"/>
      <w:lang w:val="zh-CN"/>
    </w:rPr>
  </w:style>
  <w:style w:type="character" w:customStyle="1" w:styleId="362">
    <w:name w:val="正文首行缩进两字 Char"/>
    <w:qFormat/>
    <w:uiPriority w:val="0"/>
    <w:rPr>
      <w:sz w:val="24"/>
      <w:szCs w:val="24"/>
      <w:lang w:val="en-US" w:eastAsia="zh-CN" w:bidi="ar-SA"/>
    </w:rPr>
  </w:style>
  <w:style w:type="character" w:customStyle="1" w:styleId="363">
    <w:name w:val="正文文本 Char"/>
    <w:qFormat/>
    <w:uiPriority w:val="0"/>
    <w:rPr>
      <w:rFonts w:eastAsia="宋体"/>
      <w:kern w:val="2"/>
      <w:sz w:val="24"/>
      <w:szCs w:val="24"/>
      <w:lang w:val="en-US" w:eastAsia="zh-CN" w:bidi="ar-SA"/>
    </w:rPr>
  </w:style>
  <w:style w:type="character" w:customStyle="1" w:styleId="364">
    <w:name w:val="文档结构图 字符1"/>
    <w:qFormat/>
    <w:uiPriority w:val="0"/>
    <w:rPr>
      <w:rFonts w:ascii="宋体" w:hAnsi="Calibri" w:eastAsia="黑体" w:cs="Arial"/>
      <w:snapToGrid w:val="0"/>
      <w:kern w:val="2"/>
      <w:sz w:val="18"/>
      <w:szCs w:val="18"/>
    </w:rPr>
  </w:style>
  <w:style w:type="character" w:customStyle="1" w:styleId="365">
    <w:name w:val="content"/>
    <w:qFormat/>
    <w:uiPriority w:val="0"/>
  </w:style>
  <w:style w:type="character" w:customStyle="1" w:styleId="366">
    <w:name w:val="tw4winPopup"/>
    <w:qFormat/>
    <w:uiPriority w:val="0"/>
    <w:rPr>
      <w:rFonts w:ascii="Courier New" w:hAnsi="Courier New" w:cs="Courier New"/>
      <w:color w:val="008000"/>
      <w:lang w:val="en-US" w:eastAsia="zh-CN"/>
    </w:rPr>
  </w:style>
  <w:style w:type="character" w:customStyle="1" w:styleId="367">
    <w:name w:val="param-name"/>
    <w:qFormat/>
    <w:uiPriority w:val="99"/>
    <w:rPr>
      <w:rFonts w:ascii="Arial" w:hAnsi="Arial" w:eastAsia="黑体" w:cs="Arial"/>
      <w:snapToGrid w:val="0"/>
      <w:kern w:val="0"/>
      <w:szCs w:val="21"/>
    </w:rPr>
  </w:style>
  <w:style w:type="character" w:customStyle="1" w:styleId="368">
    <w:name w:val="标准正文格式 Char"/>
    <w:qFormat/>
    <w:uiPriority w:val="0"/>
    <w:rPr>
      <w:rFonts w:ascii="宋体" w:eastAsia="仿宋_GB2312" w:cs="宋体"/>
      <w:color w:val="000000"/>
      <w:sz w:val="24"/>
      <w:lang w:val="en-US" w:eastAsia="zh-CN" w:bidi="ar-SA"/>
    </w:rPr>
  </w:style>
  <w:style w:type="character" w:customStyle="1" w:styleId="369">
    <w:name w:val="Char Char212"/>
    <w:qFormat/>
    <w:uiPriority w:val="0"/>
    <w:rPr>
      <w:rFonts w:eastAsia="宋体"/>
      <w:b/>
      <w:bCs/>
      <w:kern w:val="2"/>
      <w:sz w:val="21"/>
      <w:szCs w:val="24"/>
      <w:lang w:val="en-US" w:eastAsia="zh-CN" w:bidi="ar-SA"/>
    </w:rPr>
  </w:style>
  <w:style w:type="character" w:customStyle="1" w:styleId="370">
    <w:name w:val="文档结构图 Char"/>
    <w:qFormat/>
    <w:uiPriority w:val="0"/>
    <w:rPr>
      <w:rFonts w:eastAsia="宋体"/>
      <w:kern w:val="2"/>
      <w:sz w:val="21"/>
      <w:szCs w:val="24"/>
      <w:lang w:val="en-US" w:eastAsia="zh-CN" w:bidi="ar-SA"/>
    </w:rPr>
  </w:style>
  <w:style w:type="character" w:customStyle="1" w:styleId="371">
    <w:name w:val="zbggmain style9"/>
    <w:qFormat/>
    <w:uiPriority w:val="0"/>
  </w:style>
  <w:style w:type="character" w:customStyle="1" w:styleId="372">
    <w:name w:val="Char Char16"/>
    <w:qFormat/>
    <w:uiPriority w:val="6"/>
    <w:rPr>
      <w:kern w:val="1"/>
      <w:sz w:val="18"/>
      <w:szCs w:val="18"/>
    </w:rPr>
  </w:style>
  <w:style w:type="character" w:customStyle="1" w:styleId="373">
    <w:name w:val="font51"/>
    <w:qFormat/>
    <w:uiPriority w:val="0"/>
    <w:rPr>
      <w:rFonts w:hint="eastAsia" w:ascii="仿宋" w:hAnsi="仿宋" w:eastAsia="仿宋" w:cs="仿宋"/>
      <w:color w:val="000000"/>
      <w:sz w:val="20"/>
      <w:szCs w:val="20"/>
      <w:u w:val="none"/>
    </w:rPr>
  </w:style>
  <w:style w:type="character" w:customStyle="1" w:styleId="374">
    <w:name w:val="Char Char82"/>
    <w:qFormat/>
    <w:uiPriority w:val="0"/>
    <w:rPr>
      <w:rFonts w:eastAsia="宋体"/>
      <w:b/>
      <w:sz w:val="24"/>
      <w:lang w:val="en-GB" w:eastAsia="zh-CN"/>
    </w:rPr>
  </w:style>
  <w:style w:type="character" w:customStyle="1" w:styleId="375">
    <w:name w:val="正文文本缩进 3 Char"/>
    <w:link w:val="53"/>
    <w:qFormat/>
    <w:uiPriority w:val="0"/>
    <w:rPr>
      <w:kern w:val="2"/>
      <w:sz w:val="24"/>
    </w:rPr>
  </w:style>
  <w:style w:type="character" w:customStyle="1" w:styleId="376">
    <w:name w:val="日期 Char1"/>
    <w:semiHidden/>
    <w:qFormat/>
    <w:uiPriority w:val="99"/>
    <w:rPr>
      <w:rFonts w:ascii="Times New Roman" w:hAnsi="Times New Roman" w:eastAsia="宋体" w:cs="Times New Roman"/>
      <w:szCs w:val="24"/>
    </w:rPr>
  </w:style>
  <w:style w:type="character" w:customStyle="1" w:styleId="377">
    <w:name w:val="页眉 字符"/>
    <w:qFormat/>
    <w:uiPriority w:val="99"/>
    <w:rPr>
      <w:kern w:val="2"/>
      <w:sz w:val="18"/>
      <w:szCs w:val="18"/>
    </w:rPr>
  </w:style>
  <w:style w:type="character" w:customStyle="1" w:styleId="378">
    <w:name w:val="Char Char33"/>
    <w:qFormat/>
    <w:uiPriority w:val="6"/>
    <w:rPr>
      <w:rFonts w:ascii="Arial" w:hAnsi="Arial" w:eastAsia="黑体"/>
      <w:b/>
      <w:kern w:val="1"/>
      <w:sz w:val="24"/>
      <w:szCs w:val="24"/>
    </w:rPr>
  </w:style>
  <w:style w:type="character" w:customStyle="1" w:styleId="379">
    <w:name w:val="b11_01b Char"/>
    <w:link w:val="380"/>
    <w:qFormat/>
    <w:uiPriority w:val="0"/>
    <w:rPr>
      <w:rFonts w:ascii="Verdana" w:hAnsi="Verdana"/>
      <w:b/>
      <w:bCs/>
      <w:color w:val="4A82CA"/>
      <w:sz w:val="17"/>
      <w:szCs w:val="17"/>
    </w:rPr>
  </w:style>
  <w:style w:type="paragraph" w:customStyle="1" w:styleId="380">
    <w:name w:val="b11_01b"/>
    <w:basedOn w:val="1"/>
    <w:next w:val="1"/>
    <w:link w:val="37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qFormat/>
    <w:uiPriority w:val="6"/>
    <w:rPr>
      <w:rFonts w:ascii="仿宋_GB2312" w:eastAsia="仿宋_GB2312"/>
      <w:b/>
      <w:bCs/>
      <w:kern w:val="2"/>
      <w:sz w:val="24"/>
      <w:szCs w:val="24"/>
      <w:lang w:val="zh-CN" w:eastAsia="zh-CN" w:bidi="ar-SA"/>
    </w:rPr>
  </w:style>
  <w:style w:type="character" w:customStyle="1" w:styleId="382">
    <w:name w:val="Footer-Even Char"/>
    <w:qFormat/>
    <w:uiPriority w:val="0"/>
    <w:rPr>
      <w:rFonts w:eastAsia="宋体"/>
      <w:kern w:val="2"/>
      <w:sz w:val="18"/>
      <w:lang w:val="en-US" w:eastAsia="zh-CN" w:bidi="ar-SA"/>
    </w:rPr>
  </w:style>
  <w:style w:type="character" w:customStyle="1" w:styleId="383">
    <w:name w:val="页脚 Char2"/>
    <w:link w:val="40"/>
    <w:qFormat/>
    <w:locked/>
    <w:uiPriority w:val="99"/>
    <w:rPr>
      <w:kern w:val="2"/>
      <w:sz w:val="18"/>
      <w:szCs w:val="18"/>
    </w:rPr>
  </w:style>
  <w:style w:type="character" w:customStyle="1" w:styleId="384">
    <w:name w:val="Char Char36"/>
    <w:qFormat/>
    <w:uiPriority w:val="6"/>
    <w:rPr>
      <w:rFonts w:ascii="仿宋_GB2312" w:hAnsi="仿宋_GB2312" w:eastAsia="仿宋_GB2312" w:cs="Arial"/>
      <w:b/>
      <w:kern w:val="1"/>
      <w:sz w:val="32"/>
      <w:szCs w:val="32"/>
      <w:lang w:val="zh-CN" w:eastAsia="zh-CN" w:bidi="ar-SA"/>
    </w:rPr>
  </w:style>
  <w:style w:type="character" w:customStyle="1" w:styleId="385">
    <w:name w:val="Char Char61"/>
    <w:qFormat/>
    <w:uiPriority w:val="6"/>
    <w:rPr>
      <w:rFonts w:eastAsia="宋体"/>
      <w:kern w:val="2"/>
      <w:sz w:val="21"/>
      <w:szCs w:val="24"/>
      <w:lang w:val="en-US" w:eastAsia="zh-CN" w:bidi="ar-SA"/>
    </w:rPr>
  </w:style>
  <w:style w:type="character" w:customStyle="1" w:styleId="386">
    <w:name w:val="正文文字缩进 2 Char Char"/>
    <w:qFormat/>
    <w:uiPriority w:val="0"/>
    <w:rPr>
      <w:rFonts w:ascii="宋体"/>
      <w:sz w:val="28"/>
    </w:rPr>
  </w:style>
  <w:style w:type="character" w:customStyle="1" w:styleId="387">
    <w:name w:val="f141"/>
    <w:qFormat/>
    <w:uiPriority w:val="0"/>
    <w:rPr>
      <w:rFonts w:ascii="Tahoma" w:hAnsi="Tahoma" w:eastAsia="宋体"/>
      <w:b/>
      <w:kern w:val="2"/>
      <w:sz w:val="21"/>
      <w:szCs w:val="21"/>
      <w:lang w:val="en-US" w:eastAsia="zh-CN" w:bidi="ar-SA"/>
    </w:rPr>
  </w:style>
  <w:style w:type="character" w:customStyle="1" w:styleId="388">
    <w:name w:val="段落 Char Char"/>
    <w:link w:val="389"/>
    <w:qFormat/>
    <w:uiPriority w:val="0"/>
    <w:rPr>
      <w:rFonts w:ascii="宋体" w:hAnsi="宋体"/>
      <w:sz w:val="24"/>
    </w:rPr>
  </w:style>
  <w:style w:type="paragraph" w:customStyle="1" w:styleId="389">
    <w:name w:val="段落"/>
    <w:basedOn w:val="1"/>
    <w:link w:val="388"/>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qFormat/>
    <w:uiPriority w:val="0"/>
    <w:rPr>
      <w:rFonts w:eastAsia="宋体"/>
      <w:b/>
      <w:bCs/>
      <w:kern w:val="2"/>
      <w:sz w:val="32"/>
      <w:szCs w:val="32"/>
      <w:lang w:val="en-US" w:eastAsia="zh-CN" w:bidi="ar-SA"/>
    </w:rPr>
  </w:style>
  <w:style w:type="character" w:customStyle="1" w:styleId="391">
    <w:name w:val="apple-converted-space"/>
    <w:qFormat/>
    <w:uiPriority w:val="0"/>
  </w:style>
  <w:style w:type="character" w:customStyle="1" w:styleId="392">
    <w:name w:val="页眉 Char2"/>
    <w:link w:val="41"/>
    <w:qFormat/>
    <w:uiPriority w:val="99"/>
    <w:rPr>
      <w:kern w:val="2"/>
      <w:sz w:val="18"/>
      <w:szCs w:val="18"/>
    </w:rPr>
  </w:style>
  <w:style w:type="character" w:customStyle="1" w:styleId="393">
    <w:name w:val="Char Char9"/>
    <w:qFormat/>
    <w:uiPriority w:val="0"/>
    <w:rPr>
      <w:rFonts w:eastAsia="宋体"/>
      <w:kern w:val="2"/>
      <w:sz w:val="18"/>
      <w:szCs w:val="18"/>
      <w:lang w:val="en-US" w:eastAsia="zh-CN" w:bidi="ar-SA"/>
    </w:rPr>
  </w:style>
  <w:style w:type="character" w:customStyle="1" w:styleId="394">
    <w:name w:val="Char Char41"/>
    <w:qFormat/>
    <w:uiPriority w:val="0"/>
    <w:rPr>
      <w:rFonts w:eastAsia="宋体"/>
      <w:b/>
      <w:sz w:val="24"/>
      <w:lang w:val="en-GB" w:eastAsia="zh-CN" w:bidi="ar-SA"/>
    </w:rPr>
  </w:style>
  <w:style w:type="character" w:customStyle="1" w:styleId="395">
    <w:name w:val="large1"/>
    <w:qFormat/>
    <w:uiPriority w:val="0"/>
    <w:rPr>
      <w:rFonts w:hint="eastAsia" w:ascii="宋体" w:hAnsi="宋体" w:eastAsia="宋体"/>
      <w:sz w:val="21"/>
      <w:szCs w:val="21"/>
    </w:rPr>
  </w:style>
  <w:style w:type="character" w:customStyle="1" w:styleId="396">
    <w:name w:val="正文段 Char"/>
    <w:link w:val="397"/>
    <w:qFormat/>
    <w:uiPriority w:val="0"/>
    <w:rPr>
      <w:sz w:val="24"/>
    </w:rPr>
  </w:style>
  <w:style w:type="paragraph" w:customStyle="1" w:styleId="397">
    <w:name w:val="正文段"/>
    <w:basedOn w:val="1"/>
    <w:link w:val="396"/>
    <w:qFormat/>
    <w:uiPriority w:val="0"/>
    <w:pPr>
      <w:widowControl/>
      <w:snapToGrid w:val="0"/>
      <w:spacing w:after="156" w:afterLines="50"/>
      <w:ind w:firstLine="200" w:firstLineChars="200"/>
    </w:pPr>
    <w:rPr>
      <w:kern w:val="0"/>
      <w:sz w:val="24"/>
      <w:szCs w:val="20"/>
    </w:rPr>
  </w:style>
  <w:style w:type="character" w:customStyle="1" w:styleId="398">
    <w:name w:val="Char Char13"/>
    <w:qFormat/>
    <w:uiPriority w:val="6"/>
    <w:rPr>
      <w:rFonts w:ascii="宋体" w:hAnsi="宋体"/>
      <w:kern w:val="1"/>
      <w:sz w:val="21"/>
      <w:szCs w:val="24"/>
    </w:rPr>
  </w:style>
  <w:style w:type="character" w:customStyle="1" w:styleId="399">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qFormat/>
    <w:uiPriority w:val="0"/>
    <w:rPr>
      <w:rFonts w:ascii="宋体" w:hAnsi="宋体"/>
      <w:kern w:val="2"/>
      <w:sz w:val="24"/>
      <w:szCs w:val="22"/>
    </w:rPr>
  </w:style>
  <w:style w:type="paragraph" w:customStyle="1" w:styleId="401">
    <w:name w:val="冯广丽"/>
    <w:basedOn w:val="1"/>
    <w:link w:val="400"/>
    <w:qFormat/>
    <w:uiPriority w:val="0"/>
    <w:pPr>
      <w:adjustRightInd/>
      <w:spacing w:line="360" w:lineRule="auto"/>
      <w:ind w:firstLine="480" w:firstLineChars="200"/>
    </w:pPr>
    <w:rPr>
      <w:rFonts w:ascii="宋体" w:hAnsi="宋体"/>
      <w:sz w:val="24"/>
      <w:szCs w:val="22"/>
    </w:rPr>
  </w:style>
  <w:style w:type="character" w:customStyle="1" w:styleId="402">
    <w:name w:val="批注文字 字符"/>
    <w:qFormat/>
    <w:uiPriority w:val="0"/>
    <w:rPr>
      <w:rFonts w:ascii="Arial" w:hAnsi="Arial" w:eastAsia="黑体" w:cs="Arial"/>
      <w:snapToGrid w:val="0"/>
      <w:kern w:val="0"/>
      <w:szCs w:val="21"/>
    </w:rPr>
  </w:style>
  <w:style w:type="character" w:customStyle="1" w:styleId="403">
    <w:name w:val="Char Char161"/>
    <w:qFormat/>
    <w:uiPriority w:val="0"/>
    <w:rPr>
      <w:rFonts w:eastAsia="宋体"/>
      <w:b/>
      <w:kern w:val="2"/>
      <w:sz w:val="32"/>
      <w:lang w:val="en-US" w:eastAsia="zh-CN"/>
    </w:rPr>
  </w:style>
  <w:style w:type="character" w:customStyle="1" w:styleId="404">
    <w:name w:val="javascript"/>
    <w:qFormat/>
    <w:uiPriority w:val="0"/>
  </w:style>
  <w:style w:type="character" w:customStyle="1" w:styleId="405">
    <w:name w:val="图名 Char"/>
    <w:qFormat/>
    <w:uiPriority w:val="0"/>
    <w:rPr>
      <w:rFonts w:ascii="Arial" w:hAnsi="Arial" w:eastAsia="黑体"/>
      <w:kern w:val="2"/>
      <w:sz w:val="24"/>
      <w:szCs w:val="24"/>
      <w:lang w:val="en-US" w:eastAsia="zh-CN" w:bidi="ar-SA"/>
    </w:rPr>
  </w:style>
  <w:style w:type="character" w:customStyle="1" w:styleId="406">
    <w:name w:val="Used by Word for text of Help footnotes Char Char"/>
    <w:qFormat/>
    <w:uiPriority w:val="0"/>
    <w:rPr>
      <w:rFonts w:ascii="Times New Roman" w:hAnsi="Times New Roman" w:eastAsia="宋体" w:cs="Times New Roman"/>
      <w:sz w:val="20"/>
      <w:szCs w:val="20"/>
    </w:rPr>
  </w:style>
  <w:style w:type="character" w:customStyle="1" w:styleId="407">
    <w:name w:val="编号，小四 Char"/>
    <w:link w:val="408"/>
    <w:qFormat/>
    <w:uiPriority w:val="0"/>
    <w:rPr>
      <w:rFonts w:ascii="Arial" w:hAnsi="Arial"/>
      <w:sz w:val="24"/>
    </w:rPr>
  </w:style>
  <w:style w:type="paragraph" w:customStyle="1" w:styleId="408">
    <w:name w:val="编号，小四"/>
    <w:basedOn w:val="1"/>
    <w:link w:val="407"/>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qFormat/>
    <w:uiPriority w:val="99"/>
    <w:rPr>
      <w:rFonts w:ascii="宋体" w:eastAsia="宋体" w:cs="宋体"/>
      <w:color w:val="000000"/>
      <w:sz w:val="14"/>
      <w:szCs w:val="14"/>
    </w:rPr>
  </w:style>
  <w:style w:type="character" w:customStyle="1" w:styleId="410">
    <w:name w:val="标题 2 Char Char"/>
    <w:qFormat/>
    <w:uiPriority w:val="0"/>
    <w:rPr>
      <w:rFonts w:ascii="楷体_GB2312" w:hAnsi="Arial" w:eastAsia="楷体_GB2312"/>
      <w:b/>
      <w:bCs/>
      <w:kern w:val="2"/>
      <w:sz w:val="24"/>
      <w:szCs w:val="32"/>
      <w:lang w:val="en-US" w:eastAsia="zh-CN" w:bidi="ar-SA"/>
    </w:rPr>
  </w:style>
  <w:style w:type="character" w:customStyle="1" w:styleId="411">
    <w:name w:val="未用 Char"/>
    <w:qFormat/>
    <w:uiPriority w:val="0"/>
    <w:rPr>
      <w:rFonts w:ascii="Arial" w:hAnsi="Arial" w:eastAsia="黑体"/>
      <w:kern w:val="2"/>
      <w:sz w:val="21"/>
      <w:szCs w:val="21"/>
      <w:lang w:val="en-US" w:eastAsia="zh-CN" w:bidi="ar-SA"/>
    </w:rPr>
  </w:style>
  <w:style w:type="character" w:customStyle="1" w:styleId="412">
    <w:name w:val="myp1111"/>
    <w:qFormat/>
    <w:uiPriority w:val="0"/>
    <w:rPr>
      <w:rFonts w:hint="default" w:ascii="ˎ̥" w:hAnsi="ˎ̥"/>
      <w:color w:val="000000"/>
      <w:sz w:val="20"/>
      <w:szCs w:val="20"/>
      <w:u w:val="none"/>
    </w:rPr>
  </w:style>
  <w:style w:type="character" w:customStyle="1" w:styleId="413">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4">
    <w:name w:val="h Char Char"/>
    <w:qFormat/>
    <w:uiPriority w:val="0"/>
    <w:rPr>
      <w:rFonts w:eastAsia="宋体"/>
      <w:kern w:val="2"/>
      <w:sz w:val="18"/>
      <w:lang w:val="en-US" w:eastAsia="zh-CN" w:bidi="ar-SA"/>
    </w:rPr>
  </w:style>
  <w:style w:type="character" w:customStyle="1" w:styleId="415">
    <w:name w:val="仿宋正文 Char"/>
    <w:link w:val="416"/>
    <w:qFormat/>
    <w:uiPriority w:val="0"/>
    <w:rPr>
      <w:rFonts w:ascii="仿宋_GB2312" w:eastAsia="仿宋_GB2312"/>
      <w:kern w:val="2"/>
      <w:sz w:val="24"/>
      <w:lang w:val="en-US" w:eastAsia="zh-CN" w:bidi="ar-SA"/>
    </w:rPr>
  </w:style>
  <w:style w:type="paragraph" w:customStyle="1" w:styleId="416">
    <w:name w:val="仿宋正文"/>
    <w:basedOn w:val="1"/>
    <w:link w:val="415"/>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qFormat/>
    <w:uiPriority w:val="0"/>
    <w:rPr>
      <w:rFonts w:ascii="宋体" w:eastAsia="宋体"/>
      <w:kern w:val="2"/>
      <w:sz w:val="24"/>
      <w:lang w:val="zh-CN" w:bidi="ar-SA"/>
    </w:rPr>
  </w:style>
  <w:style w:type="character" w:customStyle="1" w:styleId="418">
    <w:name w:val="样式 宋体"/>
    <w:qFormat/>
    <w:uiPriority w:val="0"/>
    <w:rPr>
      <w:rFonts w:ascii="宋体" w:hAnsi="宋体"/>
      <w:sz w:val="24"/>
    </w:rPr>
  </w:style>
  <w:style w:type="character" w:customStyle="1" w:styleId="419">
    <w:name w:val="tw4winJump"/>
    <w:qFormat/>
    <w:uiPriority w:val="0"/>
    <w:rPr>
      <w:rFonts w:ascii="Courier New" w:hAnsi="Courier New" w:cs="Courier New"/>
      <w:color w:val="008080"/>
      <w:lang w:val="en-US" w:eastAsia="zh-CN"/>
    </w:rPr>
  </w:style>
  <w:style w:type="character" w:customStyle="1" w:styleId="420">
    <w:name w:val="标题 1 字符"/>
    <w:qFormat/>
    <w:uiPriority w:val="9"/>
    <w:rPr>
      <w:rFonts w:ascii="Arial" w:hAnsi="Arial" w:eastAsia="黑体" w:cs="Arial"/>
      <w:b/>
      <w:bCs/>
      <w:snapToGrid w:val="0"/>
      <w:kern w:val="44"/>
      <w:sz w:val="44"/>
      <w:szCs w:val="44"/>
    </w:rPr>
  </w:style>
  <w:style w:type="character" w:customStyle="1" w:styleId="421">
    <w:name w:val="style36"/>
    <w:basedOn w:val="70"/>
    <w:qFormat/>
    <w:uiPriority w:val="0"/>
    <w:rPr>
      <w:rFonts w:ascii="Arial" w:hAnsi="Arial" w:eastAsia="黑体" w:cs="Arial"/>
      <w:snapToGrid w:val="0"/>
      <w:kern w:val="0"/>
      <w:szCs w:val="21"/>
    </w:rPr>
  </w:style>
  <w:style w:type="character" w:customStyle="1" w:styleId="422">
    <w:name w:val="pt9"/>
    <w:qFormat/>
    <w:uiPriority w:val="0"/>
    <w:rPr>
      <w:rFonts w:ascii="仿宋_GB2312" w:eastAsia="微软雅黑"/>
      <w:b/>
      <w:kern w:val="2"/>
      <w:sz w:val="32"/>
      <w:szCs w:val="32"/>
      <w:lang w:val="en-US" w:eastAsia="zh-CN" w:bidi="ar-SA"/>
    </w:rPr>
  </w:style>
  <w:style w:type="character" w:customStyle="1" w:styleId="423">
    <w:name w:val="DO_NOT_TRANSLATE"/>
    <w:qFormat/>
    <w:uiPriority w:val="0"/>
    <w:rPr>
      <w:rFonts w:ascii="Courier New" w:hAnsi="Courier New" w:cs="Courier New"/>
      <w:color w:val="800000"/>
      <w:lang w:val="en-US" w:eastAsia="zh-CN"/>
    </w:rPr>
  </w:style>
  <w:style w:type="character" w:customStyle="1" w:styleId="424">
    <w:name w:val="标书1 Char1"/>
    <w:qFormat/>
    <w:uiPriority w:val="0"/>
    <w:rPr>
      <w:rFonts w:eastAsia="宋体"/>
      <w:b/>
      <w:bCs/>
      <w:kern w:val="44"/>
      <w:sz w:val="44"/>
      <w:szCs w:val="44"/>
      <w:lang w:val="en-US" w:eastAsia="zh-CN" w:bidi="ar-SA"/>
    </w:rPr>
  </w:style>
  <w:style w:type="character" w:customStyle="1" w:styleId="425">
    <w:name w:val="页脚 字符"/>
    <w:qFormat/>
    <w:uiPriority w:val="99"/>
    <w:rPr>
      <w:kern w:val="2"/>
      <w:sz w:val="18"/>
      <w:szCs w:val="18"/>
    </w:rPr>
  </w:style>
  <w:style w:type="character" w:customStyle="1" w:styleId="426">
    <w:name w:val="正文2 Char"/>
    <w:qFormat/>
    <w:uiPriority w:val="0"/>
    <w:rPr>
      <w:rFonts w:eastAsia="宋体"/>
      <w:kern w:val="2"/>
      <w:sz w:val="24"/>
      <w:lang w:val="en-US" w:eastAsia="zh-CN" w:bidi="ar-SA"/>
    </w:rPr>
  </w:style>
  <w:style w:type="character" w:customStyle="1" w:styleId="427">
    <w:name w:val="Char Char21"/>
    <w:qFormat/>
    <w:uiPriority w:val="6"/>
    <w:rPr>
      <w:rFonts w:ascii="宋体" w:hAnsi="宋体"/>
      <w:kern w:val="1"/>
      <w:sz w:val="24"/>
      <w:szCs w:val="21"/>
      <w:lang w:val="zh-CN"/>
    </w:rPr>
  </w:style>
  <w:style w:type="character" w:customStyle="1" w:styleId="428">
    <w:name w:val="样式 正文缩进 + 首行缩进:  2 字符 Char Char"/>
    <w:link w:val="429"/>
    <w:qFormat/>
    <w:uiPriority w:val="0"/>
    <w:rPr>
      <w:rFonts w:cs="宋体"/>
      <w:kern w:val="2"/>
      <w:sz w:val="24"/>
    </w:rPr>
  </w:style>
  <w:style w:type="paragraph" w:customStyle="1" w:styleId="429">
    <w:name w:val="样式 正文缩进 + 首行缩进:  2 字符"/>
    <w:basedOn w:val="16"/>
    <w:link w:val="428"/>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431">
    <w:name w:val="gray6"/>
    <w:basedOn w:val="70"/>
    <w:qFormat/>
    <w:uiPriority w:val="0"/>
    <w:rPr>
      <w:rFonts w:ascii="Arial" w:hAnsi="Arial" w:eastAsia="黑体" w:cs="Arial"/>
      <w:snapToGrid w:val="0"/>
      <w:kern w:val="0"/>
      <w:szCs w:val="21"/>
    </w:rPr>
  </w:style>
  <w:style w:type="character" w:customStyle="1" w:styleId="432">
    <w:name w:val="hui"/>
    <w:basedOn w:val="70"/>
    <w:qFormat/>
    <w:uiPriority w:val="0"/>
    <w:rPr>
      <w:rFonts w:ascii="Arial" w:hAnsi="Arial" w:eastAsia="黑体" w:cs="Arial"/>
      <w:snapToGrid w:val="0"/>
      <w:kern w:val="0"/>
      <w:szCs w:val="21"/>
    </w:rPr>
  </w:style>
  <w:style w:type="character" w:customStyle="1" w:styleId="433">
    <w:name w:val="哈哈正文 Char Char"/>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17"/>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6"/>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qFormat/>
    <w:uiPriority w:val="0"/>
    <w:pPr>
      <w:spacing w:before="120" w:line="360" w:lineRule="auto"/>
      <w:ind w:firstLine="567"/>
    </w:pPr>
    <w:rPr>
      <w:rFonts w:ascii="Arial" w:hAnsi="Arial"/>
      <w:sz w:val="20"/>
      <w:szCs w:val="20"/>
    </w:rPr>
  </w:style>
  <w:style w:type="paragraph" w:customStyle="1" w:styleId="44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1">
    <w:name w:val="封面公司名"/>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qFormat/>
    <w:uiPriority w:val="0"/>
    <w:pPr>
      <w:adjustRightInd/>
      <w:ind w:firstLine="200" w:firstLineChars="200"/>
    </w:pPr>
    <w:rPr>
      <w:rFonts w:ascii="Tahoma" w:hAnsi="Tahoma"/>
      <w:sz w:val="24"/>
      <w:szCs w:val="20"/>
    </w:rPr>
  </w:style>
  <w:style w:type="paragraph" w:customStyle="1" w:styleId="45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qFormat/>
    <w:uiPriority w:val="0"/>
    <w:pPr>
      <w:tabs>
        <w:tab w:val="left" w:pos="360"/>
      </w:tabs>
    </w:pPr>
    <w:rPr>
      <w:sz w:val="24"/>
      <w:szCs w:val="20"/>
    </w:rPr>
  </w:style>
  <w:style w:type="paragraph" w:customStyle="1" w:styleId="456">
    <w:name w:val="Char Char11 Char Char Char"/>
    <w:basedOn w:val="1"/>
    <w:qFormat/>
    <w:uiPriority w:val="0"/>
    <w:pPr>
      <w:spacing w:line="360" w:lineRule="auto"/>
    </w:pPr>
    <w:rPr>
      <w:szCs w:val="20"/>
    </w:rPr>
  </w:style>
  <w:style w:type="paragraph" w:customStyle="1" w:styleId="45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qFormat/>
    <w:uiPriority w:val="0"/>
    <w:pPr>
      <w:tabs>
        <w:tab w:val="left" w:pos="2790"/>
        <w:tab w:val="left" w:pos="4230"/>
      </w:tabs>
      <w:spacing w:before="312" w:beforeLines="100"/>
      <w:jc w:val="left"/>
    </w:pPr>
  </w:style>
  <w:style w:type="paragraph" w:customStyle="1" w:styleId="46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qFormat/>
    <w:uiPriority w:val="0"/>
    <w:pPr>
      <w:tabs>
        <w:tab w:val="left" w:pos="840"/>
      </w:tabs>
      <w:ind w:left="840" w:hanging="420"/>
    </w:pPr>
    <w:rPr>
      <w:rFonts w:ascii="Tahoma" w:hAnsi="Tahoma"/>
      <w:sz w:val="24"/>
    </w:rPr>
  </w:style>
  <w:style w:type="paragraph" w:customStyle="1" w:styleId="46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qFormat/>
    <w:uiPriority w:val="0"/>
    <w:pPr>
      <w:adjustRightInd/>
      <w:spacing w:before="156" w:line="360" w:lineRule="auto"/>
      <w:ind w:firstLine="510" w:firstLineChars="200"/>
    </w:pPr>
    <w:rPr>
      <w:sz w:val="24"/>
      <w:szCs w:val="20"/>
    </w:rPr>
  </w:style>
  <w:style w:type="paragraph" w:customStyle="1" w:styleId="466">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qFormat/>
    <w:uiPriority w:val="0"/>
    <w:rPr>
      <w:rFonts w:ascii="仿宋_GB2312" w:eastAsia="仿宋_GB2312"/>
      <w:b/>
      <w:sz w:val="32"/>
      <w:szCs w:val="32"/>
    </w:rPr>
  </w:style>
  <w:style w:type="paragraph" w:customStyle="1" w:styleId="46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2">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qFormat/>
    <w:uiPriority w:val="0"/>
    <w:pPr>
      <w:keepNext/>
      <w:tabs>
        <w:tab w:val="left" w:pos="360"/>
      </w:tabs>
      <w:spacing w:before="0" w:after="0"/>
      <w:outlineLvl w:val="5"/>
    </w:pPr>
  </w:style>
  <w:style w:type="paragraph" w:customStyle="1" w:styleId="474">
    <w:name w:val="5级标题"/>
    <w:basedOn w:val="475"/>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5">
    <w:name w:val="4级标题"/>
    <w:basedOn w:val="2"/>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qFormat/>
    <w:uiPriority w:val="0"/>
    <w:pPr>
      <w:adjustRightInd/>
      <w:ind w:left="420" w:leftChars="200"/>
      <w:jc w:val="left"/>
    </w:pPr>
    <w:rPr>
      <w:sz w:val="28"/>
      <w:szCs w:val="20"/>
      <w:lang w:eastAsia="zh-TW"/>
    </w:rPr>
  </w:style>
  <w:style w:type="paragraph" w:customStyle="1" w:styleId="477">
    <w:name w:val="Char2 Char Char"/>
    <w:basedOn w:val="1"/>
    <w:qFormat/>
    <w:uiPriority w:val="0"/>
    <w:pPr>
      <w:adjustRightInd/>
    </w:pPr>
    <w:rPr>
      <w:rFonts w:ascii="Tahoma" w:hAnsi="Tahoma"/>
      <w:sz w:val="24"/>
      <w:szCs w:val="20"/>
    </w:rPr>
  </w:style>
  <w:style w:type="paragraph" w:customStyle="1" w:styleId="478">
    <w:name w:val="_Style 11"/>
    <w:basedOn w:val="1"/>
    <w:qFormat/>
    <w:uiPriority w:val="34"/>
    <w:pPr>
      <w:adjustRightInd/>
      <w:ind w:firstLine="420" w:firstLineChars="200"/>
    </w:pPr>
    <w:rPr>
      <w:rFonts w:eastAsia="仿宋_GB2312"/>
      <w:sz w:val="28"/>
    </w:rPr>
  </w:style>
  <w:style w:type="paragraph" w:customStyle="1" w:styleId="479">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qFormat/>
    <w:uiPriority w:val="0"/>
    <w:rPr>
      <w:rFonts w:ascii="Tahoma" w:hAnsi="Tahoma"/>
      <w:sz w:val="24"/>
      <w:szCs w:val="20"/>
    </w:rPr>
  </w:style>
  <w:style w:type="paragraph" w:customStyle="1" w:styleId="481">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3">
    <w:name w:val="No Spacing"/>
    <w:basedOn w:val="1"/>
    <w:link w:val="932"/>
    <w:qFormat/>
    <w:uiPriority w:val="99"/>
    <w:rPr>
      <w:szCs w:val="22"/>
    </w:rPr>
  </w:style>
  <w:style w:type="paragraph" w:customStyle="1" w:styleId="484">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qFormat/>
    <w:uiPriority w:val="6"/>
    <w:rPr>
      <w:rFonts w:ascii="Tahoma" w:hAnsi="Tahoma" w:cs="仿宋_GB2312"/>
      <w:sz w:val="24"/>
      <w:szCs w:val="20"/>
    </w:rPr>
  </w:style>
  <w:style w:type="paragraph" w:customStyle="1" w:styleId="486">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4"/>
    <w:qFormat/>
    <w:uiPriority w:val="0"/>
    <w:pPr>
      <w:tabs>
        <w:tab w:val="left" w:pos="1260"/>
      </w:tabs>
      <w:ind w:left="1260" w:hanging="420"/>
    </w:pPr>
    <w:rPr>
      <w:rFonts w:ascii="Arial" w:hAnsi="Arial" w:eastAsia="黑体"/>
      <w:lang w:val="en-US"/>
    </w:rPr>
  </w:style>
  <w:style w:type="paragraph" w:customStyle="1" w:styleId="490">
    <w:name w:val="五级无标题条"/>
    <w:basedOn w:val="1"/>
    <w:qFormat/>
    <w:uiPriority w:val="0"/>
    <w:pPr>
      <w:adjustRightInd/>
    </w:pPr>
  </w:style>
  <w:style w:type="paragraph" w:customStyle="1" w:styleId="491">
    <w:name w:val="Char5"/>
    <w:basedOn w:val="1"/>
    <w:qFormat/>
    <w:uiPriority w:val="0"/>
    <w:rPr>
      <w:rFonts w:ascii="仿宋_GB2312" w:eastAsia="仿宋_GB2312"/>
      <w:b/>
      <w:sz w:val="32"/>
      <w:szCs w:val="32"/>
    </w:rPr>
  </w:style>
  <w:style w:type="paragraph" w:customStyle="1" w:styleId="492">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qFormat/>
    <w:uiPriority w:val="0"/>
    <w:rPr>
      <w:rFonts w:ascii="仿宋_GB2312" w:eastAsia="仿宋_GB2312"/>
      <w:b/>
      <w:sz w:val="32"/>
      <w:szCs w:val="32"/>
    </w:rPr>
  </w:style>
  <w:style w:type="paragraph" w:customStyle="1" w:styleId="496">
    <w:name w:val="数字标题3"/>
    <w:basedOn w:val="5"/>
    <w:next w:val="1"/>
    <w:qFormat/>
    <w:uiPriority w:val="0"/>
    <w:pPr>
      <w:spacing w:line="240" w:lineRule="auto"/>
    </w:pPr>
    <w:rPr>
      <w:sz w:val="28"/>
      <w:szCs w:val="28"/>
    </w:rPr>
  </w:style>
  <w:style w:type="paragraph" w:customStyle="1" w:styleId="497">
    <w:name w:val="FA正文"/>
    <w:basedOn w:val="1"/>
    <w:qFormat/>
    <w:uiPriority w:val="0"/>
    <w:pPr>
      <w:spacing w:line="360" w:lineRule="auto"/>
      <w:ind w:firstLine="480" w:firstLineChars="200"/>
    </w:pPr>
    <w:rPr>
      <w:rFonts w:hAnsi="宋体"/>
      <w:sz w:val="24"/>
      <w:szCs w:val="20"/>
    </w:rPr>
  </w:style>
  <w:style w:type="paragraph" w:customStyle="1" w:styleId="498">
    <w:name w:val="MM Topic 5"/>
    <w:basedOn w:val="7"/>
    <w:qFormat/>
    <w:uiPriority w:val="0"/>
    <w:pPr>
      <w:tabs>
        <w:tab w:val="left" w:pos="2520"/>
      </w:tabs>
      <w:adjustRightInd/>
      <w:ind w:left="2520" w:hanging="420"/>
    </w:pPr>
  </w:style>
  <w:style w:type="paragraph" w:customStyle="1" w:styleId="499">
    <w:name w:val="Char Char Char Char Char Char Char Char Char Char1"/>
    <w:basedOn w:val="1"/>
    <w:qFormat/>
    <w:uiPriority w:val="0"/>
    <w:rPr>
      <w:rFonts w:ascii="仿宋_GB2312" w:eastAsia="仿宋_GB2312"/>
      <w:b/>
      <w:sz w:val="32"/>
      <w:szCs w:val="32"/>
    </w:rPr>
  </w:style>
  <w:style w:type="paragraph" w:customStyle="1" w:styleId="500">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qFormat/>
    <w:uiPriority w:val="3"/>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qFormat/>
    <w:uiPriority w:val="0"/>
    <w:rPr>
      <w:rFonts w:ascii="仿宋_GB2312" w:eastAsia="仿宋_GB2312"/>
      <w:b/>
      <w:sz w:val="32"/>
      <w:szCs w:val="32"/>
    </w:rPr>
  </w:style>
  <w:style w:type="paragraph" w:customStyle="1" w:styleId="503">
    <w:name w:val="Char2 Char Char Char1"/>
    <w:basedOn w:val="1"/>
    <w:qFormat/>
    <w:uiPriority w:val="6"/>
    <w:rPr>
      <w:rFonts w:ascii="仿宋_GB2312" w:eastAsia="仿宋_GB2312"/>
      <w:b/>
      <w:sz w:val="32"/>
      <w:szCs w:val="32"/>
    </w:rPr>
  </w:style>
  <w:style w:type="paragraph" w:customStyle="1" w:styleId="504">
    <w:name w:val="默认段落样式"/>
    <w:basedOn w:val="131"/>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qFormat/>
    <w:uiPriority w:val="0"/>
    <w:pPr>
      <w:snapToGrid w:val="0"/>
      <w:spacing w:line="0" w:lineRule="atLeast"/>
      <w:ind w:firstLine="200" w:firstLineChars="200"/>
      <w:jc w:val="center"/>
    </w:pPr>
    <w:rPr>
      <w:sz w:val="24"/>
      <w:szCs w:val="20"/>
    </w:rPr>
  </w:style>
  <w:style w:type="paragraph" w:customStyle="1" w:styleId="506">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5"/>
    <w:qFormat/>
    <w:uiPriority w:val="0"/>
    <w:pPr>
      <w:tabs>
        <w:tab w:val="left" w:pos="1680"/>
      </w:tabs>
      <w:adjustRightInd/>
      <w:ind w:left="1680" w:hanging="420"/>
    </w:pPr>
  </w:style>
  <w:style w:type="paragraph" w:customStyle="1" w:styleId="508">
    <w:name w:val="标准小四"/>
    <w:basedOn w:val="1"/>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qFormat/>
    <w:uiPriority w:val="0"/>
    <w:pPr>
      <w:adjustRightInd/>
      <w:snapToGrid w:val="0"/>
      <w:spacing w:line="300" w:lineRule="auto"/>
    </w:pPr>
    <w:rPr>
      <w:rFonts w:eastAsia="仿宋"/>
      <w:szCs w:val="21"/>
    </w:rPr>
  </w:style>
  <w:style w:type="paragraph" w:customStyle="1" w:styleId="51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qFormat/>
    <w:uiPriority w:val="6"/>
    <w:pPr>
      <w:adjustRightInd/>
    </w:pPr>
    <w:rPr>
      <w:rFonts w:ascii="Tahoma" w:hAnsi="Tahoma"/>
      <w:sz w:val="24"/>
      <w:szCs w:val="20"/>
    </w:rPr>
  </w:style>
  <w:style w:type="paragraph" w:customStyle="1" w:styleId="513">
    <w:name w:val="列出段落5"/>
    <w:basedOn w:val="1"/>
    <w:qFormat/>
    <w:uiPriority w:val="0"/>
    <w:pPr>
      <w:spacing w:line="360" w:lineRule="auto"/>
      <w:ind w:firstLine="200" w:firstLineChars="200"/>
    </w:pPr>
    <w:rPr>
      <w:rFonts w:eastAsia="楷体_GB2312" w:cs="Lucida Sans"/>
      <w:sz w:val="24"/>
    </w:rPr>
  </w:style>
  <w:style w:type="paragraph" w:customStyle="1" w:styleId="514">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1"/>
    <w:next w:val="16"/>
    <w:qFormat/>
    <w:uiPriority w:val="0"/>
    <w:pPr>
      <w:adjustRightInd/>
      <w:ind w:firstLine="200" w:firstLineChars="200"/>
    </w:pPr>
    <w:rPr>
      <w:rFonts w:ascii="Arial" w:hAnsi="Arial"/>
      <w:spacing w:val="-5"/>
      <w:kern w:val="0"/>
      <w:sz w:val="24"/>
      <w:szCs w:val="20"/>
    </w:rPr>
  </w:style>
  <w:style w:type="paragraph" w:customStyle="1" w:styleId="516">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0">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qFormat/>
    <w:uiPriority w:val="0"/>
    <w:pPr>
      <w:adjustRightInd/>
      <w:ind w:firstLine="420" w:firstLineChars="200"/>
    </w:pPr>
    <w:rPr>
      <w:rFonts w:eastAsia="仿宋_GB2312"/>
      <w:sz w:val="28"/>
    </w:rPr>
  </w:style>
  <w:style w:type="paragraph" w:customStyle="1" w:styleId="522">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qFormat/>
    <w:uiPriority w:val="0"/>
    <w:pPr>
      <w:adjustRightInd/>
      <w:ind w:firstLine="200" w:firstLineChars="200"/>
      <w:jc w:val="right"/>
    </w:pPr>
  </w:style>
  <w:style w:type="paragraph" w:customStyle="1" w:styleId="525">
    <w:name w:val="Char Char11 Char Char Char Char Char Char Char Char Char"/>
    <w:basedOn w:val="1"/>
    <w:qFormat/>
    <w:uiPriority w:val="0"/>
    <w:pPr>
      <w:spacing w:line="360" w:lineRule="auto"/>
    </w:pPr>
    <w:rPr>
      <w:szCs w:val="20"/>
    </w:rPr>
  </w:style>
  <w:style w:type="paragraph" w:customStyle="1" w:styleId="526">
    <w:name w:val="正文1.25"/>
    <w:basedOn w:val="1"/>
    <w:qFormat/>
    <w:uiPriority w:val="0"/>
    <w:pPr>
      <w:adjustRightInd/>
      <w:spacing w:line="300" w:lineRule="auto"/>
      <w:ind w:firstLine="480" w:firstLineChars="200"/>
    </w:pPr>
    <w:rPr>
      <w:sz w:val="24"/>
      <w:szCs w:val="20"/>
    </w:rPr>
  </w:style>
  <w:style w:type="paragraph" w:customStyle="1" w:styleId="527">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qFormat/>
    <w:uiPriority w:val="6"/>
    <w:rPr>
      <w:rFonts w:ascii="仿宋_GB2312" w:eastAsia="仿宋_GB2312"/>
      <w:b/>
      <w:sz w:val="32"/>
      <w:szCs w:val="20"/>
    </w:rPr>
  </w:style>
  <w:style w:type="paragraph" w:customStyle="1" w:styleId="531">
    <w:name w:val="列出段落2"/>
    <w:basedOn w:val="1"/>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qFormat/>
    <w:uiPriority w:val="0"/>
    <w:rPr>
      <w:rFonts w:eastAsia="仿宋_GB2312"/>
      <w:sz w:val="28"/>
      <w:szCs w:val="20"/>
    </w:rPr>
  </w:style>
  <w:style w:type="paragraph" w:customStyle="1" w:styleId="533">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6"/>
    <w:qFormat/>
    <w:uiPriority w:val="0"/>
    <w:pPr>
      <w:widowControl/>
      <w:jc w:val="left"/>
    </w:pPr>
    <w:rPr>
      <w:rFonts w:cs="宋体"/>
      <w:sz w:val="24"/>
      <w:szCs w:val="20"/>
    </w:rPr>
  </w:style>
  <w:style w:type="paragraph" w:customStyle="1" w:styleId="535">
    <w:name w:val="彩色列表 - 强调文字颜色 11"/>
    <w:basedOn w:val="1"/>
    <w:qFormat/>
    <w:uiPriority w:val="0"/>
    <w:pPr>
      <w:adjustRightInd/>
      <w:ind w:firstLine="420" w:firstLineChars="200"/>
    </w:pPr>
    <w:rPr>
      <w:rFonts w:ascii="Calibri" w:hAnsi="Calibri"/>
      <w:szCs w:val="22"/>
    </w:rPr>
  </w:style>
  <w:style w:type="paragraph" w:customStyle="1" w:styleId="536">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7">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qFormat/>
    <w:uiPriority w:val="6"/>
    <w:rPr>
      <w:szCs w:val="20"/>
    </w:rPr>
  </w:style>
  <w:style w:type="paragraph" w:customStyle="1" w:styleId="540">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80"/>
    <w:next w:val="80"/>
    <w:qFormat/>
    <w:uiPriority w:val="0"/>
    <w:pPr>
      <w:spacing w:after="68"/>
    </w:pPr>
    <w:rPr>
      <w:rFonts w:ascii="FHLHE E+ Futura Bk" w:eastAsia="FHLHE E+ Futura Bk" w:cs="Times New Roman"/>
      <w:color w:val="auto"/>
    </w:rPr>
  </w:style>
  <w:style w:type="paragraph" w:customStyle="1" w:styleId="546">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80"/>
    <w:next w:val="80"/>
    <w:qFormat/>
    <w:uiPriority w:val="0"/>
    <w:rPr>
      <w:rFonts w:ascii="宋体" w:eastAsia="宋体" w:cs="Times New Roman"/>
      <w:color w:val="auto"/>
    </w:rPr>
  </w:style>
  <w:style w:type="paragraph" w:customStyle="1" w:styleId="550">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qFormat/>
    <w:uiPriority w:val="0"/>
    <w:rPr>
      <w:rFonts w:ascii="仿宋_GB2312" w:eastAsia="仿宋_GB2312"/>
      <w:b/>
      <w:sz w:val="32"/>
      <w:szCs w:val="32"/>
    </w:rPr>
  </w:style>
  <w:style w:type="paragraph" w:customStyle="1" w:styleId="552">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qFormat/>
    <w:uiPriority w:val="0"/>
    <w:pPr>
      <w:spacing w:line="360" w:lineRule="auto"/>
    </w:pPr>
    <w:rPr>
      <w:szCs w:val="20"/>
    </w:rPr>
  </w:style>
  <w:style w:type="paragraph" w:customStyle="1" w:styleId="555">
    <w:name w:val="Char"/>
    <w:basedOn w:val="1"/>
    <w:qFormat/>
    <w:uiPriority w:val="0"/>
    <w:rPr>
      <w:rFonts w:ascii="仿宋_GB2312" w:eastAsia="仿宋_GB2312"/>
      <w:b/>
      <w:sz w:val="32"/>
      <w:szCs w:val="32"/>
    </w:rPr>
  </w:style>
  <w:style w:type="paragraph" w:customStyle="1" w:styleId="556">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qFormat/>
    <w:uiPriority w:val="0"/>
    <w:rPr>
      <w:szCs w:val="20"/>
    </w:rPr>
  </w:style>
  <w:style w:type="paragraph" w:customStyle="1" w:styleId="559">
    <w:name w:val="正文标准"/>
    <w:basedOn w:val="1"/>
    <w:qFormat/>
    <w:uiPriority w:val="0"/>
    <w:pPr>
      <w:adjustRightInd/>
      <w:spacing w:line="360" w:lineRule="auto"/>
      <w:ind w:firstLine="200" w:firstLineChars="200"/>
    </w:pPr>
    <w:rPr>
      <w:rFonts w:ascii="宋体" w:hAnsi="Calibri"/>
      <w:sz w:val="24"/>
    </w:rPr>
  </w:style>
  <w:style w:type="paragraph" w:customStyle="1" w:styleId="560">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2">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4">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1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2">
    <w:name w:val="Char Char Char Char Char Char Char Char Char Char"/>
    <w:basedOn w:val="1"/>
    <w:qFormat/>
    <w:uiPriority w:val="0"/>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4">
    <w:name w:val="_正文段落"/>
    <w:basedOn w:val="1"/>
    <w:qFormat/>
    <w:uiPriority w:val="0"/>
    <w:pPr>
      <w:adjustRightInd/>
      <w:ind w:firstLine="560"/>
    </w:pPr>
    <w:rPr>
      <w:rFonts w:ascii="仿宋_GB2312" w:hAnsi="仿宋" w:eastAsia="仿宋_GB2312"/>
      <w:kern w:val="0"/>
      <w:sz w:val="28"/>
      <w:szCs w:val="28"/>
    </w:rPr>
  </w:style>
  <w:style w:type="paragraph" w:customStyle="1" w:styleId="575">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17"/>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qFormat/>
    <w:uiPriority w:val="0"/>
    <w:rPr>
      <w:szCs w:val="20"/>
    </w:rPr>
  </w:style>
  <w:style w:type="paragraph" w:customStyle="1" w:styleId="582">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qFormat/>
    <w:uiPriority w:val="0"/>
    <w:rPr>
      <w:rFonts w:ascii="Tahoma" w:hAnsi="Tahoma"/>
      <w:sz w:val="24"/>
      <w:szCs w:val="20"/>
    </w:rPr>
  </w:style>
  <w:style w:type="paragraph" w:customStyle="1" w:styleId="584">
    <w:name w:val="标题五"/>
    <w:basedOn w:val="1"/>
    <w:qFormat/>
    <w:uiPriority w:val="0"/>
    <w:pPr>
      <w:adjustRightInd/>
      <w:spacing w:before="156" w:beforeLines="50" w:line="360" w:lineRule="auto"/>
    </w:pPr>
    <w:rPr>
      <w:b/>
      <w:sz w:val="24"/>
    </w:rPr>
  </w:style>
  <w:style w:type="paragraph" w:customStyle="1" w:styleId="585">
    <w:name w:val="Char Char1101"/>
    <w:basedOn w:val="1"/>
    <w:qFormat/>
    <w:uiPriority w:val="0"/>
    <w:pPr>
      <w:spacing w:line="360" w:lineRule="auto"/>
    </w:pPr>
    <w:rPr>
      <w:rFonts w:ascii="Tahoma" w:hAnsi="Tahoma"/>
      <w:sz w:val="24"/>
      <w:szCs w:val="20"/>
    </w:rPr>
  </w:style>
  <w:style w:type="paragraph" w:customStyle="1" w:styleId="586">
    <w:name w:val="Char Char Char Char Char Char Char Char1"/>
    <w:basedOn w:val="1"/>
    <w:qFormat/>
    <w:uiPriority w:val="0"/>
    <w:pPr>
      <w:tabs>
        <w:tab w:val="left" w:pos="360"/>
      </w:tabs>
    </w:pPr>
    <w:rPr>
      <w:sz w:val="24"/>
      <w:szCs w:val="20"/>
    </w:rPr>
  </w:style>
  <w:style w:type="paragraph" w:customStyle="1" w:styleId="587">
    <w:name w:val="Char Char Char 字元 字元"/>
    <w:basedOn w:val="1"/>
    <w:qFormat/>
    <w:uiPriority w:val="0"/>
    <w:pPr>
      <w:adjustRightInd/>
      <w:spacing w:line="360" w:lineRule="auto"/>
      <w:ind w:firstLine="200" w:firstLineChars="200"/>
    </w:pPr>
    <w:rPr>
      <w:szCs w:val="20"/>
    </w:rPr>
  </w:style>
  <w:style w:type="paragraph" w:customStyle="1" w:styleId="588">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qFormat/>
    <w:uiPriority w:val="0"/>
    <w:rPr>
      <w:rFonts w:ascii="仿宋_GB2312" w:eastAsia="仿宋_GB2312"/>
      <w:b/>
      <w:sz w:val="32"/>
      <w:szCs w:val="32"/>
    </w:rPr>
  </w:style>
  <w:style w:type="paragraph" w:customStyle="1" w:styleId="590">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4">
    <w:name w:val="批注框文本 Char Char"/>
    <w:basedOn w:val="1"/>
    <w:qFormat/>
    <w:uiPriority w:val="0"/>
    <w:pPr>
      <w:adjustRightInd/>
    </w:pPr>
    <w:rPr>
      <w:sz w:val="18"/>
      <w:szCs w:val="20"/>
    </w:rPr>
  </w:style>
  <w:style w:type="paragraph" w:customStyle="1" w:styleId="595">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qFormat/>
    <w:uiPriority w:val="99"/>
    <w:pPr>
      <w:adjustRightInd/>
      <w:spacing w:line="360" w:lineRule="auto"/>
    </w:pPr>
    <w:rPr>
      <w:rFonts w:ascii="仿宋_GB2312" w:eastAsia="仿宋_GB2312"/>
      <w:sz w:val="24"/>
      <w:szCs w:val="20"/>
    </w:rPr>
  </w:style>
  <w:style w:type="paragraph" w:customStyle="1" w:styleId="600">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17"/>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6"/>
    <w:qFormat/>
    <w:uiPriority w:val="0"/>
    <w:pPr>
      <w:snapToGrid w:val="0"/>
      <w:spacing w:line="360" w:lineRule="auto"/>
    </w:pPr>
    <w:rPr>
      <w:rFonts w:ascii="宋体"/>
      <w:b/>
      <w:sz w:val="24"/>
      <w:szCs w:val="20"/>
    </w:rPr>
  </w:style>
  <w:style w:type="paragraph" w:customStyle="1" w:styleId="605">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6">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qFormat/>
    <w:uiPriority w:val="7"/>
    <w:pPr>
      <w:adjustRightInd/>
    </w:pPr>
    <w:rPr>
      <w:rFonts w:ascii="宋体" w:hAnsi="Courier New"/>
    </w:rPr>
  </w:style>
  <w:style w:type="paragraph" w:customStyle="1" w:styleId="608">
    <w:name w:val="Char3"/>
    <w:basedOn w:val="1"/>
    <w:qFormat/>
    <w:uiPriority w:val="0"/>
    <w:pPr>
      <w:adjustRightInd/>
    </w:pPr>
    <w:rPr>
      <w:rFonts w:ascii="仿宋_GB2312" w:eastAsia="仿宋_GB2312"/>
      <w:b/>
      <w:sz w:val="32"/>
      <w:szCs w:val="32"/>
    </w:rPr>
  </w:style>
  <w:style w:type="paragraph" w:customStyle="1" w:styleId="609">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qFormat/>
    <w:uiPriority w:val="0"/>
    <w:pPr>
      <w:widowControl/>
      <w:adjustRightInd/>
      <w:spacing w:after="160" w:line="240" w:lineRule="exact"/>
      <w:jc w:val="left"/>
    </w:pPr>
    <w:rPr>
      <w:szCs w:val="20"/>
    </w:rPr>
  </w:style>
  <w:style w:type="paragraph" w:customStyle="1" w:styleId="617">
    <w:name w:val="表格标题2"/>
    <w:basedOn w:val="618"/>
    <w:qFormat/>
    <w:uiPriority w:val="0"/>
    <w:rPr>
      <w:b/>
    </w:rPr>
  </w:style>
  <w:style w:type="paragraph" w:customStyle="1" w:styleId="618">
    <w:name w:val="表格内文"/>
    <w:basedOn w:val="1"/>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qFormat/>
    <w:uiPriority w:val="0"/>
    <w:rPr>
      <w:rFonts w:ascii="仿宋_GB2312" w:eastAsia="仿宋_GB2312"/>
      <w:b/>
      <w:sz w:val="32"/>
      <w:szCs w:val="32"/>
    </w:rPr>
  </w:style>
  <w:style w:type="paragraph" w:customStyle="1" w:styleId="620">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qFormat/>
    <w:uiPriority w:val="0"/>
    <w:pPr>
      <w:spacing w:line="360" w:lineRule="auto"/>
    </w:pPr>
    <w:rPr>
      <w:szCs w:val="20"/>
    </w:rPr>
  </w:style>
  <w:style w:type="paragraph" w:customStyle="1" w:styleId="623">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5">
    <w:name w:val="MM Topic 1"/>
    <w:basedOn w:val="3"/>
    <w:qFormat/>
    <w:uiPriority w:val="0"/>
    <w:pPr>
      <w:tabs>
        <w:tab w:val="left" w:pos="840"/>
      </w:tabs>
      <w:adjustRightInd/>
      <w:ind w:left="840" w:hanging="420"/>
    </w:pPr>
  </w:style>
  <w:style w:type="paragraph" w:customStyle="1" w:styleId="626">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qFormat/>
    <w:uiPriority w:val="0"/>
    <w:pPr>
      <w:spacing w:line="360" w:lineRule="auto"/>
      <w:ind w:firstLine="200" w:firstLineChars="200"/>
    </w:pPr>
    <w:rPr>
      <w:kern w:val="0"/>
      <w:sz w:val="24"/>
      <w:szCs w:val="20"/>
    </w:rPr>
  </w:style>
  <w:style w:type="paragraph" w:customStyle="1" w:styleId="628">
    <w:name w:val="表格"/>
    <w:basedOn w:val="1"/>
    <w:qFormat/>
    <w:uiPriority w:val="0"/>
    <w:pPr>
      <w:snapToGrid w:val="0"/>
      <w:ind w:firstLine="42" w:firstLineChars="21"/>
    </w:pPr>
    <w:rPr>
      <w:rFonts w:ascii="宋体" w:hAnsi="宋体"/>
      <w:kern w:val="0"/>
      <w:sz w:val="20"/>
      <w:szCs w:val="20"/>
    </w:rPr>
  </w:style>
  <w:style w:type="paragraph" w:customStyle="1" w:styleId="629">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qFormat/>
    <w:uiPriority w:val="0"/>
    <w:pPr>
      <w:adjustRightInd/>
      <w:spacing w:line="300" w:lineRule="auto"/>
      <w:jc w:val="center"/>
    </w:pPr>
  </w:style>
  <w:style w:type="paragraph" w:customStyle="1" w:styleId="634">
    <w:name w:val="_Style 6"/>
    <w:basedOn w:val="1"/>
    <w:qFormat/>
    <w:uiPriority w:val="34"/>
    <w:pPr>
      <w:adjustRightInd/>
      <w:ind w:firstLine="420" w:firstLineChars="200"/>
    </w:pPr>
    <w:rPr>
      <w:rFonts w:eastAsia="仿宋_GB2312"/>
      <w:sz w:val="28"/>
    </w:rPr>
  </w:style>
  <w:style w:type="paragraph" w:customStyle="1" w:styleId="635">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2">
    <w:name w:val="trademark"/>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qFormat/>
    <w:uiPriority w:val="0"/>
    <w:rPr>
      <w:rFonts w:ascii="仿宋_GB2312" w:eastAsia="仿宋_GB2312"/>
      <w:b/>
      <w:sz w:val="32"/>
      <w:szCs w:val="20"/>
    </w:rPr>
  </w:style>
  <w:style w:type="paragraph" w:customStyle="1" w:styleId="645">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qFormat/>
    <w:uiPriority w:val="0"/>
    <w:pPr>
      <w:adjustRightInd/>
      <w:ind w:firstLine="200" w:firstLineChars="200"/>
    </w:pPr>
    <w:rPr>
      <w:rFonts w:ascii="Tahoma" w:hAnsi="Tahoma"/>
      <w:sz w:val="24"/>
      <w:szCs w:val="20"/>
    </w:rPr>
  </w:style>
  <w:style w:type="paragraph" w:customStyle="1" w:styleId="647">
    <w:name w:val="a1"/>
    <w:basedOn w:val="1"/>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qFormat/>
    <w:uiPriority w:val="0"/>
    <w:pPr>
      <w:spacing w:after="156" w:afterLines="50"/>
      <w:jc w:val="left"/>
      <w:outlineLvl w:val="3"/>
    </w:pPr>
    <w:rPr>
      <w:sz w:val="24"/>
      <w:szCs w:val="24"/>
    </w:rPr>
  </w:style>
  <w:style w:type="paragraph" w:customStyle="1" w:styleId="649">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0"/>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qFormat/>
    <w:uiPriority w:val="0"/>
    <w:pPr>
      <w:adjustRightInd/>
    </w:pPr>
    <w:rPr>
      <w:rFonts w:ascii="Tahoma" w:hAnsi="Tahoma"/>
      <w:sz w:val="24"/>
      <w:szCs w:val="20"/>
    </w:rPr>
  </w:style>
  <w:style w:type="paragraph" w:customStyle="1" w:styleId="654">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qFormat/>
    <w:uiPriority w:val="0"/>
    <w:pPr>
      <w:tabs>
        <w:tab w:val="left" w:pos="1260"/>
        <w:tab w:val="left" w:pos="1680"/>
        <w:tab w:val="left" w:pos="2100"/>
      </w:tabs>
      <w:ind w:left="0"/>
      <w:outlineLvl w:val="3"/>
    </w:pPr>
  </w:style>
  <w:style w:type="paragraph" w:customStyle="1" w:styleId="657">
    <w:name w:val="一级条标题"/>
    <w:basedOn w:val="658"/>
    <w:next w:val="640"/>
    <w:qFormat/>
    <w:uiPriority w:val="0"/>
    <w:pPr>
      <w:tabs>
        <w:tab w:val="left" w:pos="1260"/>
        <w:tab w:val="left" w:pos="1680"/>
      </w:tabs>
      <w:spacing w:before="0" w:beforeLines="0" w:after="0" w:afterLines="0"/>
      <w:ind w:left="1680"/>
      <w:outlineLvl w:val="2"/>
    </w:pPr>
  </w:style>
  <w:style w:type="paragraph" w:customStyle="1" w:styleId="658">
    <w:name w:val="章标题"/>
    <w:next w:val="640"/>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qFormat/>
    <w:uiPriority w:val="0"/>
    <w:pPr>
      <w:tabs>
        <w:tab w:val="left" w:pos="840"/>
      </w:tabs>
      <w:spacing w:after="0"/>
      <w:ind w:left="900"/>
    </w:pPr>
  </w:style>
  <w:style w:type="paragraph" w:customStyle="1" w:styleId="666">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qFormat/>
    <w:uiPriority w:val="6"/>
    <w:pPr>
      <w:widowControl/>
      <w:adjustRightInd/>
      <w:ind w:left="720" w:hanging="720"/>
    </w:pPr>
    <w:rPr>
      <w:color w:val="000000"/>
      <w:kern w:val="0"/>
      <w:sz w:val="24"/>
      <w:szCs w:val="20"/>
      <w:lang w:val="en-GB"/>
    </w:rPr>
  </w:style>
  <w:style w:type="paragraph" w:customStyle="1" w:styleId="668">
    <w:name w:val="表1"/>
    <w:basedOn w:val="1"/>
    <w:qFormat/>
    <w:uiPriority w:val="0"/>
    <w:pPr>
      <w:tabs>
        <w:tab w:val="left" w:pos="703"/>
      </w:tabs>
      <w:adjustRightInd/>
      <w:spacing w:line="360" w:lineRule="auto"/>
      <w:ind w:left="703"/>
      <w:jc w:val="center"/>
    </w:pPr>
  </w:style>
  <w:style w:type="paragraph" w:customStyle="1" w:styleId="669">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2">
    <w:name w:val="2级标题"/>
    <w:basedOn w:val="673"/>
    <w:qFormat/>
    <w:uiPriority w:val="0"/>
    <w:pPr>
      <w:jc w:val="left"/>
      <w:outlineLvl w:val="1"/>
    </w:pPr>
    <w:rPr>
      <w:rFonts w:ascii="Times New Roman" w:hAnsi="Times New Roman" w:eastAsia="仿宋"/>
      <w:sz w:val="30"/>
    </w:rPr>
  </w:style>
  <w:style w:type="paragraph" w:customStyle="1" w:styleId="673">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4">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qFormat/>
    <w:uiPriority w:val="0"/>
    <w:pPr>
      <w:tabs>
        <w:tab w:val="left" w:pos="840"/>
      </w:tabs>
      <w:adjustRightInd/>
      <w:ind w:left="840" w:hanging="420"/>
    </w:pPr>
  </w:style>
  <w:style w:type="paragraph" w:customStyle="1" w:styleId="679">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6"/>
    <w:qFormat/>
    <w:uiPriority w:val="0"/>
    <w:pPr>
      <w:tabs>
        <w:tab w:val="left" w:pos="2100"/>
      </w:tabs>
      <w:adjustRightInd/>
      <w:ind w:left="2100" w:hanging="420"/>
    </w:pPr>
    <w:rPr>
      <w:lang w:val="en-US"/>
    </w:rPr>
  </w:style>
  <w:style w:type="paragraph" w:customStyle="1" w:styleId="687">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8">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qFormat/>
    <w:uiPriority w:val="6"/>
    <w:pPr>
      <w:spacing w:line="360" w:lineRule="auto"/>
    </w:pPr>
    <w:rPr>
      <w:szCs w:val="20"/>
    </w:rPr>
  </w:style>
  <w:style w:type="paragraph" w:customStyle="1" w:styleId="690">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6">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qFormat/>
    <w:uiPriority w:val="0"/>
    <w:pPr>
      <w:adjustRightInd/>
      <w:spacing w:line="360" w:lineRule="auto"/>
      <w:jc w:val="center"/>
    </w:pPr>
    <w:rPr>
      <w:sz w:val="24"/>
    </w:rPr>
  </w:style>
  <w:style w:type="paragraph" w:customStyle="1" w:styleId="700">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qFormat/>
    <w:uiPriority w:val="6"/>
    <w:rPr>
      <w:rFonts w:ascii="仿宋_GB2312" w:eastAsia="仿宋_GB2312"/>
      <w:b/>
      <w:sz w:val="32"/>
      <w:szCs w:val="32"/>
    </w:rPr>
  </w:style>
  <w:style w:type="paragraph" w:customStyle="1" w:styleId="702">
    <w:name w:val="正文缩进1"/>
    <w:basedOn w:val="1"/>
    <w:next w:val="17"/>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qFormat/>
    <w:uiPriority w:val="0"/>
    <w:pPr>
      <w:widowControl/>
      <w:adjustRightInd/>
      <w:spacing w:after="160" w:line="240" w:lineRule="exact"/>
      <w:jc w:val="left"/>
    </w:pPr>
    <w:rPr>
      <w:szCs w:val="20"/>
    </w:rPr>
  </w:style>
  <w:style w:type="paragraph" w:customStyle="1" w:styleId="705">
    <w:name w:val="Char Char1121"/>
    <w:basedOn w:val="1"/>
    <w:qFormat/>
    <w:uiPriority w:val="0"/>
    <w:pPr>
      <w:spacing w:line="360" w:lineRule="auto"/>
    </w:pPr>
    <w:rPr>
      <w:szCs w:val="20"/>
    </w:rPr>
  </w:style>
  <w:style w:type="paragraph" w:customStyle="1" w:styleId="706">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qFormat/>
    <w:uiPriority w:val="0"/>
    <w:rPr>
      <w:rFonts w:ascii="Times New Roman" w:hAnsi="Times New Roman" w:eastAsia="宋体" w:cs="Times New Roman"/>
      <w:lang w:val="en-US" w:eastAsia="en-US" w:bidi="ar-SA"/>
    </w:rPr>
  </w:style>
  <w:style w:type="paragraph" w:customStyle="1" w:styleId="709">
    <w:name w:val="带编号样式"/>
    <w:basedOn w:val="627"/>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qFormat/>
    <w:uiPriority w:val="0"/>
    <w:pPr>
      <w:spacing w:line="360" w:lineRule="atLeast"/>
      <w:jc w:val="right"/>
      <w:textAlignment w:val="baseline"/>
    </w:pPr>
    <w:rPr>
      <w:rFonts w:ascii="Symbol" w:hAnsi="Symbol"/>
      <w:kern w:val="0"/>
      <w:szCs w:val="20"/>
    </w:rPr>
  </w:style>
  <w:style w:type="paragraph" w:customStyle="1" w:styleId="713">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qFormat/>
    <w:uiPriority w:val="0"/>
    <w:pPr>
      <w:spacing w:line="240" w:lineRule="atLeast"/>
      <w:ind w:left="420" w:firstLine="420"/>
    </w:pPr>
    <w:rPr>
      <w:sz w:val="24"/>
    </w:rPr>
  </w:style>
  <w:style w:type="paragraph" w:customStyle="1" w:styleId="716">
    <w:name w:val="WW-正文文字缩进 2"/>
    <w:basedOn w:val="1"/>
    <w:qFormat/>
    <w:uiPriority w:val="0"/>
    <w:pPr>
      <w:suppressAutoHyphens/>
      <w:adjustRightInd/>
      <w:ind w:firstLine="420"/>
    </w:pPr>
    <w:rPr>
      <w:kern w:val="1"/>
      <w:szCs w:val="20"/>
    </w:rPr>
  </w:style>
  <w:style w:type="paragraph" w:customStyle="1" w:styleId="717">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qFormat/>
    <w:uiPriority w:val="0"/>
    <w:pPr>
      <w:adjustRightInd/>
      <w:spacing w:line="400" w:lineRule="exact"/>
      <w:ind w:firstLine="200" w:firstLineChars="200"/>
    </w:pPr>
    <w:rPr>
      <w:rFonts w:ascii="Arial" w:hAnsi="Arial"/>
    </w:rPr>
  </w:style>
  <w:style w:type="paragraph" w:customStyle="1" w:styleId="720">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37"/>
    <w:qFormat/>
    <w:uiPriority w:val="0"/>
    <w:pPr>
      <w:spacing w:after="120" w:line="480" w:lineRule="auto"/>
      <w:ind w:left="420" w:leftChars="200"/>
    </w:pPr>
    <w:rPr>
      <w:sz w:val="24"/>
      <w:szCs w:val="20"/>
    </w:rPr>
  </w:style>
  <w:style w:type="paragraph" w:customStyle="1" w:styleId="723">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5"/>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7">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0">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qFormat/>
    <w:uiPriority w:val="0"/>
    <w:rPr>
      <w:rFonts w:ascii="仿宋_GB2312" w:eastAsia="仿宋_GB2312"/>
      <w:b/>
      <w:sz w:val="32"/>
      <w:szCs w:val="20"/>
    </w:rPr>
  </w:style>
  <w:style w:type="paragraph" w:customStyle="1" w:styleId="732">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qFormat/>
    <w:uiPriority w:val="0"/>
    <w:rPr>
      <w:rFonts w:ascii="仿宋_GB2312" w:eastAsia="仿宋_GB2312"/>
      <w:b/>
      <w:sz w:val="32"/>
      <w:szCs w:val="32"/>
    </w:rPr>
  </w:style>
  <w:style w:type="paragraph" w:customStyle="1" w:styleId="736">
    <w:name w:val="Char3 Char Char Char1"/>
    <w:basedOn w:val="1"/>
    <w:qFormat/>
    <w:uiPriority w:val="6"/>
    <w:pPr>
      <w:widowControl/>
      <w:adjustRightInd/>
      <w:spacing w:after="160" w:line="240" w:lineRule="exact"/>
      <w:jc w:val="left"/>
    </w:pPr>
    <w:rPr>
      <w:szCs w:val="20"/>
    </w:rPr>
  </w:style>
  <w:style w:type="paragraph" w:customStyle="1" w:styleId="737">
    <w:name w:val="Char1 Char Char Char21"/>
    <w:basedOn w:val="1"/>
    <w:qFormat/>
    <w:uiPriority w:val="0"/>
    <w:rPr>
      <w:rFonts w:ascii="Tahoma" w:hAnsi="Tahoma"/>
      <w:sz w:val="24"/>
      <w:szCs w:val="20"/>
    </w:rPr>
  </w:style>
  <w:style w:type="paragraph" w:customStyle="1" w:styleId="738">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qFormat/>
    <w:uiPriority w:val="0"/>
    <w:pPr>
      <w:spacing w:line="360" w:lineRule="auto"/>
      <w:ind w:firstLine="200" w:firstLineChars="200"/>
    </w:pPr>
    <w:rPr>
      <w:sz w:val="24"/>
    </w:rPr>
  </w:style>
  <w:style w:type="paragraph" w:customStyle="1" w:styleId="740">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qFormat/>
    <w:uiPriority w:val="0"/>
    <w:pPr>
      <w:adjustRightInd/>
      <w:ind w:firstLine="200" w:firstLineChars="200"/>
    </w:pPr>
    <w:rPr>
      <w:rFonts w:ascii="Tahoma" w:hAnsi="Tahoma"/>
      <w:sz w:val="24"/>
      <w:szCs w:val="20"/>
    </w:rPr>
  </w:style>
  <w:style w:type="paragraph" w:customStyle="1" w:styleId="746">
    <w:name w:val="_标题2"/>
    <w:basedOn w:val="713"/>
    <w:next w:val="713"/>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7">
    <w:name w:val="样式1 + (中宋体"/>
    <w:basedOn w:val="724"/>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qFormat/>
    <w:uiPriority w:val="0"/>
    <w:pPr>
      <w:adjustRightInd/>
      <w:spacing w:line="360" w:lineRule="auto"/>
    </w:pPr>
    <w:rPr>
      <w:rFonts w:ascii="宋体" w:hAnsi="宋体"/>
      <w:szCs w:val="20"/>
    </w:rPr>
  </w:style>
  <w:style w:type="paragraph" w:customStyle="1" w:styleId="752">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qFormat/>
    <w:uiPriority w:val="0"/>
    <w:pPr>
      <w:adjustRightInd/>
    </w:pPr>
    <w:rPr>
      <w:rFonts w:ascii="Tahoma" w:hAnsi="Tahoma"/>
      <w:sz w:val="24"/>
    </w:rPr>
  </w:style>
  <w:style w:type="paragraph" w:customStyle="1" w:styleId="754">
    <w:name w:val="Char Char Char Char11"/>
    <w:basedOn w:val="1"/>
    <w:qFormat/>
    <w:uiPriority w:val="0"/>
    <w:rPr>
      <w:rFonts w:ascii="Tahoma" w:hAnsi="Tahoma"/>
      <w:sz w:val="24"/>
      <w:szCs w:val="20"/>
    </w:rPr>
  </w:style>
  <w:style w:type="paragraph" w:customStyle="1" w:styleId="755">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qFormat/>
    <w:uiPriority w:val="0"/>
    <w:rPr>
      <w:rFonts w:ascii="Tahoma" w:hAnsi="Tahoma"/>
      <w:sz w:val="24"/>
      <w:szCs w:val="20"/>
    </w:rPr>
  </w:style>
  <w:style w:type="paragraph" w:customStyle="1" w:styleId="757">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qFormat/>
    <w:uiPriority w:val="0"/>
    <w:pPr>
      <w:adjustRightInd/>
    </w:pPr>
    <w:rPr>
      <w:szCs w:val="20"/>
    </w:rPr>
  </w:style>
  <w:style w:type="paragraph" w:customStyle="1" w:styleId="75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1">
    <w:name w:val="_Style 5"/>
    <w:basedOn w:val="1"/>
    <w:qFormat/>
    <w:uiPriority w:val="34"/>
    <w:pPr>
      <w:adjustRightInd/>
      <w:ind w:firstLine="420" w:firstLineChars="200"/>
    </w:pPr>
    <w:rPr>
      <w:rFonts w:eastAsia="仿宋_GB2312"/>
      <w:sz w:val="28"/>
    </w:rPr>
  </w:style>
  <w:style w:type="paragraph" w:customStyle="1" w:styleId="762">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70">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qFormat/>
    <w:uiPriority w:val="0"/>
    <w:rPr>
      <w:rFonts w:ascii="宋体" w:hAnsi="Times New Roman" w:eastAsia="宋体" w:cs="Times New Roman"/>
      <w:kern w:val="2"/>
      <w:lang w:val="en-US" w:eastAsia="zh-CN" w:bidi="ar-SA"/>
    </w:rPr>
  </w:style>
  <w:style w:type="paragraph" w:customStyle="1" w:styleId="772">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qFormat/>
    <w:uiPriority w:val="0"/>
    <w:pPr>
      <w:tabs>
        <w:tab w:val="left" w:pos="360"/>
      </w:tabs>
    </w:pPr>
    <w:rPr>
      <w:sz w:val="24"/>
      <w:szCs w:val="20"/>
    </w:rPr>
  </w:style>
  <w:style w:type="paragraph" w:customStyle="1" w:styleId="776">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17"/>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1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4">
    <w:name w:val="p0"/>
    <w:basedOn w:val="1"/>
    <w:qFormat/>
    <w:uiPriority w:val="0"/>
    <w:pPr>
      <w:widowControl/>
      <w:adjustRightInd/>
    </w:pPr>
    <w:rPr>
      <w:kern w:val="0"/>
      <w:szCs w:val="21"/>
    </w:rPr>
  </w:style>
  <w:style w:type="paragraph" w:customStyle="1" w:styleId="785">
    <w:name w:val="Char6"/>
    <w:basedOn w:val="1"/>
    <w:qFormat/>
    <w:uiPriority w:val="0"/>
    <w:rPr>
      <w:rFonts w:ascii="仿宋_GB2312" w:eastAsia="仿宋_GB2312"/>
      <w:b/>
      <w:sz w:val="32"/>
      <w:szCs w:val="32"/>
    </w:rPr>
  </w:style>
  <w:style w:type="paragraph" w:customStyle="1" w:styleId="786">
    <w:name w:val="Char111"/>
    <w:basedOn w:val="1"/>
    <w:qFormat/>
    <w:uiPriority w:val="0"/>
    <w:rPr>
      <w:rFonts w:ascii="仿宋_GB2312" w:eastAsia="仿宋_GB2312"/>
      <w:b/>
      <w:sz w:val="32"/>
      <w:szCs w:val="32"/>
    </w:rPr>
  </w:style>
  <w:style w:type="paragraph" w:customStyle="1" w:styleId="787">
    <w:name w:val="标题3"/>
    <w:basedOn w:val="5"/>
    <w:next w:val="53"/>
    <w:qFormat/>
    <w:uiPriority w:val="0"/>
    <w:pPr>
      <w:tabs>
        <w:tab w:val="clear" w:pos="900"/>
      </w:tabs>
      <w:spacing w:after="0" w:line="360" w:lineRule="auto"/>
    </w:pPr>
    <w:rPr>
      <w:rFonts w:ascii="仿宋" w:hAnsi="仿宋" w:eastAsia="仿宋" w:cs="仿宋"/>
    </w:rPr>
  </w:style>
  <w:style w:type="paragraph" w:customStyle="1" w:styleId="788">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qFormat/>
    <w:uiPriority w:val="0"/>
    <w:pPr>
      <w:adjustRightInd/>
      <w:ind w:firstLine="200" w:firstLineChars="200"/>
    </w:pPr>
    <w:rPr>
      <w:rFonts w:ascii="Tahoma" w:hAnsi="Tahoma"/>
      <w:sz w:val="24"/>
      <w:szCs w:val="20"/>
    </w:rPr>
  </w:style>
  <w:style w:type="paragraph" w:customStyle="1" w:styleId="791">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qFormat/>
    <w:uiPriority w:val="0"/>
    <w:rPr>
      <w:rFonts w:ascii="仿宋_GB2312" w:eastAsia="仿宋_GB2312"/>
      <w:b/>
      <w:sz w:val="32"/>
      <w:szCs w:val="32"/>
    </w:rPr>
  </w:style>
  <w:style w:type="paragraph" w:customStyle="1" w:styleId="794">
    <w:name w:val="五级条标题"/>
    <w:basedOn w:val="795"/>
    <w:next w:val="640"/>
    <w:qFormat/>
    <w:uiPriority w:val="0"/>
    <w:pPr>
      <w:tabs>
        <w:tab w:val="left" w:pos="1260"/>
        <w:tab w:val="left" w:pos="1680"/>
        <w:tab w:val="left" w:pos="2100"/>
        <w:tab w:val="left" w:pos="2940"/>
        <w:tab w:val="left" w:pos="3360"/>
      </w:tabs>
      <w:ind w:left="3360"/>
      <w:outlineLvl w:val="6"/>
    </w:pPr>
  </w:style>
  <w:style w:type="paragraph" w:customStyle="1" w:styleId="795">
    <w:name w:val="四级条标题"/>
    <w:basedOn w:val="655"/>
    <w:next w:val="640"/>
    <w:qFormat/>
    <w:uiPriority w:val="0"/>
    <w:pPr>
      <w:tabs>
        <w:tab w:val="left" w:pos="2940"/>
        <w:tab w:val="clear" w:pos="2520"/>
      </w:tabs>
      <w:ind w:left="2940"/>
      <w:outlineLvl w:val="5"/>
    </w:pPr>
  </w:style>
  <w:style w:type="paragraph" w:customStyle="1" w:styleId="796">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qFormat/>
    <w:uiPriority w:val="0"/>
    <w:rPr>
      <w:rFonts w:ascii="仿宋_GB2312" w:eastAsia="仿宋_GB2312"/>
      <w:b/>
      <w:sz w:val="32"/>
      <w:szCs w:val="32"/>
    </w:rPr>
  </w:style>
  <w:style w:type="paragraph" w:customStyle="1" w:styleId="798">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0">
    <w:name w:val="首行缩进"/>
    <w:basedOn w:val="1"/>
    <w:qFormat/>
    <w:uiPriority w:val="0"/>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2">
    <w:name w:val="单元格左对齐"/>
    <w:basedOn w:val="1"/>
    <w:qFormat/>
    <w:uiPriority w:val="0"/>
    <w:pPr>
      <w:adjustRightInd/>
      <w:spacing w:line="360" w:lineRule="auto"/>
    </w:pPr>
    <w:rPr>
      <w:sz w:val="24"/>
    </w:rPr>
  </w:style>
  <w:style w:type="paragraph" w:customStyle="1" w:styleId="803">
    <w:name w:val="正文主体"/>
    <w:basedOn w:val="624"/>
    <w:qFormat/>
    <w:uiPriority w:val="0"/>
  </w:style>
  <w:style w:type="paragraph" w:customStyle="1" w:styleId="804">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qFormat/>
    <w:uiPriority w:val="0"/>
    <w:pPr>
      <w:adjustRightInd/>
      <w:spacing w:line="360" w:lineRule="auto"/>
      <w:ind w:firstLine="480" w:firstLineChars="200"/>
    </w:pPr>
    <w:rPr>
      <w:sz w:val="24"/>
      <w:szCs w:val="20"/>
    </w:rPr>
  </w:style>
  <w:style w:type="paragraph" w:customStyle="1" w:styleId="808">
    <w:name w:val="P1"/>
    <w:basedOn w:val="1"/>
    <w:qFormat/>
    <w:uiPriority w:val="0"/>
    <w:pPr>
      <w:adjustRightInd/>
      <w:spacing w:line="288" w:lineRule="auto"/>
      <w:ind w:firstLine="425" w:firstLineChars="200"/>
    </w:pPr>
  </w:style>
  <w:style w:type="paragraph" w:customStyle="1" w:styleId="809">
    <w:name w:val="列表内容"/>
    <w:basedOn w:val="1"/>
    <w:next w:val="1"/>
    <w:qFormat/>
    <w:uiPriority w:val="0"/>
    <w:pPr>
      <w:widowControl/>
      <w:tabs>
        <w:tab w:val="left" w:pos="840"/>
      </w:tabs>
      <w:ind w:left="840" w:hanging="420"/>
      <w:jc w:val="left"/>
    </w:pPr>
    <w:rPr>
      <w:kern w:val="0"/>
      <w:sz w:val="18"/>
    </w:rPr>
  </w:style>
  <w:style w:type="paragraph" w:customStyle="1" w:styleId="810">
    <w:name w:val="Char Char11 Char Char Char1"/>
    <w:basedOn w:val="1"/>
    <w:qFormat/>
    <w:uiPriority w:val="6"/>
    <w:pPr>
      <w:spacing w:line="360" w:lineRule="auto"/>
    </w:pPr>
    <w:rPr>
      <w:szCs w:val="20"/>
    </w:rPr>
  </w:style>
  <w:style w:type="paragraph" w:customStyle="1" w:styleId="811">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2">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3">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qFormat/>
    <w:uiPriority w:val="0"/>
    <w:pPr>
      <w:spacing w:line="360" w:lineRule="auto"/>
    </w:pPr>
    <w:rPr>
      <w:szCs w:val="20"/>
    </w:rPr>
  </w:style>
  <w:style w:type="paragraph" w:customStyle="1" w:styleId="817">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qFormat/>
    <w:uiPriority w:val="0"/>
    <w:rPr>
      <w:rFonts w:ascii="仿宋_GB2312" w:eastAsia="仿宋_GB2312"/>
      <w:b/>
      <w:sz w:val="32"/>
      <w:szCs w:val="32"/>
    </w:rPr>
  </w:style>
  <w:style w:type="paragraph" w:customStyle="1" w:styleId="820">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qFormat/>
    <w:uiPriority w:val="0"/>
    <w:pPr>
      <w:adjustRightInd/>
      <w:spacing w:line="360" w:lineRule="auto"/>
      <w:ind w:firstLine="480"/>
    </w:pPr>
    <w:rPr>
      <w:rFonts w:cs="宋体"/>
      <w:sz w:val="24"/>
      <w:szCs w:val="20"/>
    </w:rPr>
  </w:style>
  <w:style w:type="paragraph" w:customStyle="1" w:styleId="823">
    <w:name w:val="Char Char4 Char Char"/>
    <w:basedOn w:val="1"/>
    <w:qFormat/>
    <w:uiPriority w:val="0"/>
    <w:pPr>
      <w:widowControl/>
      <w:adjustRightInd/>
      <w:spacing w:after="160" w:line="240" w:lineRule="exact"/>
      <w:jc w:val="left"/>
    </w:pPr>
  </w:style>
  <w:style w:type="paragraph" w:customStyle="1" w:styleId="824">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qFormat/>
    <w:uiPriority w:val="0"/>
    <w:pPr>
      <w:spacing w:line="360" w:lineRule="auto"/>
    </w:pPr>
    <w:rPr>
      <w:szCs w:val="20"/>
    </w:rPr>
  </w:style>
  <w:style w:type="paragraph" w:customStyle="1" w:styleId="826">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qFormat/>
    <w:uiPriority w:val="0"/>
    <w:pPr>
      <w:adjustRightInd/>
      <w:ind w:firstLine="200" w:firstLineChars="200"/>
    </w:pPr>
    <w:rPr>
      <w:rFonts w:ascii="Tahoma" w:hAnsi="Tahoma"/>
      <w:sz w:val="24"/>
      <w:szCs w:val="20"/>
    </w:rPr>
  </w:style>
  <w:style w:type="paragraph" w:customStyle="1" w:styleId="833">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qFormat/>
    <w:uiPriority w:val="0"/>
    <w:pPr>
      <w:tabs>
        <w:tab w:val="left" w:pos="0"/>
      </w:tabs>
      <w:ind w:left="900" w:firstLine="0" w:firstLineChars="0"/>
    </w:pPr>
  </w:style>
  <w:style w:type="paragraph" w:customStyle="1" w:styleId="836">
    <w:name w:val="Bulleted List"/>
    <w:basedOn w:val="1"/>
    <w:qFormat/>
    <w:uiPriority w:val="0"/>
    <w:pPr>
      <w:tabs>
        <w:tab w:val="left" w:pos="1260"/>
      </w:tabs>
      <w:adjustRightInd/>
      <w:ind w:left="1260" w:hanging="420"/>
    </w:pPr>
  </w:style>
  <w:style w:type="paragraph" w:customStyle="1" w:styleId="837">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qFormat/>
    <w:uiPriority w:val="0"/>
    <w:rPr>
      <w:rFonts w:ascii="Tahoma" w:hAnsi="Tahoma" w:cs="仿宋_GB2312"/>
      <w:sz w:val="24"/>
      <w:szCs w:val="20"/>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17"/>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20"/>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2"/>
    <w:qFormat/>
    <w:uiPriority w:val="0"/>
    <w:pPr>
      <w:outlineLvl w:val="2"/>
    </w:pPr>
  </w:style>
  <w:style w:type="paragraph" w:customStyle="1" w:styleId="88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qFormat/>
    <w:uiPriority w:val="0"/>
    <w:pPr>
      <w:adjustRightInd/>
      <w:ind w:firstLine="200" w:firstLineChars="200"/>
    </w:pPr>
    <w:rPr>
      <w:rFonts w:ascii="Tahoma" w:hAnsi="Tahoma"/>
      <w:sz w:val="24"/>
      <w:szCs w:val="20"/>
    </w:rPr>
  </w:style>
  <w:style w:type="paragraph" w:customStyle="1" w:styleId="88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3">
    <w:name w:val="MM Empty"/>
    <w:basedOn w:val="1"/>
    <w:qFormat/>
    <w:uiPriority w:val="0"/>
    <w:pPr>
      <w:adjustRightInd/>
    </w:pPr>
  </w:style>
  <w:style w:type="paragraph" w:customStyle="1" w:styleId="884">
    <w:name w:val="Char24"/>
    <w:basedOn w:val="1"/>
    <w:qFormat/>
    <w:uiPriority w:val="0"/>
    <w:rPr>
      <w:rFonts w:ascii="仿宋_GB2312" w:eastAsia="仿宋_GB2312"/>
      <w:b/>
      <w:sz w:val="32"/>
      <w:szCs w:val="32"/>
    </w:rPr>
  </w:style>
  <w:style w:type="paragraph" w:customStyle="1" w:styleId="885">
    <w:name w:val="正文箭头"/>
    <w:basedOn w:val="538"/>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仿宋_GB2312"/>
      <w:sz w:val="28"/>
    </w:rPr>
  </w:style>
  <w:style w:type="paragraph" w:customStyle="1" w:styleId="892">
    <w:name w:val="表格 内容"/>
    <w:basedOn w:val="729"/>
    <w:qFormat/>
    <w:uiPriority w:val="0"/>
    <w:rPr>
      <w:b w:val="0"/>
      <w:sz w:val="20"/>
    </w:rPr>
  </w:style>
  <w:style w:type="paragraph" w:customStyle="1" w:styleId="893">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7"/>
    <w:next w:val="1"/>
    <w:qFormat/>
    <w:uiPriority w:val="0"/>
    <w:pPr>
      <w:tabs>
        <w:tab w:val="left" w:pos="1080"/>
      </w:tabs>
      <w:ind w:left="1080" w:hanging="1080"/>
    </w:pPr>
  </w:style>
  <w:style w:type="paragraph" w:customStyle="1" w:styleId="896">
    <w:name w:val="数字标题1"/>
    <w:basedOn w:val="3"/>
    <w:next w:val="1"/>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qFormat/>
    <w:uiPriority w:val="0"/>
    <w:pPr>
      <w:widowControl/>
    </w:pPr>
    <w:rPr>
      <w:kern w:val="0"/>
      <w:sz w:val="24"/>
      <w:szCs w:val="20"/>
    </w:rPr>
  </w:style>
  <w:style w:type="paragraph" w:customStyle="1" w:styleId="904">
    <w:name w:val="Char Char113"/>
    <w:basedOn w:val="1"/>
    <w:qFormat/>
    <w:uiPriority w:val="0"/>
    <w:pPr>
      <w:widowControl/>
      <w:spacing w:after="160" w:line="240" w:lineRule="exact"/>
      <w:jc w:val="left"/>
    </w:pPr>
    <w:rPr>
      <w:rFonts w:eastAsia="仿宋_GB2312"/>
      <w:sz w:val="28"/>
    </w:rPr>
  </w:style>
  <w:style w:type="paragraph" w:customStyle="1" w:styleId="90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qFormat/>
    <w:uiPriority w:val="34"/>
    <w:pPr>
      <w:adjustRightInd/>
      <w:ind w:firstLine="420" w:firstLineChars="200"/>
    </w:pPr>
    <w:rPr>
      <w:rFonts w:eastAsia="仿宋_GB2312"/>
      <w:sz w:val="28"/>
    </w:rPr>
  </w:style>
  <w:style w:type="paragraph" w:customStyle="1" w:styleId="90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qFormat/>
    <w:uiPriority w:val="6"/>
    <w:pPr>
      <w:widowControl/>
      <w:spacing w:after="160" w:line="240" w:lineRule="exact"/>
      <w:jc w:val="left"/>
    </w:pPr>
    <w:rPr>
      <w:rFonts w:eastAsia="仿宋_GB2312"/>
      <w:sz w:val="28"/>
    </w:rPr>
  </w:style>
  <w:style w:type="paragraph" w:customStyle="1" w:styleId="913">
    <w:name w:val="正文 图"/>
    <w:basedOn w:val="443"/>
    <w:qFormat/>
    <w:uiPriority w:val="0"/>
    <w:pPr>
      <w:adjustRightInd/>
      <w:spacing w:before="0"/>
      <w:ind w:firstLine="0"/>
      <w:jc w:val="center"/>
    </w:pPr>
    <w:rPr>
      <w:rFonts w:ascii="微软雅黑" w:hAnsi="微软雅黑"/>
    </w:rPr>
  </w:style>
  <w:style w:type="paragraph" w:customStyle="1" w:styleId="91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2"/>
    <w:qFormat/>
    <w:uiPriority w:val="0"/>
    <w:pPr>
      <w:ind w:left="0"/>
    </w:pPr>
  </w:style>
  <w:style w:type="paragraph" w:customStyle="1" w:styleId="91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qFormat/>
    <w:uiPriority w:val="0"/>
    <w:pPr>
      <w:adjustRightInd/>
      <w:spacing w:line="360" w:lineRule="auto"/>
      <w:ind w:firstLine="480"/>
    </w:pPr>
    <w:rPr>
      <w:sz w:val="24"/>
    </w:rPr>
  </w:style>
  <w:style w:type="table" w:customStyle="1" w:styleId="920">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6">
    <w:name w:val="列出段落111"/>
    <w:basedOn w:val="1"/>
    <w:qFormat/>
    <w:uiPriority w:val="34"/>
    <w:pPr>
      <w:ind w:firstLine="420" w:firstLineChars="200"/>
    </w:pPr>
  </w:style>
  <w:style w:type="character" w:customStyle="1" w:styleId="927">
    <w:name w:val="交叉引用"/>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qFormat/>
    <w:uiPriority w:val="0"/>
    <w:rPr>
      <w:rFonts w:ascii="宋体" w:eastAsia="宋体"/>
      <w:snapToGrid w:val="0"/>
      <w:color w:val="000000"/>
      <w:kern w:val="28"/>
      <w:sz w:val="28"/>
      <w:lang w:val="en-US" w:eastAsia="zh-CN" w:bidi="ar-SA"/>
    </w:rPr>
  </w:style>
  <w:style w:type="character" w:customStyle="1" w:styleId="929">
    <w:name w:val="页脚 字符1"/>
    <w:qFormat/>
    <w:locked/>
    <w:uiPriority w:val="99"/>
    <w:rPr>
      <w:kern w:val="2"/>
      <w:sz w:val="18"/>
      <w:szCs w:val="18"/>
    </w:rPr>
  </w:style>
  <w:style w:type="character" w:customStyle="1" w:styleId="930">
    <w:name w:val="页眉 字符1"/>
    <w:qFormat/>
    <w:uiPriority w:val="99"/>
    <w:rPr>
      <w:kern w:val="2"/>
      <w:sz w:val="18"/>
      <w:szCs w:val="18"/>
    </w:rPr>
  </w:style>
  <w:style w:type="character" w:customStyle="1" w:styleId="931">
    <w:name w:val="尾注文本 Char"/>
    <w:link w:val="38"/>
    <w:qFormat/>
    <w:uiPriority w:val="0"/>
    <w:rPr>
      <w:kern w:val="2"/>
      <w:sz w:val="21"/>
      <w:szCs w:val="24"/>
      <w:lang w:val="zh-CN"/>
    </w:rPr>
  </w:style>
  <w:style w:type="character" w:customStyle="1" w:styleId="932">
    <w:name w:val="无间隔 Char"/>
    <w:link w:val="483"/>
    <w:qFormat/>
    <w:uiPriority w:val="99"/>
    <w:rPr>
      <w:kern w:val="2"/>
      <w:sz w:val="21"/>
      <w:szCs w:val="22"/>
    </w:rPr>
  </w:style>
  <w:style w:type="character" w:customStyle="1" w:styleId="933">
    <w:name w:val="标准文本 Char Char"/>
    <w:link w:val="934"/>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qFormat/>
    <w:uiPriority w:val="0"/>
    <w:rPr>
      <w:color w:val="808080"/>
    </w:rPr>
  </w:style>
  <w:style w:type="character" w:customStyle="1" w:styleId="940">
    <w:name w:val="tpc_content1"/>
    <w:qFormat/>
    <w:uiPriority w:val="0"/>
    <w:rPr>
      <w:sz w:val="20"/>
      <w:szCs w:val="20"/>
    </w:rPr>
  </w:style>
  <w:style w:type="character" w:customStyle="1" w:styleId="941">
    <w:name w:val="正文文本缩进 字符"/>
    <w:qFormat/>
    <w:uiPriority w:val="0"/>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qFormat/>
    <w:uiPriority w:val="0"/>
    <w:rPr>
      <w:color w:val="0000FF"/>
      <w:u w:val="single"/>
    </w:rPr>
  </w:style>
  <w:style w:type="character" w:customStyle="1" w:styleId="944">
    <w:name w:val="style1"/>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7">
    <w:name w:val="bulletintext1"/>
    <w:qFormat/>
    <w:uiPriority w:val="0"/>
    <w:rPr>
      <w:color w:val="000000"/>
      <w:sz w:val="18"/>
    </w:rPr>
  </w:style>
  <w:style w:type="paragraph" w:customStyle="1" w:styleId="948">
    <w:name w:val="_Style 947"/>
    <w:basedOn w:val="1"/>
    <w:next w:val="2"/>
    <w:qFormat/>
    <w:uiPriority w:val="34"/>
    <w:pPr>
      <w:adjustRightInd/>
      <w:ind w:firstLine="420" w:firstLineChars="200"/>
    </w:pPr>
  </w:style>
  <w:style w:type="paragraph" w:customStyle="1" w:styleId="94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0"/>
    <w:pPr>
      <w:adjustRightInd/>
      <w:jc w:val="left"/>
    </w:pPr>
    <w:rPr>
      <w:rFonts w:ascii="Calibri" w:hAnsi="Calibri"/>
      <w:kern w:val="0"/>
      <w:sz w:val="22"/>
      <w:szCs w:val="22"/>
      <w:lang w:eastAsia="en-US"/>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70"/>
    <w:qFormat/>
    <w:uiPriority w:val="0"/>
    <w:rPr>
      <w:color w:val="000000"/>
      <w:shd w:val="clear" w:color="auto" w:fill="EFD200"/>
    </w:rPr>
  </w:style>
  <w:style w:type="character" w:customStyle="1" w:styleId="961">
    <w:name w:val="font71"/>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paragraph" w:customStyle="1" w:styleId="963">
    <w:name w:val="正文2.6"/>
    <w:basedOn w:val="1"/>
    <w:qFormat/>
    <w:uiPriority w:val="0"/>
    <w:pPr>
      <w:spacing w:line="360" w:lineRule="auto"/>
      <w:ind w:firstLine="480" w:firstLineChars="200"/>
    </w:pPr>
    <w:rPr>
      <w:rFonts w:ascii="宋体" w:hAnsi="宋体" w:cs="宋体"/>
      <w:bCs/>
      <w:sz w:val="24"/>
    </w:rPr>
  </w:style>
  <w:style w:type="paragraph" w:customStyle="1" w:styleId="964">
    <w:name w:val="Normal Paragraph"/>
    <w:basedOn w:val="1"/>
    <w:qFormat/>
    <w:uiPriority w:val="0"/>
    <w:pPr>
      <w:spacing w:before="120"/>
      <w:ind w:firstLine="425"/>
    </w:pPr>
  </w:style>
  <w:style w:type="paragraph" w:customStyle="1" w:styleId="965">
    <w:name w:val="正文排序"/>
    <w:basedOn w:val="1"/>
    <w:qFormat/>
    <w:uiPriority w:val="0"/>
    <w:pPr>
      <w:numPr>
        <w:ilvl w:val="0"/>
        <w:numId w:val="1"/>
      </w:numPr>
      <w:ind w:firstLine="880" w:firstLineChars="200"/>
    </w:pPr>
  </w:style>
  <w:style w:type="paragraph" w:customStyle="1" w:styleId="966">
    <w:name w:val="图"/>
    <w:basedOn w:val="18"/>
    <w:qFormat/>
    <w:uiPriority w:val="0"/>
    <w:pPr>
      <w:jc w:val="center"/>
    </w:pPr>
    <w:rPr>
      <w:rFonts w:ascii="仿宋_GB2312" w:eastAsia="仿宋_GB2312"/>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header" Target="header12.xml"/><Relationship Id="rId25" Type="http://schemas.openxmlformats.org/officeDocument/2006/relationships/header" Target="header1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88</Pages>
  <Words>45416</Words>
  <Characters>48258</Characters>
  <Lines>364</Lines>
  <Paragraphs>102</Paragraphs>
  <TotalTime>29</TotalTime>
  <ScaleCrop>false</ScaleCrop>
  <LinksUpToDate>false</LinksUpToDate>
  <CharactersWithSpaces>54037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2022-06-20T11:01:00Z</dcterms:created>
  <dc:creator>玥</dc:creator>
  <cp:lastModifiedBy></cp:lastModifiedBy>
  <cp:lastPrinted>2022-11-10T06:06:00Z</cp:lastPrinted>
  <dcterms:modified xsi:type="dcterms:W3CDTF">2022-11-11T08:29:18Z</dcterms:modified>
  <dc:title>杭州市市民卡扩大发卡工程</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2DB565EFCE0D49F680A43C28D25E7F85</vt:lpwstr>
  </property>
</Properties>
</file>