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杭州市萧山区第三人民医院云影像服务</w:t>
      </w:r>
    </w:p>
    <w:p>
      <w:pPr>
        <w:adjustRightInd/>
        <w:spacing w:line="360" w:lineRule="auto"/>
        <w:jc w:val="center"/>
        <w:rPr>
          <w:rFonts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政府采购项目</w:t>
      </w:r>
    </w:p>
    <w:p>
      <w:pPr>
        <w:adjustRightInd/>
        <w:spacing w:line="360" w:lineRule="auto"/>
        <w:rPr>
          <w:rFonts w:ascii="仿宋" w:hAnsi="仿宋" w:eastAsia="仿宋" w:cs="仿宋"/>
          <w:color w:val="auto"/>
          <w:sz w:val="48"/>
          <w:szCs w:val="48"/>
          <w:highlight w:val="none"/>
        </w:rPr>
      </w:pPr>
    </w:p>
    <w:p>
      <w:pPr>
        <w:adjustRightInd/>
        <w:spacing w:line="360" w:lineRule="auto"/>
        <w:jc w:val="center"/>
        <w:rPr>
          <w:rFonts w:ascii="仿宋" w:hAnsi="仿宋" w:eastAsia="仿宋" w:cs="仿宋"/>
          <w:color w:val="auto"/>
          <w:sz w:val="48"/>
          <w:szCs w:val="48"/>
          <w:highlight w:val="none"/>
        </w:rPr>
      </w:pPr>
    </w:p>
    <w:p>
      <w:pPr>
        <w:adjustRightInd/>
        <w:spacing w:line="360" w:lineRule="auto"/>
        <w:jc w:val="center"/>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 xml:space="preserve">招标文件 </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adjustRightInd/>
        <w:spacing w:line="360" w:lineRule="auto"/>
        <w:jc w:val="center"/>
        <w:rPr>
          <w:rFonts w:hint="default" w:ascii="仿宋" w:hAnsi="仿宋" w:eastAsia="仿宋" w:cs="仿宋"/>
          <w:color w:val="auto"/>
          <w:sz w:val="32"/>
          <w:szCs w:val="21"/>
          <w:highlight w:val="none"/>
          <w:lang w:val="en-US" w:eastAsia="zh-CN"/>
        </w:rPr>
      </w:pPr>
      <w:r>
        <w:rPr>
          <w:rFonts w:hint="eastAsia" w:ascii="仿宋" w:hAnsi="仿宋" w:eastAsia="仿宋" w:cs="仿宋"/>
          <w:color w:val="auto"/>
          <w:sz w:val="32"/>
          <w:szCs w:val="32"/>
          <w:highlight w:val="none"/>
        </w:rPr>
        <w:t>项目编号：BWZBDL2024-0</w:t>
      </w:r>
      <w:r>
        <w:rPr>
          <w:rFonts w:hint="eastAsia" w:ascii="仿宋" w:hAnsi="仿宋" w:eastAsia="仿宋" w:cs="仿宋"/>
          <w:color w:val="auto"/>
          <w:sz w:val="32"/>
          <w:szCs w:val="32"/>
          <w:highlight w:val="none"/>
          <w:lang w:val="en-US" w:eastAsia="zh-CN"/>
        </w:rPr>
        <w:t>77</w:t>
      </w: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p>
    <w:p>
      <w:pPr>
        <w:spacing w:line="360" w:lineRule="auto"/>
        <w:jc w:val="both"/>
        <w:rPr>
          <w:rFonts w:ascii="仿宋" w:hAnsi="仿宋" w:eastAsia="仿宋" w:cs="仿宋"/>
          <w:bCs/>
          <w:color w:val="auto"/>
          <w:sz w:val="32"/>
          <w:szCs w:val="32"/>
          <w:highlight w:val="none"/>
        </w:rPr>
      </w:pPr>
    </w:p>
    <w:p>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杭州市萧山区第三人民医院</w:t>
      </w:r>
    </w:p>
    <w:p>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2024年04月</w:t>
      </w:r>
      <w:r>
        <w:rPr>
          <w:rFonts w:hint="eastAsia" w:ascii="仿宋" w:hAnsi="仿宋" w:eastAsia="仿宋" w:cs="仿宋"/>
          <w:bCs/>
          <w:color w:val="auto"/>
          <w:sz w:val="32"/>
          <w:szCs w:val="32"/>
          <w:highlight w:val="none"/>
          <w:lang w:val="en-US" w:eastAsia="zh-CN"/>
        </w:rPr>
        <w:t>23</w:t>
      </w:r>
      <w:r>
        <w:rPr>
          <w:rFonts w:hint="eastAsia" w:ascii="仿宋" w:hAnsi="仿宋" w:eastAsia="仿宋" w:cs="仿宋"/>
          <w:bCs/>
          <w:color w:val="auto"/>
          <w:sz w:val="32"/>
          <w:szCs w:val="32"/>
          <w:highlight w:val="none"/>
        </w:rPr>
        <w:t>日</w:t>
      </w:r>
    </w:p>
    <w:p>
      <w:pPr>
        <w:spacing w:line="360" w:lineRule="auto"/>
        <w:jc w:val="center"/>
        <w:rPr>
          <w:rFonts w:ascii="仿宋" w:hAnsi="仿宋" w:eastAsia="仿宋" w:cs="仿宋"/>
          <w:b/>
          <w:color w:val="auto"/>
          <w:sz w:val="48"/>
          <w:szCs w:val="48"/>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（杭州市萧山区第三人民医院云影像服务政府采购项目）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https://www.zcygov.cn/）获取（下载）招标文件，并于2024年05月</w:t>
      </w:r>
      <w:r>
        <w:rPr>
          <w:rStyle w:val="76"/>
          <w:rFonts w:hint="eastAsia" w:ascii="仿宋" w:hAnsi="仿宋" w:eastAsia="仿宋" w:cs="仿宋"/>
          <w:snapToGrid/>
          <w:color w:val="auto"/>
          <w:kern w:val="2"/>
          <w:sz w:val="24"/>
          <w:szCs w:val="24"/>
          <w:highlight w:val="none"/>
          <w:lang w:val="en-US" w:eastAsia="zh-CN"/>
        </w:rPr>
        <w:t>15</w:t>
      </w:r>
      <w:r>
        <w:rPr>
          <w:rStyle w:val="76"/>
          <w:rFonts w:hint="eastAsia" w:ascii="仿宋" w:hAnsi="仿宋" w:eastAsia="仿宋" w:cs="仿宋"/>
          <w:snapToGrid/>
          <w:color w:val="auto"/>
          <w:kern w:val="2"/>
          <w:sz w:val="24"/>
          <w:szCs w:val="24"/>
          <w:highlight w:val="none"/>
        </w:rPr>
        <w:t>日14点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BWZBDL2024-0</w:t>
      </w:r>
      <w:r>
        <w:rPr>
          <w:rFonts w:hint="eastAsia" w:ascii="仿宋" w:hAnsi="仿宋" w:eastAsia="仿宋" w:cs="仿宋"/>
          <w:bCs/>
          <w:color w:val="auto"/>
          <w:sz w:val="24"/>
          <w:highlight w:val="none"/>
          <w:lang w:val="en-US" w:eastAsia="zh-CN"/>
        </w:rPr>
        <w:t>77</w:t>
      </w:r>
    </w:p>
    <w:p>
      <w:pPr>
        <w:spacing w:line="360" w:lineRule="auto"/>
        <w:ind w:firstLine="482" w:firstLineChars="200"/>
        <w:rPr>
          <w:rFonts w:ascii="仿宋" w:hAnsi="仿宋" w:eastAsia="仿宋" w:cs="仿宋"/>
          <w:bCs/>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single"/>
        </w:rPr>
        <w:t>杭州市萧山区第三人民医院云影像服务政府采购项目</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Cs/>
          <w:color w:val="auto"/>
          <w:sz w:val="24"/>
          <w:highlight w:val="none"/>
        </w:rPr>
        <w:t>900000.00</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900000.00</w:t>
      </w:r>
    </w:p>
    <w:p>
      <w:pPr>
        <w:pStyle w:val="16"/>
        <w:spacing w:line="360" w:lineRule="auto"/>
        <w:ind w:firstLine="480"/>
        <w:rPr>
          <w:rFonts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u w:val="single"/>
        </w:rPr>
        <w:t>杭州市萧山区第三人民医院云影像服务政府采购项目</w:t>
      </w:r>
      <w:r>
        <w:rPr>
          <w:rFonts w:hint="eastAsia" w:ascii="仿宋" w:hAnsi="仿宋" w:eastAsia="仿宋" w:cs="仿宋"/>
          <w:bCs/>
          <w:color w:val="auto"/>
          <w:sz w:val="24"/>
          <w:highlight w:val="none"/>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color w:val="auto"/>
          <w:sz w:val="24"/>
          <w:highlight w:val="none"/>
          <w:u w:val="single"/>
        </w:rPr>
        <w:t>云影像服务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6"/>
        <w:spacing w:line="360" w:lineRule="auto"/>
        <w:ind w:firstLine="48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szCs w:val="24"/>
          <w:highlight w:val="none"/>
        </w:rPr>
        <w:t>详见采购需求</w:t>
      </w:r>
      <w:r>
        <w:rPr>
          <w:rFonts w:hint="eastAsia" w:ascii="仿宋" w:hAnsi="仿宋" w:eastAsia="仿宋" w:cs="仿宋"/>
          <w:bCs/>
          <w:color w:val="auto"/>
          <w:sz w:val="24"/>
          <w:szCs w:val="24"/>
          <w:highlight w:val="none"/>
        </w:rPr>
        <w:t>。</w:t>
      </w:r>
    </w:p>
    <w:p>
      <w:pPr>
        <w:pStyle w:val="16"/>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rPr>
            <w:t>þ</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专门面向中小企业</w:t>
      </w:r>
    </w:p>
    <w:p>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 ，其中小微企业合同金额应当达到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%；如果供应商本身提供所有标的均由中小企业制造、承建或承接，并相应达到了前述比例要求，视同符合了资格条件，无需再向中小企业分包，无需提供分包意向协议；</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2024年05月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2024年05月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日14点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2024年05月</w:t>
      </w:r>
      <w:r>
        <w:rPr>
          <w:rFonts w:hint="eastAsia" w:ascii="仿宋" w:hAnsi="仿宋" w:eastAsia="仿宋" w:cs="仿宋"/>
          <w:color w:val="auto"/>
          <w:sz w:val="24"/>
          <w:highlight w:val="none"/>
          <w:u w:val="single"/>
          <w:lang w:val="en-US" w:eastAsia="zh-CN"/>
        </w:rPr>
        <w:t>15</w:t>
      </w:r>
      <w:r>
        <w:rPr>
          <w:rFonts w:hint="eastAsia" w:ascii="仿宋" w:hAnsi="仿宋" w:eastAsia="仿宋" w:cs="仿宋"/>
          <w:color w:val="auto"/>
          <w:sz w:val="24"/>
          <w:highlight w:val="none"/>
          <w:u w:val="single"/>
        </w:rPr>
        <w:t>日14点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20" w:firstLineChars="175"/>
        <w:rPr>
          <w:rFonts w:ascii="仿宋" w:hAnsi="仿宋" w:eastAsia="仿宋" w:cs="仿宋"/>
          <w:color w:val="auto"/>
          <w:sz w:val="24"/>
          <w:highlight w:val="none"/>
        </w:rPr>
      </w:pPr>
      <w:bookmarkStart w:id="10" w:name="_Hlk136593563"/>
      <w:r>
        <w:rPr>
          <w:rFonts w:hint="eastAsia" w:ascii="仿宋" w:hAnsi="仿宋" w:eastAsia="仿宋" w:cs="仿宋"/>
          <w:color w:val="auto"/>
          <w:sz w:val="24"/>
          <w:highlight w:val="none"/>
        </w:rPr>
        <w:t>名称：杭州市萧山区第三人民医院</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地址：浙江省杭州市萧山区临浦镇峙山北路152号</w:t>
      </w:r>
    </w:p>
    <w:bookmarkEnd w:id="10"/>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项目联系人（询问）：周利江</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项目联系方式（询问）：0571-82489335</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质疑联系人：俞佳錡</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质疑联系方式：0571-82489335</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项目联系人（询问）：高华萍</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w:t>
      </w:r>
      <w:r>
        <w:rPr>
          <w:rFonts w:hint="eastAsia" w:ascii="仿宋" w:hAnsi="仿宋" w:eastAsia="仿宋" w:cs="仿宋"/>
          <w:color w:val="auto"/>
          <w:sz w:val="24"/>
          <w:highlight w:val="none"/>
          <w:lang w:val="en-US" w:eastAsia="zh-CN"/>
        </w:rPr>
        <w:t>1</w:t>
      </w:r>
      <w:bookmarkStart w:id="522" w:name="_GoBack"/>
      <w:bookmarkEnd w:id="522"/>
      <w:r>
        <w:rPr>
          <w:rFonts w:hint="eastAsia" w:ascii="仿宋" w:hAnsi="仿宋" w:eastAsia="仿宋" w:cs="仿宋"/>
          <w:color w:val="auto"/>
          <w:sz w:val="24"/>
          <w:highlight w:val="none"/>
        </w:rPr>
        <w:t>8</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质疑联系人：范梦迪</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8</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地址：杭州市上城区四季青街道新业路市民之家G03办公室（快递仅限ems或顺丰）</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传真：/</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pPr>
        <w:spacing w:line="320" w:lineRule="exact"/>
        <w:jc w:val="left"/>
        <w:rPr>
          <w:rFonts w:ascii="仿宋" w:hAnsi="仿宋" w:eastAsia="仿宋" w:cs="仿宋"/>
          <w:color w:val="auto"/>
          <w:sz w:val="24"/>
          <w:highlight w:val="none"/>
        </w:rPr>
      </w:pPr>
    </w:p>
    <w:p>
      <w:pPr>
        <w:spacing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20" w:lineRule="exact"/>
        <w:ind w:firstLine="480" w:firstLineChars="200"/>
        <w:jc w:val="left"/>
        <w:rPr>
          <w:rFonts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b/>
          <w:color w:val="auto"/>
          <w:sz w:val="36"/>
          <w:szCs w:val="20"/>
          <w:highlight w:val="none"/>
        </w:rPr>
        <w:br w:type="page"/>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杭州市萧山区第三人民医院云影像服务政府采购项目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软件和信息技术服务业 </w:t>
            </w:r>
            <w:r>
              <w:rPr>
                <w:rFonts w:hint="eastAsia" w:ascii="仿宋" w:hAnsi="仿宋" w:eastAsia="仿宋" w:cs="仿宋"/>
                <w:color w:val="auto"/>
                <w:sz w:val="24"/>
                <w:highlight w:val="none"/>
              </w:rPr>
              <w:t>行业；</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软件模块 </w:t>
            </w:r>
            <w:r>
              <w:rPr>
                <w:rFonts w:hint="eastAsia" w:ascii="仿宋" w:hAnsi="仿宋" w:eastAsia="仿宋" w:cs="仿宋"/>
                <w:color w:val="auto"/>
                <w:sz w:val="24"/>
                <w:highlight w:val="none"/>
              </w:rPr>
              <w:t>工作分包。</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现场演示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B组织。</w:t>
            </w:r>
          </w:p>
          <w:p>
            <w:pPr>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演示要求：在评标时安排供应商演示人员演示，演示时间不超过20分钟，演示人员不超过2人。演示人员如为法定代表人签到时须提供身份证原件、营业执照复印件；演示人员如为授权代表签到时须提供身份证原件、软件演示授权委托书原件（详见招标文件格式范例附件8），否则不予签到，视为放弃演示。按标书解密时间从早到晚的顺序进行演示，演示结束后，评标委员会若有提问的需做解答。</w:t>
            </w:r>
          </w:p>
          <w:p>
            <w:pPr>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2、签到时间：2024年05月</w:t>
            </w:r>
            <w:r>
              <w:rPr>
                <w:rFonts w:hint="eastAsia" w:ascii="仿宋" w:hAnsi="仿宋" w:eastAsia="仿宋" w:cs="仿宋"/>
                <w:color w:val="auto"/>
                <w:kern w:val="0"/>
                <w:sz w:val="24"/>
                <w:highlight w:val="none"/>
                <w:lang w:val="en-US" w:eastAsia="zh-CN"/>
              </w:rPr>
              <w:t>15</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rPr>
              <w:t>30-</w:t>
            </w:r>
            <w:r>
              <w:rPr>
                <w:rFonts w:hint="eastAsia" w:ascii="仿宋" w:hAnsi="仿宋" w:eastAsia="仿宋" w:cs="仿宋"/>
                <w:color w:val="auto"/>
                <w:kern w:val="0"/>
                <w:sz w:val="24"/>
                <w:highlight w:val="none"/>
                <w:lang w:val="en-US" w:eastAsia="zh-CN"/>
              </w:rPr>
              <w:t>14:00</w:t>
            </w:r>
            <w:r>
              <w:rPr>
                <w:rFonts w:hint="eastAsia" w:ascii="仿宋" w:hAnsi="仿宋" w:eastAsia="仿宋" w:cs="仿宋"/>
                <w:color w:val="auto"/>
                <w:kern w:val="0"/>
                <w:sz w:val="24"/>
                <w:highlight w:val="none"/>
              </w:rPr>
              <w:t>止，签到截止时间同提交投标文件截止时间（开标时间），逾期签到视为放弃演示。</w:t>
            </w:r>
          </w:p>
          <w:p>
            <w:pPr>
              <w:spacing w:line="4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3、签到地点：杭州市萧山区金城路433号天汇园一幢A座5楼杭州博望建设工程招标投标代理有限公司开标室。</w:t>
            </w:r>
          </w:p>
          <w:p>
            <w:pPr>
              <w:spacing w:line="400" w:lineRule="exac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4、演示所需设备等由供应商自备。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jc w:val="center"/>
        </w:trPr>
        <w:tc>
          <w:tcPr>
            <w:tcW w:w="629" w:type="dxa"/>
            <w:vMerge w:val="restart"/>
            <w:tcBorders>
              <w:top w:val="single" w:color="auto" w:sz="4" w:space="0"/>
              <w:left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40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400" w:lineRule="exact"/>
              <w:ind w:firstLine="482" w:firstLineChars="2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400" w:lineRule="exact"/>
              <w:ind w:firstLine="482" w:firstLineChars="2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pPr>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w:t>
            </w:r>
          </w:p>
          <w:p>
            <w:pPr>
              <w:pStyle w:val="32"/>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400" w:lineRule="exact"/>
              <w:rPr>
                <w:rFonts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本项目采购代理费由</w:t>
            </w:r>
            <w:r>
              <w:rPr>
                <w:rFonts w:hint="eastAsia" w:ascii="仿宋" w:hAnsi="仿宋" w:eastAsia="仿宋" w:cs="仿宋"/>
                <w:color w:val="auto"/>
                <w:kern w:val="28"/>
                <w:sz w:val="24"/>
                <w:szCs w:val="24"/>
                <w:highlight w:val="none"/>
              </w:rPr>
              <w:t>中标</w:t>
            </w:r>
            <w:r>
              <w:rPr>
                <w:rFonts w:hint="eastAsia" w:ascii="仿宋" w:hAnsi="仿宋" w:eastAsia="仿宋" w:cs="仿宋"/>
                <w:color w:val="auto"/>
                <w:kern w:val="28"/>
                <w:sz w:val="24"/>
                <w:szCs w:val="24"/>
                <w:highlight w:val="none"/>
                <w:lang w:val="zh-CN"/>
              </w:rPr>
              <w:t>人支付。本次招标委托代理费按国家发展计划委员会的计价格[2002]1980号文件服务类收费标准下浮</w:t>
            </w:r>
            <w:r>
              <w:rPr>
                <w:rFonts w:hint="eastAsia" w:ascii="仿宋" w:hAnsi="仿宋" w:eastAsia="仿宋" w:cs="仿宋"/>
                <w:color w:val="auto"/>
                <w:kern w:val="28"/>
                <w:sz w:val="24"/>
                <w:szCs w:val="24"/>
                <w:highlight w:val="none"/>
              </w:rPr>
              <w:t>50</w:t>
            </w:r>
            <w:r>
              <w:rPr>
                <w:rFonts w:hint="eastAsia" w:ascii="仿宋" w:hAnsi="仿宋" w:eastAsia="仿宋" w:cs="仿宋"/>
                <w:color w:val="auto"/>
                <w:kern w:val="28"/>
                <w:sz w:val="24"/>
                <w:szCs w:val="24"/>
                <w:highlight w:val="none"/>
                <w:lang w:val="zh-CN"/>
              </w:rPr>
              <w:t>%结算收取（不足</w:t>
            </w:r>
            <w:r>
              <w:rPr>
                <w:rFonts w:hint="eastAsia" w:ascii="仿宋" w:hAnsi="仿宋" w:eastAsia="仿宋" w:cs="仿宋"/>
                <w:color w:val="auto"/>
                <w:kern w:val="28"/>
                <w:sz w:val="24"/>
                <w:szCs w:val="24"/>
                <w:highlight w:val="none"/>
              </w:rPr>
              <w:t>2000按2000元）</w:t>
            </w:r>
            <w:r>
              <w:rPr>
                <w:rFonts w:hint="eastAsia" w:ascii="仿宋" w:hAnsi="仿宋" w:eastAsia="仿宋" w:cs="仿宋"/>
                <w:color w:val="auto"/>
                <w:kern w:val="28"/>
                <w:sz w:val="24"/>
                <w:szCs w:val="24"/>
                <w:highlight w:val="none"/>
                <w:lang w:val="zh-CN"/>
              </w:rPr>
              <w:t>。</w:t>
            </w:r>
          </w:p>
          <w:p>
            <w:pPr>
              <w:pStyle w:val="32"/>
              <w:spacing w:line="400" w:lineRule="exact"/>
              <w:rPr>
                <w:rFonts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服务费缴纳账号：</w:t>
            </w:r>
          </w:p>
          <w:p>
            <w:pPr>
              <w:pStyle w:val="32"/>
              <w:spacing w:line="400" w:lineRule="exact"/>
              <w:rPr>
                <w:rFonts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开户银行：上海浦东发展银行萧山支行</w:t>
            </w:r>
          </w:p>
          <w:p>
            <w:pPr>
              <w:pStyle w:val="32"/>
              <w:spacing w:line="400" w:lineRule="exact"/>
              <w:rPr>
                <w:rFonts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帐户名称：杭州博望建设工程招标投标代理有限公司</w:t>
            </w:r>
          </w:p>
          <w:p>
            <w:pPr>
              <w:pStyle w:val="32"/>
              <w:spacing w:line="400" w:lineRule="exact"/>
              <w:rPr>
                <w:rFonts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银行帐号：95070154740001005</w:t>
            </w:r>
          </w:p>
          <w:p>
            <w:pPr>
              <w:pStyle w:val="32"/>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zh-CN"/>
              </w:rPr>
              <w:t>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r>
              <w:rPr>
                <w:rFonts w:hint="eastAsia" w:ascii="仿宋" w:hAnsi="仿宋" w:eastAsia="仿宋" w:cs="仿宋"/>
                <w:color w:val="auto"/>
                <w:sz w:val="24"/>
                <w:highlight w:val="none"/>
              </w:rPr>
              <w:br w:type="textWrapping"/>
            </w:r>
            <w:r>
              <w:rPr>
                <w:rFonts w:hint="eastAsia" w:ascii="仿宋" w:hAnsi="仿宋" w:eastAsia="仿宋" w:cs="仿宋"/>
                <w:color w:val="auto"/>
                <w:kern w:val="0"/>
                <w:sz w:val="24"/>
                <w:highlight w:val="none"/>
              </w:rPr>
              <w:t>评审因素对应的要求视为采购需求的一部分。</w:t>
            </w:r>
          </w:p>
          <w:p>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pPr>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jc w:val="center"/>
        </w:trPr>
        <w:tc>
          <w:tcPr>
            <w:tcW w:w="629" w:type="dxa"/>
            <w:vMerge w:val="continue"/>
            <w:tcBorders>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bookmarkEnd w:id="9"/>
    </w:tbl>
    <w:p>
      <w:pPr>
        <w:rPr>
          <w:rFonts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rPr>
        <w:t>评标办法明确具体的扣除比例，未明确的，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rPr>
        <w:t>评标办法明确具体的扣除比例，未明确的，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2"/>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2"/>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3"/>
        <w:snapToGrid w:val="0"/>
        <w:spacing w:before="0"/>
        <w:ind w:firstLine="360"/>
        <w:rPr>
          <w:rFonts w:ascii="仿宋" w:hAnsi="仿宋" w:eastAsia="仿宋" w:cs="仿宋"/>
          <w:color w:val="auto"/>
          <w:sz w:val="18"/>
          <w:szCs w:val="18"/>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3"/>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3"/>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3"/>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pPr>
        <w:pStyle w:val="133"/>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3"/>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2"/>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3"/>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3"/>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3"/>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3"/>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17.4在投标截止时间起至投标有效期届满，供应商投标文件不可撤销。</w:t>
      </w:r>
    </w:p>
    <w:p>
      <w:pPr>
        <w:pStyle w:val="133"/>
        <w:spacing w:before="0"/>
        <w:ind w:firstLine="643"/>
        <w:rPr>
          <w:rFonts w:ascii="仿宋" w:hAnsi="仿宋" w:eastAsia="仿宋" w:cs="仿宋"/>
          <w:b/>
          <w:color w:val="auto"/>
          <w:sz w:val="32"/>
          <w:highlight w:val="none"/>
        </w:rPr>
      </w:pPr>
    </w:p>
    <w:p>
      <w:pPr>
        <w:pStyle w:val="133"/>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9"/>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24"/>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18.3投标文件未按时解密，投标人提供了备份投标文件的，以备份投标文件作为依据，否则视为投标文件撤回。投标文件已按时解密的，备份投标文件自动失效。</w:t>
      </w:r>
    </w:p>
    <w:p>
      <w:pPr>
        <w:pStyle w:val="24"/>
        <w:spacing w:line="360" w:lineRule="auto"/>
        <w:ind w:firstLine="0" w:firstLineChars="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33"/>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3"/>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33"/>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3"/>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3"/>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pPr>
        <w:pStyle w:val="133"/>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3"/>
        <w:spacing w:before="0"/>
        <w:ind w:firstLine="0" w:firstLineChars="0"/>
        <w:rPr>
          <w:rFonts w:ascii="仿宋" w:hAnsi="仿宋" w:eastAsia="仿宋" w:cs="仿宋"/>
          <w:color w:val="auto"/>
          <w:kern w:val="0"/>
          <w:szCs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ascii="仿宋" w:hAnsi="仿宋" w:eastAsia="仿宋" w:cs="仿宋"/>
          <w:b/>
          <w:color w:val="auto"/>
          <w:sz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3"/>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3"/>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ascii="仿宋" w:eastAsia="仿宋" w:cs="仿宋"/>
          <w:color w:val="auto"/>
          <w:highlight w:val="none"/>
        </w:rPr>
      </w:pPr>
      <w:r>
        <w:rPr>
          <w:rFonts w:hint="eastAsia" w:ascii="仿宋" w:eastAsia="仿宋" w:cs="仿宋"/>
          <w:color w:val="auto"/>
          <w:sz w:val="24"/>
          <w:highlight w:val="none"/>
          <w:lang w:val="en-US"/>
        </w:rPr>
        <w:t>27.预付款</w:t>
      </w:r>
    </w:p>
    <w:p>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仿宋" w:hAnsi="仿宋" w:eastAsia="仿宋" w:cs="仿宋"/>
          <w:color w:val="auto"/>
          <w:highlight w:val="none"/>
        </w:rPr>
      </w:pPr>
    </w:p>
    <w:p>
      <w:pPr>
        <w:snapToGrid w:val="0"/>
        <w:spacing w:line="360" w:lineRule="auto"/>
        <w:ind w:firstLine="3357" w:firstLineChars="1045"/>
        <w:rPr>
          <w:rFonts w:ascii="仿宋" w:hAnsi="仿宋" w:eastAsia="仿宋" w:cs="仿宋"/>
          <w:b/>
          <w:color w:val="auto"/>
          <w:sz w:val="32"/>
          <w:highlight w:val="none"/>
        </w:rPr>
      </w:pPr>
    </w:p>
    <w:p>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3"/>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3"/>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75236101"/>
      <w:bookmarkEnd w:id="16"/>
      <w:bookmarkStart w:id="17" w:name="_Hlt68403820"/>
      <w:bookmarkEnd w:id="17"/>
      <w:bookmarkStart w:id="18" w:name="_Hlt68072998"/>
      <w:bookmarkEnd w:id="18"/>
      <w:bookmarkStart w:id="19" w:name="_Hlt68072990"/>
      <w:bookmarkEnd w:id="19"/>
      <w:bookmarkStart w:id="20" w:name="_Hlt75236011"/>
      <w:bookmarkEnd w:id="20"/>
      <w:bookmarkStart w:id="21" w:name="_Hlt74714665"/>
      <w:bookmarkEnd w:id="21"/>
      <w:bookmarkStart w:id="22" w:name="_Hlt74707468"/>
      <w:bookmarkEnd w:id="22"/>
      <w:bookmarkStart w:id="23" w:name="_Hlt68073093"/>
      <w:bookmarkEnd w:id="23"/>
      <w:bookmarkStart w:id="24" w:name="_Hlt74729768"/>
      <w:bookmarkEnd w:id="24"/>
      <w:bookmarkStart w:id="25" w:name="_Hlt75236290"/>
      <w:bookmarkEnd w:id="25"/>
      <w:bookmarkStart w:id="26" w:name="_Hlt74730295"/>
      <w:bookmarkEnd w:id="26"/>
    </w:p>
    <w:bookmarkEnd w:id="11"/>
    <w:bookmarkEnd w:id="12"/>
    <w:p>
      <w:pPr>
        <w:spacing w:line="360" w:lineRule="auto"/>
        <w:jc w:val="center"/>
        <w:outlineLvl w:val="0"/>
        <w:rPr>
          <w:rFonts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snapToGrid w:val="0"/>
        <w:jc w:val="center"/>
        <w:rPr>
          <w:rStyle w:val="967"/>
          <w:rFonts w:ascii="仿宋" w:hAnsi="仿宋" w:eastAsia="仿宋" w:cs="仿宋"/>
          <w:i w:val="0"/>
          <w:iCs w:val="0"/>
          <w:color w:val="auto"/>
          <w:highlight w:val="none"/>
        </w:rPr>
      </w:pPr>
      <w:r>
        <w:rPr>
          <w:rStyle w:val="967"/>
          <w:rFonts w:hint="eastAsia" w:ascii="仿宋" w:hAnsi="仿宋" w:eastAsia="仿宋" w:cs="仿宋"/>
          <w:i w:val="0"/>
          <w:iCs w:val="0"/>
          <w:color w:val="auto"/>
          <w:highlight w:val="none"/>
        </w:rPr>
        <w:t>属于实质性要求条款的，请用符号“▲”标明，否则属于非实质性要求。</w:t>
      </w:r>
    </w:p>
    <w:p>
      <w:pPr>
        <w:snapToGrid w:val="0"/>
        <w:jc w:val="center"/>
        <w:rPr>
          <w:rFonts w:ascii="仿宋" w:eastAsia="仿宋" w:cs="仿宋"/>
          <w:i w:val="0"/>
          <w:iCs w:val="0"/>
          <w:color w:val="auto"/>
          <w:highlight w:val="none"/>
        </w:rPr>
      </w:pPr>
      <w:r>
        <w:rPr>
          <w:rStyle w:val="967"/>
          <w:rFonts w:hint="eastAsia" w:ascii="仿宋" w:hAnsi="仿宋" w:eastAsia="仿宋" w:cs="仿宋"/>
          <w:i w:val="0"/>
          <w:iCs w:val="0"/>
          <w:color w:val="auto"/>
          <w:highlight w:val="none"/>
        </w:rPr>
        <w:t>“★”系产品采购项目中单一产品或核心产品。</w:t>
      </w:r>
    </w:p>
    <w:p>
      <w:pPr>
        <w:pStyle w:val="4"/>
        <w:ind w:left="630" w:hanging="630"/>
        <w:jc w:val="center"/>
        <w:rPr>
          <w:rFonts w:ascii="仿宋" w:eastAsia="仿宋" w:cs="仿宋"/>
          <w:color w:val="auto"/>
          <w:highlight w:val="none"/>
        </w:rPr>
      </w:pPr>
      <w:r>
        <w:rPr>
          <w:rFonts w:ascii="仿宋" w:eastAsia="仿宋" w:cs="仿宋"/>
          <w:color w:val="auto"/>
          <w:highlight w:val="none"/>
        </w:rPr>
        <w:t>一、</w:t>
      </w:r>
      <w:r>
        <w:rPr>
          <w:rFonts w:hint="eastAsia" w:ascii="仿宋" w:eastAsia="仿宋" w:cs="仿宋"/>
          <w:color w:val="auto"/>
          <w:highlight w:val="none"/>
        </w:rPr>
        <w:t>招标一览表</w:t>
      </w:r>
    </w:p>
    <w:p>
      <w:pPr>
        <w:rPr>
          <w:rFonts w:ascii="仿宋" w:hAnsi="仿宋" w:eastAsia="仿宋" w:cs="仿宋"/>
          <w:color w:val="auto"/>
          <w:sz w:val="24"/>
          <w:highlight w:val="none"/>
        </w:rPr>
      </w:pPr>
      <w:r>
        <w:rPr>
          <w:rFonts w:hint="eastAsia" w:ascii="仿宋" w:hAnsi="仿宋" w:eastAsia="仿宋" w:cs="仿宋"/>
          <w:color w:val="auto"/>
          <w:sz w:val="24"/>
          <w:highlight w:val="none"/>
        </w:rPr>
        <w:t>标项1：杭州市萧山区第三人民医院云影像服务政府采购项目</w:t>
      </w:r>
    </w:p>
    <w:tbl>
      <w:tblPr>
        <w:tblStyle w:val="62"/>
        <w:tblpPr w:leftFromText="180" w:rightFromText="180" w:vertAnchor="text" w:horzAnchor="margin" w:tblpXSpec="center" w:tblpY="63"/>
        <w:tblOverlap w:val="never"/>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2920"/>
        <w:gridCol w:w="650"/>
        <w:gridCol w:w="576"/>
        <w:gridCol w:w="1416"/>
        <w:gridCol w:w="1882"/>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567"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920"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50"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576"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16"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882"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436"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7" w:hRule="atLeast"/>
          <w:jc w:val="center"/>
        </w:trPr>
        <w:tc>
          <w:tcPr>
            <w:tcW w:w="567" w:type="dxa"/>
            <w:tcMar>
              <w:top w:w="15" w:type="dxa"/>
              <w:left w:w="15" w:type="dxa"/>
              <w:bottom w:w="0" w:type="dxa"/>
              <w:right w:w="15" w:type="dxa"/>
            </w:tcMar>
            <w:vAlign w:val="center"/>
          </w:tcPr>
          <w:p>
            <w:pPr>
              <w:tabs>
                <w:tab w:val="left" w:pos="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920" w:type="dxa"/>
            <w:tcMar>
              <w:top w:w="15" w:type="dxa"/>
              <w:left w:w="15" w:type="dxa"/>
              <w:bottom w:w="0" w:type="dxa"/>
              <w:right w:w="15" w:type="dxa"/>
            </w:tcMar>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杭州市萧山区第三人民医院云影像服务政府采购项目</w:t>
            </w:r>
          </w:p>
        </w:tc>
        <w:tc>
          <w:tcPr>
            <w:tcW w:w="650" w:type="dxa"/>
            <w:tcMar>
              <w:top w:w="15" w:type="dxa"/>
              <w:left w:w="15" w:type="dxa"/>
              <w:bottom w:w="0" w:type="dxa"/>
              <w:right w:w="15" w:type="dxa"/>
            </w:tcMar>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76" w:type="dxa"/>
            <w:tcMar>
              <w:top w:w="15" w:type="dxa"/>
              <w:left w:w="15" w:type="dxa"/>
              <w:bottom w:w="0" w:type="dxa"/>
              <w:right w:w="15" w:type="dxa"/>
            </w:tcMar>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年</w:t>
            </w:r>
          </w:p>
        </w:tc>
        <w:tc>
          <w:tcPr>
            <w:tcW w:w="1416" w:type="dxa"/>
            <w:vAlign w:val="center"/>
          </w:tcPr>
          <w:p>
            <w:pPr>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w:t>
            </w:r>
            <w:r>
              <w:rPr>
                <w:rFonts w:ascii="仿宋" w:hAnsi="仿宋" w:eastAsia="仿宋" w:cs="仿宋"/>
                <w:color w:val="auto"/>
                <w:sz w:val="24"/>
                <w:highlight w:val="none"/>
              </w:rPr>
              <w:t>00000</w:t>
            </w:r>
            <w:r>
              <w:rPr>
                <w:rFonts w:hint="eastAsia" w:ascii="仿宋" w:hAnsi="仿宋" w:eastAsia="仿宋" w:cs="仿宋"/>
                <w:color w:val="auto"/>
                <w:sz w:val="24"/>
                <w:highlight w:val="none"/>
              </w:rPr>
              <w:t>.00</w:t>
            </w:r>
          </w:p>
        </w:tc>
        <w:tc>
          <w:tcPr>
            <w:tcW w:w="1882" w:type="dxa"/>
            <w:vAlign w:val="center"/>
          </w:tcPr>
          <w:p>
            <w:pPr>
              <w:tabs>
                <w:tab w:val="left" w:pos="0"/>
              </w:tabs>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二、采购需求</w:t>
            </w:r>
          </w:p>
        </w:tc>
        <w:tc>
          <w:tcPr>
            <w:tcW w:w="1436" w:type="dxa"/>
            <w:vAlign w:val="center"/>
          </w:tcPr>
          <w:p>
            <w:pPr>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9</w:t>
            </w:r>
            <w:r>
              <w:rPr>
                <w:rFonts w:ascii="仿宋" w:hAnsi="仿宋" w:eastAsia="仿宋" w:cs="仿宋"/>
                <w:color w:val="auto"/>
                <w:sz w:val="24"/>
                <w:highlight w:val="none"/>
              </w:rPr>
              <w:t>00000</w:t>
            </w:r>
            <w:r>
              <w:rPr>
                <w:rFonts w:hint="eastAsia" w:ascii="仿宋" w:hAnsi="仿宋" w:eastAsia="仿宋" w:cs="仿宋"/>
                <w:color w:val="auto"/>
                <w:sz w:val="24"/>
                <w:highlight w:val="none"/>
              </w:rPr>
              <w:t>.00</w:t>
            </w:r>
          </w:p>
        </w:tc>
      </w:tr>
    </w:tbl>
    <w:p>
      <w:pPr>
        <w:rPr>
          <w:rFonts w:ascii="仿宋" w:hAnsi="仿宋" w:eastAsia="仿宋" w:cs="仿宋"/>
          <w:b/>
          <w:color w:val="auto"/>
          <w:sz w:val="22"/>
          <w:szCs w:val="22"/>
          <w:highlight w:val="none"/>
        </w:rPr>
      </w:pPr>
    </w:p>
    <w:p>
      <w:pPr>
        <w:pStyle w:val="4"/>
        <w:ind w:left="630" w:hanging="630"/>
        <w:jc w:val="center"/>
        <w:rPr>
          <w:rFonts w:ascii="仿宋" w:eastAsia="仿宋" w:cs="仿宋"/>
          <w:color w:val="auto"/>
          <w:sz w:val="24"/>
          <w:szCs w:val="24"/>
          <w:highlight w:val="none"/>
        </w:rPr>
      </w:pPr>
      <w:r>
        <w:rPr>
          <w:rFonts w:ascii="仿宋" w:eastAsia="仿宋" w:cs="仿宋"/>
          <w:color w:val="auto"/>
          <w:highlight w:val="none"/>
        </w:rPr>
        <w:t>二、</w:t>
      </w:r>
      <w:r>
        <w:rPr>
          <w:rFonts w:hint="eastAsia" w:ascii="仿宋" w:eastAsia="仿宋" w:cs="仿宋"/>
          <w:color w:val="auto"/>
          <w:highlight w:val="none"/>
        </w:rPr>
        <w:t>采购需求</w:t>
      </w:r>
    </w:p>
    <w:p>
      <w:pPr>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1、项目需求服务清单</w:t>
      </w:r>
    </w:p>
    <w:tbl>
      <w:tblPr>
        <w:tblStyle w:val="62"/>
        <w:tblW w:w="5399" w:type="pct"/>
        <w:jc w:val="center"/>
        <w:tblLayout w:type="fixed"/>
        <w:tblCellMar>
          <w:top w:w="0" w:type="dxa"/>
          <w:left w:w="108" w:type="dxa"/>
          <w:bottom w:w="0" w:type="dxa"/>
          <w:right w:w="108" w:type="dxa"/>
        </w:tblCellMar>
      </w:tblPr>
      <w:tblGrid>
        <w:gridCol w:w="716"/>
        <w:gridCol w:w="1998"/>
        <w:gridCol w:w="4214"/>
        <w:gridCol w:w="1285"/>
        <w:gridCol w:w="960"/>
      </w:tblGrid>
      <w:tr>
        <w:tblPrEx>
          <w:tblCellMar>
            <w:top w:w="0" w:type="dxa"/>
            <w:left w:w="108" w:type="dxa"/>
            <w:bottom w:w="0" w:type="dxa"/>
            <w:right w:w="108" w:type="dxa"/>
          </w:tblCellMar>
        </w:tblPrEx>
        <w:trPr>
          <w:trHeight w:val="459"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b/>
                <w:color w:val="auto"/>
                <w:sz w:val="24"/>
                <w:highlight w:val="none"/>
                <w:lang w:bidi="ar"/>
              </w:rPr>
              <w:t>序号</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b/>
                <w:color w:val="auto"/>
                <w:sz w:val="24"/>
                <w:highlight w:val="none"/>
                <w:lang w:bidi="ar"/>
              </w:rPr>
              <w:t>名称</w:t>
            </w:r>
          </w:p>
        </w:tc>
        <w:tc>
          <w:tcPr>
            <w:tcW w:w="4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b/>
                <w:color w:val="auto"/>
                <w:sz w:val="24"/>
                <w:highlight w:val="none"/>
                <w:lang w:eastAsia="zh-CN" w:bidi="ar"/>
              </w:rPr>
              <w:t>具体</w:t>
            </w:r>
            <w:r>
              <w:rPr>
                <w:rFonts w:hint="eastAsia" w:ascii="仿宋" w:hAnsi="仿宋" w:eastAsia="仿宋" w:cs="仿宋"/>
                <w:b/>
                <w:color w:val="auto"/>
                <w:sz w:val="24"/>
                <w:highlight w:val="none"/>
                <w:lang w:bidi="ar"/>
              </w:rPr>
              <w:t>描述</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b/>
                <w:color w:val="auto"/>
                <w:sz w:val="24"/>
                <w:highlight w:val="none"/>
                <w:lang w:bidi="ar"/>
              </w:rPr>
              <w:t>数量（套）</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lang w:bidi="ar"/>
              </w:rPr>
              <w:t>备注</w:t>
            </w:r>
          </w:p>
        </w:tc>
      </w:tr>
      <w:tr>
        <w:tblPrEx>
          <w:tblCellMar>
            <w:top w:w="0" w:type="dxa"/>
            <w:left w:w="108" w:type="dxa"/>
            <w:bottom w:w="0" w:type="dxa"/>
            <w:right w:w="108" w:type="dxa"/>
          </w:tblCellMar>
        </w:tblPrEx>
        <w:trPr>
          <w:trHeight w:val="646"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1</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云存储归档服务</w:t>
            </w:r>
          </w:p>
        </w:tc>
        <w:tc>
          <w:tcPr>
            <w:tcW w:w="42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lang w:bidi="ar"/>
              </w:rPr>
              <w:t>实现影像数据管理、统计收费情况及收费明细</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46"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2</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数据集成监管治理服务</w:t>
            </w:r>
          </w:p>
        </w:tc>
        <w:tc>
          <w:tcPr>
            <w:tcW w:w="42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lang w:bidi="ar"/>
              </w:rPr>
              <w:t>实现不同权限的人员对萧山区域内临床应用数据集成后的数据治理及监管</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73"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3</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数字影像后台管理系统</w:t>
            </w:r>
          </w:p>
        </w:tc>
        <w:tc>
          <w:tcPr>
            <w:tcW w:w="42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lang w:bidi="ar"/>
              </w:rPr>
              <w:t>提供对上传至云端的影像进行删除及恢复的操作后台</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339"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4</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数据融合服务</w:t>
            </w:r>
          </w:p>
        </w:tc>
        <w:tc>
          <w:tcPr>
            <w:tcW w:w="42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lang w:bidi="ar"/>
              </w:rPr>
              <w:t>与医共体内医疗机构院内PACS、HIS、EMR、LIS等集成接口</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52"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5</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数据共享服务</w:t>
            </w:r>
          </w:p>
        </w:tc>
        <w:tc>
          <w:tcPr>
            <w:tcW w:w="42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lang w:bidi="ar"/>
              </w:rPr>
              <w:t>提供PC、PAD、智能手机等各种终端的数据调阅与共享服务</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52"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6</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患者影像调阅服务</w:t>
            </w:r>
          </w:p>
        </w:tc>
        <w:tc>
          <w:tcPr>
            <w:tcW w:w="42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lang w:bidi="ar"/>
              </w:rPr>
              <w:t>患者通过扫描二维码查阅自己相关的影像报告和数据</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0"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7</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患者临床数据调阅服务</w:t>
            </w:r>
          </w:p>
        </w:tc>
        <w:tc>
          <w:tcPr>
            <w:tcW w:w="42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lang w:bidi="ar"/>
              </w:rPr>
              <w:t>患者通过验证信息查阅杭州市萧山区第三人民医院内自己和亲友的客观病历</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52"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8</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移动阅片服务</w:t>
            </w:r>
          </w:p>
        </w:tc>
        <w:tc>
          <w:tcPr>
            <w:tcW w:w="42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lang w:bidi="ar"/>
              </w:rPr>
              <w:t>医生专家可以通过PC端、移动终端进行远程阅片，包括检查报告调阅</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p>
        </w:tc>
      </w:tr>
    </w:tbl>
    <w:p>
      <w:pPr>
        <w:spacing w:line="360" w:lineRule="auto"/>
        <w:rPr>
          <w:rFonts w:ascii="仿宋" w:hAnsi="仿宋" w:eastAsia="仿宋" w:cs="华文仿宋"/>
          <w:b/>
          <w:bCs/>
          <w:color w:val="auto"/>
          <w:sz w:val="24"/>
          <w:highlight w:val="none"/>
          <w:lang w:bidi="ar"/>
        </w:rPr>
      </w:pPr>
    </w:p>
    <w:p>
      <w:pPr>
        <w:spacing w:line="360" w:lineRule="auto"/>
        <w:rPr>
          <w:rFonts w:ascii="仿宋" w:hAnsi="仿宋" w:eastAsia="仿宋" w:cs="华文仿宋"/>
          <w:b/>
          <w:bCs/>
          <w:color w:val="auto"/>
          <w:sz w:val="24"/>
          <w:highlight w:val="none"/>
        </w:rPr>
      </w:pPr>
      <w:r>
        <w:rPr>
          <w:rFonts w:hint="eastAsia" w:ascii="仿宋" w:hAnsi="仿宋" w:eastAsia="仿宋" w:cs="华文仿宋"/>
          <w:b/>
          <w:bCs/>
          <w:color w:val="auto"/>
          <w:sz w:val="24"/>
          <w:highlight w:val="none"/>
          <w:lang w:bidi="ar"/>
        </w:rPr>
        <w:t>2、主要技术参数要求</w:t>
      </w:r>
    </w:p>
    <w:tbl>
      <w:tblPr>
        <w:tblStyle w:val="62"/>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8"/>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序号</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（一）</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云服务基本要求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(1)</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提供云主机、云负载均衡、云安全、云备份、互联网出口、专线服务。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(2)</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实现杭州市萧山区第三人民医院内各医疗机构之间的临床应用数据电脑端、移动端的相互调阅与分享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(3)</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支持医院影像检查报告、DICOM标准影像文件通过移动设备、WEB网页进行调阅和共享。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(4)</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云影像软件服务器硬件无需GPU显卡，调阅影像数据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(5)</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支持临床数据调阅的开放接口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(6)</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建设云影像全局索引，并支持第三方系统调阅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(7)</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支持影像云平台数据调阅量统计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(8)</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支持字段级数据加密和数据脱敏（任意打开DR\CT\MR影像，不能含有患者或医院的任意标记）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(9)</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支持对误上传或重复上传的云影像数据进行手动删除、恢复等操作功能后台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(10)</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采用数据库与影像数据分离存储方式，优化数据库设计，保障海量数据存储与检索的性能。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(11)</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支持经代理方式进行图像调阅及图像获取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(1</w:t>
            </w:r>
            <w:r>
              <w:rPr>
                <w:rFonts w:hint="eastAsia" w:ascii="仿宋" w:hAnsi="仿宋" w:eastAsia="仿宋" w:cs="仿宋"/>
                <w:color w:val="auto"/>
                <w:szCs w:val="21"/>
                <w:highlight w:val="none"/>
              </w:rPr>
              <w:t>2</w:t>
            </w:r>
            <w:r>
              <w:rPr>
                <w:rFonts w:ascii="仿宋" w:hAnsi="仿宋" w:eastAsia="仿宋" w:cs="仿宋"/>
                <w:color w:val="auto"/>
                <w:szCs w:val="21"/>
                <w:highlight w:val="none"/>
              </w:rPr>
              <w:t>)</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软件需支持安全隔离的容器化部署以下其中一种或多种（Docker\Podman）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（二）</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浙江省“数字影像服务”建设质控要求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(13)</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要求影像及报告支持患者查阅、分享和授权下载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(14)</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要求具备身份认证、授权、限时阅读等患者隐私保护措施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(15)</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需提供最少三种“云影像”的服务入口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(16)</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需提供三年以上的“云影像”可查阅的时限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(17)</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在4G环境下，浏览速度满足临床诊疗要求≥30幅/秒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(18)</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需保证“云影像”使用者所调阅的图像和序列与PACS一致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(19)</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“云影像”服务需具备窗宽床位调节、缩放和测量功能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(20)</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lang w:bidi="ar"/>
              </w:rPr>
              <w:t>▲投标人需承诺：项目服务期间，若浙江省“数字影像服务”建设质控内容更新，则无条件配合医院完成对相关功能的升级，对“数字影像服务”建设质控内容进行满足（提供承诺函并加盖公章</w:t>
            </w:r>
            <w:r>
              <w:rPr>
                <w:rFonts w:hint="eastAsia" w:ascii="仿宋" w:hAnsi="仿宋" w:eastAsia="仿宋" w:cs="仿宋"/>
                <w:b/>
                <w:bCs/>
                <w:color w:val="auto"/>
                <w:sz w:val="24"/>
                <w:highlight w:val="none"/>
                <w:lang w:val="en-US" w:eastAsia="zh-CN" w:bidi="ar"/>
              </w:rPr>
              <w:t>,格式自拟</w:t>
            </w:r>
            <w:r>
              <w:rPr>
                <w:rFonts w:hint="eastAsia" w:ascii="仿宋" w:hAnsi="仿宋" w:eastAsia="仿宋" w:cs="仿宋"/>
                <w:b/>
                <w:bCs/>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（三）</w:t>
            </w:r>
          </w:p>
        </w:tc>
        <w:tc>
          <w:tcPr>
            <w:tcW w:w="75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云影像服务项目存储服务要求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(21)</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宋体" w:hAnsi="宋体" w:cs="宋体"/>
                <w:b/>
                <w:bCs/>
                <w:color w:val="auto"/>
                <w:sz w:val="24"/>
                <w:highlight w:val="none"/>
              </w:rPr>
              <w:t>■</w:t>
            </w:r>
            <w:r>
              <w:rPr>
                <w:rFonts w:hint="eastAsia" w:ascii="仿宋" w:hAnsi="仿宋" w:eastAsia="仿宋" w:cs="仿宋"/>
                <w:color w:val="auto"/>
                <w:sz w:val="24"/>
                <w:highlight w:val="none"/>
                <w:lang w:bidi="ar"/>
              </w:rPr>
              <w:t>云存储服务需在HTTP协议下支持单流大对象上传带宽2.4Gb/s；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(22)</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宋体" w:hAnsi="宋体" w:cs="宋体"/>
                <w:b/>
                <w:bCs/>
                <w:color w:val="auto"/>
                <w:sz w:val="24"/>
                <w:highlight w:val="none"/>
              </w:rPr>
              <w:t>■</w:t>
            </w:r>
            <w:r>
              <w:rPr>
                <w:rFonts w:hint="eastAsia" w:ascii="仿宋" w:hAnsi="仿宋" w:eastAsia="仿宋" w:cs="仿宋"/>
                <w:color w:val="auto"/>
                <w:sz w:val="24"/>
                <w:highlight w:val="none"/>
                <w:lang w:bidi="ar"/>
              </w:rPr>
              <w:t>需提供文件或者目录的链接分享功能，接收客户通过链接和提取码，在链接有效期内提取文件；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(23)</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宋体" w:hAnsi="宋体" w:cs="宋体"/>
                <w:b/>
                <w:bCs/>
                <w:color w:val="auto"/>
                <w:sz w:val="24"/>
                <w:highlight w:val="none"/>
              </w:rPr>
              <w:t>■</w:t>
            </w:r>
            <w:r>
              <w:rPr>
                <w:rFonts w:hint="eastAsia" w:ascii="仿宋" w:hAnsi="仿宋" w:eastAsia="仿宋" w:cs="仿宋"/>
                <w:color w:val="auto"/>
                <w:sz w:val="24"/>
                <w:highlight w:val="none"/>
                <w:lang w:bidi="ar"/>
              </w:rPr>
              <w:t>云影像硬盘备份支持快照，支持单个EVS支持7个快照；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(24)</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需通过多级可靠性架构，保障数据持久性、业务连续性要求；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(25)</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宋体" w:hAnsi="宋体" w:cs="宋体"/>
                <w:b/>
                <w:bCs/>
                <w:color w:val="auto"/>
                <w:sz w:val="24"/>
                <w:highlight w:val="none"/>
              </w:rPr>
              <w:t>■</w:t>
            </w:r>
            <w:r>
              <w:rPr>
                <w:rFonts w:hint="eastAsia" w:ascii="仿宋" w:hAnsi="仿宋" w:eastAsia="仿宋" w:cs="仿宋"/>
                <w:color w:val="auto"/>
                <w:sz w:val="24"/>
                <w:highlight w:val="none"/>
                <w:lang w:bidi="ar"/>
              </w:rPr>
              <w:t>SSD云盘IOPS性能达到33000IOPS 、带宽达到350MB/s以上；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(26)</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采用分布式存储系统，支持大规模强结构化数据存储，如SQL关系型数据库，单库容量大于等于1TB；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(27)</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采用分布式存储系统，支持大规模结构、半结构化数据存储，如NOSQL数据库,单表支持的存储空间大于等于100TB；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(28)</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宋体" w:hAnsi="宋体" w:cs="宋体"/>
                <w:b/>
                <w:bCs/>
                <w:color w:val="auto"/>
                <w:sz w:val="24"/>
                <w:highlight w:val="none"/>
              </w:rPr>
              <w:t>■</w:t>
            </w:r>
            <w:r>
              <w:rPr>
                <w:rFonts w:hint="eastAsia" w:ascii="仿宋" w:hAnsi="仿宋" w:eastAsia="仿宋" w:cs="仿宋"/>
                <w:color w:val="auto"/>
                <w:sz w:val="24"/>
                <w:highlight w:val="none"/>
                <w:lang w:bidi="ar"/>
              </w:rPr>
              <w:t>支持Oracle RAC的共享云硬盘，不少于16台共享云硬盘挂载。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(29)</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w:t>
            </w:r>
            <w:r>
              <w:rPr>
                <w:rFonts w:hint="eastAsia" w:ascii="仿宋" w:hAnsi="仿宋" w:eastAsia="仿宋" w:cs="仿宋"/>
                <w:b/>
                <w:bCs/>
                <w:color w:val="auto"/>
                <w:sz w:val="24"/>
                <w:highlight w:val="none"/>
                <w:lang w:bidi="ar"/>
              </w:rPr>
              <w:t>要求保障所有影像存储服务时间为30年（提供承诺函并加盖公章）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（四）</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云主机安全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(30)</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防ARP欺骗，防DDos攻击，提供流量清洗服务。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(31)</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宋体" w:hAnsi="宋体" w:cs="宋体"/>
                <w:b/>
                <w:bCs/>
                <w:color w:val="auto"/>
                <w:sz w:val="24"/>
                <w:highlight w:val="none"/>
              </w:rPr>
              <w:t>■</w:t>
            </w:r>
            <w:r>
              <w:rPr>
                <w:rFonts w:hint="eastAsia" w:ascii="仿宋" w:hAnsi="仿宋" w:eastAsia="仿宋" w:cs="仿宋"/>
                <w:color w:val="auto"/>
                <w:sz w:val="24"/>
                <w:highlight w:val="none"/>
                <w:lang w:bidi="ar"/>
              </w:rPr>
              <w:t>云服务器备份提供对弹性云服务器和裸金属服务器的基于多云硬盘一致性快照技术的数据保护；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(32)</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用户可自助开通防火墙，并定义防火墙规则。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rPr>
              <w:t>3</w:t>
            </w:r>
            <w:r>
              <w:rPr>
                <w:rFonts w:ascii="仿宋" w:hAnsi="仿宋" w:eastAsia="仿宋" w:cs="仿宋"/>
                <w:color w:val="auto"/>
                <w:szCs w:val="21"/>
                <w:highlight w:val="none"/>
              </w:rPr>
              <w:t>)</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网络隔离。支持两块网卡，不同网卡连接不同网络安全域。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（五）</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存储服务安全性要求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rPr>
              <w:t>4</w:t>
            </w:r>
            <w:r>
              <w:rPr>
                <w:rFonts w:ascii="仿宋" w:hAnsi="仿宋" w:eastAsia="仿宋" w:cs="仿宋"/>
                <w:color w:val="auto"/>
                <w:szCs w:val="21"/>
                <w:highlight w:val="none"/>
              </w:rPr>
              <w:t>)</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具备完善的多用户隔离机制，保障用户数据的私密性。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rPr>
              <w:t>5</w:t>
            </w:r>
            <w:r>
              <w:rPr>
                <w:rFonts w:ascii="仿宋" w:hAnsi="仿宋" w:eastAsia="仿宋" w:cs="仿宋"/>
                <w:color w:val="auto"/>
                <w:szCs w:val="21"/>
                <w:highlight w:val="none"/>
              </w:rPr>
              <w:t>)</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云服务端提供加密用户身份验证，提供签名权限控制与防盗链功能。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lang w:bidi="ar"/>
              </w:rPr>
              <w:t>（六）</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带宽要求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rPr>
              <w:t>6</w:t>
            </w:r>
            <w:r>
              <w:rPr>
                <w:rFonts w:ascii="仿宋" w:hAnsi="仿宋" w:eastAsia="仿宋" w:cs="仿宋"/>
                <w:color w:val="auto"/>
                <w:szCs w:val="21"/>
                <w:highlight w:val="none"/>
              </w:rPr>
              <w:t>)</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b w:val="0"/>
                <w:bCs w:val="0"/>
                <w:color w:val="auto"/>
                <w:sz w:val="24"/>
                <w:highlight w:val="none"/>
                <w:lang w:bidi="ar"/>
              </w:rPr>
              <w:t>需提供200兆带宽接入，费用无需另行支付。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rPr>
              <w:t>7</w:t>
            </w:r>
            <w:r>
              <w:rPr>
                <w:rFonts w:ascii="仿宋" w:hAnsi="仿宋" w:eastAsia="仿宋" w:cs="仿宋"/>
                <w:color w:val="auto"/>
                <w:szCs w:val="21"/>
                <w:highlight w:val="none"/>
              </w:rPr>
              <w:t>)</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宋体" w:hAnsi="宋体" w:cs="宋体"/>
                <w:b/>
                <w:bCs/>
                <w:color w:val="auto"/>
                <w:sz w:val="24"/>
                <w:highlight w:val="none"/>
              </w:rPr>
              <w:t>■</w:t>
            </w:r>
            <w:r>
              <w:rPr>
                <w:rFonts w:hint="eastAsia" w:ascii="仿宋" w:hAnsi="仿宋" w:eastAsia="仿宋" w:cs="仿宋"/>
                <w:color w:val="auto"/>
                <w:sz w:val="24"/>
                <w:highlight w:val="none"/>
                <w:lang w:bidi="ar"/>
              </w:rPr>
              <w:t>自动调整带宽上线，可定时、周期、告警触发，自动调整指定带宽的上限。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rPr>
              <w:t>8</w:t>
            </w:r>
            <w:r>
              <w:rPr>
                <w:rFonts w:ascii="仿宋" w:hAnsi="仿宋" w:eastAsia="仿宋" w:cs="仿宋"/>
                <w:color w:val="auto"/>
                <w:szCs w:val="21"/>
                <w:highlight w:val="none"/>
              </w:rPr>
              <w:t>)</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宋体" w:hAnsi="宋体" w:cs="宋体"/>
                <w:b/>
                <w:bCs/>
                <w:color w:val="auto"/>
                <w:sz w:val="24"/>
                <w:highlight w:val="none"/>
              </w:rPr>
              <w:t>■</w:t>
            </w:r>
            <w:r>
              <w:rPr>
                <w:rFonts w:hint="eastAsia" w:ascii="仿宋" w:hAnsi="仿宋" w:eastAsia="仿宋" w:cs="仿宋"/>
                <w:color w:val="auto"/>
                <w:sz w:val="24"/>
                <w:highlight w:val="none"/>
                <w:lang w:bidi="ar"/>
              </w:rPr>
              <w:t>使用AS伸缩带宽设定定期、周期、监控告警触发带宽的自动调整。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ascii="仿宋" w:hAnsi="仿宋" w:eastAsia="仿宋" w:cs="仿宋"/>
                <w:color w:val="auto"/>
                <w:kern w:val="0"/>
                <w:szCs w:val="21"/>
                <w:highlight w:val="none"/>
                <w:lang w:bidi="ar"/>
              </w:rPr>
            </w:pPr>
            <w:r>
              <w:rPr>
                <w:rFonts w:hint="eastAsia" w:ascii="仿宋" w:hAnsi="仿宋" w:eastAsia="仿宋" w:cs="仿宋"/>
                <w:b/>
                <w:bCs/>
                <w:color w:val="auto"/>
                <w:szCs w:val="21"/>
                <w:highlight w:val="none"/>
                <w:lang w:bidi="ar"/>
              </w:rPr>
              <w:t>（七）</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lang w:bidi="ar"/>
              </w:rPr>
              <w:t>数据集成监管治理服务要求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(39)</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b/>
                <w:bCs/>
                <w:color w:val="auto"/>
                <w:sz w:val="24"/>
                <w:highlight w:val="none"/>
              </w:rPr>
            </w:pPr>
            <w:r>
              <w:rPr>
                <w:rFonts w:hint="eastAsia" w:ascii="仿宋" w:hAnsi="仿宋" w:eastAsia="仿宋" w:cs="仿宋"/>
                <w:color w:val="auto"/>
                <w:sz w:val="24"/>
                <w:highlight w:val="none"/>
                <w:lang w:bidi="ar"/>
              </w:rPr>
              <w:t>临床数据同步时间15分钟以内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(40)</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以标准规范体系为基准，将各种不同来源的数据类型（HIS、EMR、LIS、PACS等核心业务系统）通过相应的数据采集技术完成院内的临床诊疗数据汇聚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(41)</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建立个人信息主索引，通过主索引建立与各个业务系统的关联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(42)</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提供不同个人信息记录之间关联的关系图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(43)</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提供患者交叉索引功能，支持将不同来源患者的不同类型ID进行交叉索引。ID包括身份证号、诊疗卡号、住院号、门诊号、医保号等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(44)</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汇聚的数据支持来源于业务系统的备份库等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(45)</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支持通过ETL技术，采用时间戳获取增量数据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(46)</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支持服务或消息的模式获取来源于其他系统的数据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(47)</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提供对汇聚库的数据库、CPU、内存、数据汇聚情况等的监控功能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(48)</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支持对汇聚的数据进行质量控制，并提供源库的数据质量报告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(49)</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支持基础数据清洗规则库的维护（新增、编辑、删除）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(50)</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创建清洗任务可以从基础规则库选择清洗规则，也可以自定义规则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(51)</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清洗任务可以单个任务或多个任务组合进行任务调度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(52)</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对错误数据，提供问题日志、以及错误数据存储、查阅功能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(53)</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支持根据机构情况进行人员权限配置，支持不同权限人员对不同数据的管理、查看、编辑功能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(54)</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支持诊断结果报告和影像结果报告实现移动端推送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(55)</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支持定期检查影像文件和索引的匹配状态，对发现的异常及时消息提醒。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(56)</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lang w:bidi="ar"/>
              </w:rPr>
            </w:pPr>
            <w:r>
              <w:rPr>
                <w:rFonts w:hint="eastAsia" w:ascii="仿宋" w:hAnsi="仿宋" w:eastAsia="仿宋" w:cs="仿宋"/>
                <w:color w:val="auto"/>
                <w:sz w:val="24"/>
                <w:highlight w:val="none"/>
              </w:rPr>
              <w:t>支持身份不可知患者或缴费状态异常患者的影像数据查阅。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（八）</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居民调阅服务要求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(57)</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支持患者查询、分享和授权下载云影像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(58)</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针对放射图像直接以DICOM原文件方式进行移动端影像调阅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(59)</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支持对检查数据进行集成浏览。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(60)</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支持云影像测量对象的索引、复制及测量结果移动功能。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(61)</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可在移动设备上进行图像放大缩小、窗宽窗位调节、大小长度测量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(62)</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具有点CT值测量及画圈平均CT值测量功能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(63)</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具有角度测量功能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(64)</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具有根据窗宽窗位自定义设置并进行选择功能（如选择肺窗、纵膈窗）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(65)</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具有MPR功能，支持冠状面、矢状面快速切换及图像滚动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(66)</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支持在浏览影像时能进行无损压缩切换查看功能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(67)</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支持下载DICOM原文件，发送至邮箱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(68)</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支持报告页面一键分享功能，能将报告超链接地址通过复制链接、微信、QQ发送给专家查看，具备身份认证、授权、限时阅读等患者隐私保护措施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(69)</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支持通过微信、钉钉扫描二维码查询报告及图像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(70)</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支持通过就诊卡绑定医院公众号后可查阅检查报告和图像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(71)</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提供对外档案信息对接，支持界面调用及接口数据共享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(72)</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未支付数字影像费用患者，扫码后提示未缴费，未缴费情况下无法查看影像及检查报告。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(73)</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通过输入身份证号码验证授权后才可影像调阅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(7</w:t>
            </w:r>
            <w:r>
              <w:rPr>
                <w:rFonts w:hint="eastAsia" w:ascii="仿宋" w:hAnsi="仿宋" w:eastAsia="仿宋" w:cs="仿宋"/>
                <w:color w:val="auto"/>
                <w:szCs w:val="21"/>
                <w:highlight w:val="none"/>
              </w:rPr>
              <w:t>4</w:t>
            </w:r>
            <w:r>
              <w:rPr>
                <w:rFonts w:ascii="仿宋" w:hAnsi="仿宋" w:eastAsia="仿宋" w:cs="仿宋"/>
                <w:color w:val="auto"/>
                <w:szCs w:val="21"/>
                <w:highlight w:val="none"/>
              </w:rPr>
              <w:t>)</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诊断报告和图像支持实现手机消息推送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rPr>
                <w:rFonts w:ascii="仿宋" w:hAnsi="仿宋" w:eastAsia="仿宋" w:cs="仿宋"/>
                <w:color w:val="auto"/>
                <w:szCs w:val="21"/>
                <w:highlight w:val="none"/>
              </w:rPr>
            </w:pPr>
            <w:r>
              <w:rPr>
                <w:rFonts w:ascii="仿宋" w:hAnsi="仿宋" w:eastAsia="仿宋" w:cs="仿宋"/>
                <w:color w:val="auto"/>
                <w:szCs w:val="21"/>
                <w:highlight w:val="none"/>
              </w:rPr>
              <w:t>(7</w:t>
            </w:r>
            <w:r>
              <w:rPr>
                <w:rFonts w:hint="eastAsia" w:ascii="仿宋" w:hAnsi="仿宋" w:eastAsia="仿宋" w:cs="仿宋"/>
                <w:color w:val="auto"/>
                <w:szCs w:val="21"/>
                <w:highlight w:val="none"/>
              </w:rPr>
              <w:t>5</w:t>
            </w:r>
            <w:r>
              <w:rPr>
                <w:rFonts w:ascii="仿宋" w:hAnsi="仿宋" w:eastAsia="仿宋" w:cs="仿宋"/>
                <w:color w:val="auto"/>
                <w:szCs w:val="21"/>
                <w:highlight w:val="none"/>
              </w:rPr>
              <w:t>)</w:t>
            </w:r>
          </w:p>
        </w:tc>
        <w:tc>
          <w:tcPr>
            <w:tcW w:w="7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支持数字影像同步，支持WEB端通过扫码授权浏览DICOM源文件</w:t>
            </w:r>
          </w:p>
        </w:tc>
      </w:tr>
    </w:tbl>
    <w:p>
      <w:pPr>
        <w:spacing w:line="360" w:lineRule="auto"/>
        <w:rPr>
          <w:rFonts w:ascii="仿宋" w:hAnsi="仿宋" w:eastAsia="仿宋" w:cs="华文仿宋"/>
          <w:b/>
          <w:bCs/>
          <w:color w:val="auto"/>
          <w:sz w:val="24"/>
          <w:highlight w:val="none"/>
          <w:lang w:bidi="ar"/>
        </w:rPr>
      </w:pPr>
    </w:p>
    <w:p>
      <w:pPr>
        <w:spacing w:line="360" w:lineRule="auto"/>
        <w:rPr>
          <w:rFonts w:ascii="仿宋" w:hAnsi="仿宋" w:eastAsia="仿宋" w:cs="华文仿宋"/>
          <w:b/>
          <w:bCs/>
          <w:color w:val="auto"/>
          <w:sz w:val="24"/>
          <w:highlight w:val="none"/>
        </w:rPr>
      </w:pPr>
      <w:r>
        <w:rPr>
          <w:rFonts w:hint="eastAsia" w:ascii="仿宋" w:hAnsi="仿宋" w:eastAsia="仿宋" w:cs="华文仿宋"/>
          <w:b/>
          <w:bCs/>
          <w:color w:val="auto"/>
          <w:sz w:val="24"/>
          <w:highlight w:val="none"/>
          <w:lang w:bidi="ar"/>
        </w:rPr>
        <w:t>3.接口说明</w:t>
      </w:r>
    </w:p>
    <w:tbl>
      <w:tblPr>
        <w:tblStyle w:val="62"/>
        <w:tblW w:w="5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4163"/>
        <w:gridCol w:w="1750"/>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系统</w:t>
            </w:r>
          </w:p>
        </w:tc>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建设内容</w:t>
            </w:r>
          </w:p>
        </w:tc>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软件是否改动</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实现人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HIS</w:t>
            </w:r>
          </w:p>
        </w:tc>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患者数字影像报告项目收费（门诊+住院）</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改动</w:t>
            </w:r>
          </w:p>
        </w:tc>
        <w:tc>
          <w:tcPr>
            <w:tcW w:w="18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HIS</w:t>
            </w:r>
          </w:p>
        </w:tc>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支持线上补费功能</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改动</w:t>
            </w:r>
          </w:p>
        </w:tc>
        <w:tc>
          <w:tcPr>
            <w:tcW w:w="18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PACS</w:t>
            </w:r>
          </w:p>
        </w:tc>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预约登记二维码</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改动</w:t>
            </w:r>
          </w:p>
        </w:tc>
        <w:tc>
          <w:tcPr>
            <w:tcW w:w="18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PACS</w:t>
            </w:r>
          </w:p>
        </w:tc>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检查记录</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改动</w:t>
            </w:r>
          </w:p>
        </w:tc>
        <w:tc>
          <w:tcPr>
            <w:tcW w:w="18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PACS</w:t>
            </w:r>
          </w:p>
        </w:tc>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检查报告接口</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改动</w:t>
            </w:r>
          </w:p>
        </w:tc>
        <w:tc>
          <w:tcPr>
            <w:tcW w:w="18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PACS</w:t>
            </w:r>
          </w:p>
        </w:tc>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影像推送服务</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改动</w:t>
            </w:r>
          </w:p>
        </w:tc>
        <w:tc>
          <w:tcPr>
            <w:tcW w:w="18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PACS</w:t>
            </w:r>
          </w:p>
        </w:tc>
        <w:tc>
          <w:tcPr>
            <w:tcW w:w="41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影像资料备份功能（PACS临床端可根据需求，直接调阅云端影像数据，中标方配合PACS完成，不得收取接口费用）</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改动</w:t>
            </w:r>
          </w:p>
        </w:tc>
        <w:tc>
          <w:tcPr>
            <w:tcW w:w="18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PACS</w:t>
            </w:r>
          </w:p>
        </w:tc>
        <w:tc>
          <w:tcPr>
            <w:tcW w:w="4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检查报告二维码</w:t>
            </w:r>
          </w:p>
        </w:tc>
        <w:tc>
          <w:tcPr>
            <w:tcW w:w="17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改动</w:t>
            </w:r>
          </w:p>
        </w:tc>
        <w:tc>
          <w:tcPr>
            <w:tcW w:w="18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自助</w:t>
            </w:r>
          </w:p>
        </w:tc>
        <w:tc>
          <w:tcPr>
            <w:tcW w:w="4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color w:val="auto"/>
                <w:sz w:val="20"/>
                <w:szCs w:val="20"/>
                <w:highlight w:val="none"/>
              </w:rPr>
            </w:pPr>
          </w:p>
        </w:tc>
        <w:tc>
          <w:tcPr>
            <w:tcW w:w="175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改动</w:t>
            </w:r>
          </w:p>
        </w:tc>
        <w:tc>
          <w:tcPr>
            <w:tcW w:w="18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中标方</w:t>
            </w:r>
          </w:p>
        </w:tc>
      </w:tr>
    </w:tbl>
    <w:p>
      <w:pPr>
        <w:spacing w:line="360" w:lineRule="auto"/>
        <w:rPr>
          <w:rFonts w:ascii="仿宋" w:hAnsi="仿宋" w:eastAsia="仿宋" w:cs="华文仿宋"/>
          <w:b/>
          <w:bCs/>
          <w:color w:val="auto"/>
          <w:sz w:val="24"/>
          <w:highlight w:val="none"/>
          <w:lang w:bidi="ar"/>
        </w:rPr>
      </w:pPr>
    </w:p>
    <w:p>
      <w:pPr>
        <w:spacing w:line="360" w:lineRule="auto"/>
        <w:rPr>
          <w:rFonts w:ascii="仿宋" w:hAnsi="仿宋" w:eastAsia="仿宋" w:cs="华文仿宋"/>
          <w:b/>
          <w:bCs/>
          <w:color w:val="auto"/>
          <w:sz w:val="24"/>
          <w:highlight w:val="none"/>
        </w:rPr>
      </w:pPr>
      <w:r>
        <w:rPr>
          <w:rFonts w:hint="eastAsia" w:ascii="仿宋" w:hAnsi="仿宋" w:eastAsia="仿宋" w:cs="华文仿宋"/>
          <w:b/>
          <w:bCs/>
          <w:color w:val="auto"/>
          <w:sz w:val="24"/>
          <w:highlight w:val="none"/>
          <w:lang w:bidi="ar"/>
        </w:rPr>
        <w:t>4.软件演示内容要求：</w:t>
      </w:r>
    </w:p>
    <w:p>
      <w:pPr>
        <w:pStyle w:val="2"/>
        <w:ind w:firstLine="480" w:firstLineChars="200"/>
        <w:rPr>
          <w:rFonts w:ascii="仿宋" w:hAnsi="仿宋" w:eastAsia="仿宋" w:cs="仿宋"/>
          <w:color w:val="auto"/>
          <w:szCs w:val="20"/>
          <w:highlight w:val="none"/>
        </w:rPr>
      </w:pPr>
      <w:r>
        <w:rPr>
          <w:rFonts w:ascii="仿宋" w:hAnsi="仿宋" w:eastAsia="仿宋" w:cs="仿宋"/>
          <w:color w:val="auto"/>
          <w:szCs w:val="20"/>
          <w:highlight w:val="none"/>
        </w:rPr>
        <w:t>1）提供移动端云影像调阅演示：演示患者通过三种“云影像”的服务入口进行移动端影像调阅，移动端打开DR\CT\MR任一影像，影像不能含有患者或医院的任意标记。</w:t>
      </w:r>
    </w:p>
    <w:p>
      <w:pPr>
        <w:pStyle w:val="2"/>
        <w:ind w:firstLine="480" w:firstLineChars="200"/>
        <w:rPr>
          <w:rFonts w:ascii="仿宋" w:hAnsi="仿宋" w:eastAsia="仿宋" w:cs="仿宋"/>
          <w:color w:val="auto"/>
          <w:szCs w:val="20"/>
          <w:highlight w:val="none"/>
        </w:rPr>
      </w:pPr>
      <w:r>
        <w:rPr>
          <w:rFonts w:ascii="仿宋" w:hAnsi="仿宋" w:eastAsia="仿宋" w:cs="仿宋"/>
          <w:color w:val="auto"/>
          <w:szCs w:val="20"/>
          <w:highlight w:val="none"/>
        </w:rPr>
        <w:t>2）演示通过“数字影像后台管理系统”查看影像云平台收费明细及收费统计等；针对误上传或重复上传的云影像数据以检查单号为条件进行检索、删除和删除恢复等操作。</w:t>
      </w:r>
    </w:p>
    <w:p>
      <w:pPr>
        <w:autoSpaceDE w:val="0"/>
        <w:autoSpaceDN w:val="0"/>
        <w:spacing w:line="360" w:lineRule="auto"/>
        <w:ind w:firstLine="480" w:firstLineChars="200"/>
        <w:rPr>
          <w:color w:val="auto"/>
          <w:highlight w:val="none"/>
        </w:rPr>
      </w:pPr>
      <w:r>
        <w:rPr>
          <w:rFonts w:hint="eastAsia" w:ascii="仿宋" w:hAnsi="仿宋" w:eastAsia="仿宋" w:cs="仿宋"/>
          <w:bCs/>
          <w:snapToGrid w:val="0"/>
          <w:color w:val="auto"/>
          <w:sz w:val="24"/>
          <w:szCs w:val="20"/>
          <w:highlight w:val="none"/>
          <w:lang w:bidi="ar"/>
        </w:rPr>
        <w:t>3）通过移动端演示身份不可知患者或缴费状态异常患者的影像数据查阅：针对身份不可知患者及缴费状态异常患者，通过输入影像申请单号（AN号）及患者身份证号/临时身份证号（ID号），进行异常状态更新，从而实现患者影像数据调阅；</w:t>
      </w:r>
    </w:p>
    <w:p>
      <w:pPr>
        <w:pStyle w:val="2"/>
        <w:ind w:firstLine="480" w:firstLineChars="200"/>
        <w:rPr>
          <w:rFonts w:ascii="仿宋" w:hAnsi="仿宋" w:eastAsia="仿宋" w:cs="仿宋"/>
          <w:color w:val="auto"/>
          <w:szCs w:val="20"/>
          <w:highlight w:val="none"/>
        </w:rPr>
      </w:pPr>
      <w:r>
        <w:rPr>
          <w:rFonts w:ascii="仿宋" w:hAnsi="仿宋" w:eastAsia="仿宋" w:cs="仿宋"/>
          <w:color w:val="auto"/>
          <w:szCs w:val="20"/>
          <w:highlight w:val="none"/>
        </w:rPr>
        <w:t>4）投标人提供数据采集性能演示：通过自研发数据治理工具，实现传输写入数据≧2万条/秒。</w:t>
      </w:r>
    </w:p>
    <w:p>
      <w:pPr>
        <w:spacing w:line="360" w:lineRule="auto"/>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组织实施要求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1）投标人应充分考虑满足投标项目的建设要求，提出完整的项目实施方案。</w:t>
      </w:r>
    </w:p>
    <w:p>
      <w:pPr>
        <w:spacing w:line="360" w:lineRule="auto"/>
        <w:ind w:firstLine="480" w:firstLineChars="200"/>
        <w:rPr>
          <w:rFonts w:hint="eastAsia" w:ascii="仿宋" w:hAnsi="仿宋" w:eastAsia="仿宋" w:cs="仿宋"/>
          <w:b/>
          <w:bCs/>
          <w:color w:val="auto"/>
          <w:sz w:val="24"/>
          <w:highlight w:val="none"/>
          <w:lang w:bidi="ar"/>
        </w:rPr>
      </w:pPr>
      <w:r>
        <w:rPr>
          <w:rFonts w:hint="eastAsia" w:ascii="仿宋" w:hAnsi="仿宋" w:eastAsia="仿宋" w:cs="仿宋"/>
          <w:color w:val="auto"/>
          <w:sz w:val="24"/>
          <w:highlight w:val="none"/>
        </w:rPr>
        <w:t>2）投标人应本着认真负责的态度组织项目团队，提供项目组主要成员名单，其中实施本项目的项目经理具有信息系统项目管理师资质证书、高级工程师职称证书、通信中级 （互联网技术） 证书、注册信息安全工程师证书。项目技术负责人具有信息系统项目管理师、系统分析师、软件设计师证书。根据对项目的理解作出项目的人员配置管理计划，包括组织结构、项目负责人组成人员及分工职责。</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bidi="ar"/>
        </w:rPr>
        <w:t>6</w:t>
      </w:r>
      <w:r>
        <w:rPr>
          <w:rFonts w:hint="eastAsia" w:ascii="仿宋" w:hAnsi="仿宋" w:eastAsia="仿宋" w:cs="仿宋"/>
          <w:b/>
          <w:bCs/>
          <w:color w:val="auto"/>
          <w:sz w:val="24"/>
          <w:highlight w:val="none"/>
          <w:lang w:bidi="ar"/>
        </w:rPr>
        <w:t>.其他要求</w:t>
      </w:r>
    </w:p>
    <w:p>
      <w:pPr>
        <w:snapToGrid w:val="0"/>
        <w:spacing w:line="360" w:lineRule="auto"/>
        <w:ind w:firstLine="480" w:firstLineChars="200"/>
        <w:rPr>
          <w:rFonts w:ascii="仿宋" w:hAnsi="仿宋" w:eastAsia="仿宋" w:cs="华文仿宋"/>
          <w:b/>
          <w:bCs/>
          <w:color w:val="auto"/>
          <w:sz w:val="24"/>
          <w:highlight w:val="none"/>
          <w:lang w:bidi="ar"/>
        </w:rPr>
      </w:pPr>
      <w:r>
        <w:rPr>
          <w:rFonts w:hint="eastAsia" w:ascii="仿宋" w:hAnsi="仿宋" w:eastAsia="仿宋" w:cs="仿宋"/>
          <w:color w:val="auto"/>
          <w:sz w:val="24"/>
          <w:highlight w:val="none"/>
          <w:lang w:bidi="ar"/>
        </w:rPr>
        <w:t>▲</w:t>
      </w:r>
      <w:r>
        <w:rPr>
          <w:rFonts w:hint="eastAsia" w:ascii="仿宋" w:hAnsi="仿宋" w:eastAsia="仿宋" w:cs="仿宋"/>
          <w:b/>
          <w:bCs/>
          <w:color w:val="auto"/>
          <w:sz w:val="24"/>
          <w:highlight w:val="none"/>
          <w:lang w:bidi="ar"/>
        </w:rPr>
        <w:t>所有产生的影像数据需归集到萧山健康大脑数据资源体系，以保证健康大脑中涉及影像类相关应用的正常运行（提供承诺函并加盖公章</w:t>
      </w:r>
      <w:r>
        <w:rPr>
          <w:rFonts w:hint="eastAsia" w:ascii="仿宋" w:hAnsi="仿宋" w:eastAsia="仿宋" w:cs="仿宋"/>
          <w:b/>
          <w:bCs/>
          <w:color w:val="auto"/>
          <w:sz w:val="24"/>
          <w:highlight w:val="none"/>
          <w:lang w:eastAsia="zh-CN" w:bidi="ar"/>
        </w:rPr>
        <w:t>，格式自拟</w:t>
      </w:r>
      <w:r>
        <w:rPr>
          <w:rFonts w:hint="eastAsia" w:ascii="仿宋" w:hAnsi="仿宋" w:eastAsia="仿宋" w:cs="仿宋"/>
          <w:b/>
          <w:bCs/>
          <w:color w:val="auto"/>
          <w:sz w:val="24"/>
          <w:highlight w:val="none"/>
          <w:lang w:bidi="ar"/>
        </w:rPr>
        <w:t>）。</w:t>
      </w:r>
    </w:p>
    <w:p>
      <w:pPr>
        <w:keepNext w:val="0"/>
        <w:keepLines w:val="0"/>
        <w:pageBreakBefore w:val="0"/>
        <w:kinsoku/>
        <w:wordWrap/>
        <w:overflowPunct/>
        <w:topLinePunct w:val="0"/>
        <w:bidi w:val="0"/>
        <w:adjustRightInd w:val="0"/>
        <w:spacing w:line="500" w:lineRule="exact"/>
        <w:textAlignment w:val="auto"/>
        <w:rPr>
          <w:rFonts w:ascii="仿宋" w:hAnsi="仿宋" w:eastAsia="仿宋" w:cs="华文仿宋"/>
          <w:b/>
          <w:bCs/>
          <w:color w:val="auto"/>
          <w:sz w:val="24"/>
          <w:highlight w:val="none"/>
        </w:rPr>
      </w:pPr>
      <w:r>
        <w:rPr>
          <w:rFonts w:hint="eastAsia" w:ascii="仿宋" w:hAnsi="仿宋" w:eastAsia="仿宋" w:cs="华文仿宋"/>
          <w:b/>
          <w:bCs/>
          <w:color w:val="auto"/>
          <w:sz w:val="24"/>
          <w:highlight w:val="none"/>
          <w:lang w:bidi="ar"/>
        </w:rPr>
        <w:t>2、商务需求</w:t>
      </w:r>
    </w:p>
    <w:p>
      <w:pPr>
        <w:pStyle w:val="2"/>
        <w:keepNext w:val="0"/>
        <w:keepLines w:val="0"/>
        <w:pageBreakBefore w:val="0"/>
        <w:widowControl/>
        <w:kinsoku/>
        <w:wordWrap/>
        <w:overflowPunct/>
        <w:topLinePunct w:val="0"/>
        <w:bidi w:val="0"/>
        <w:adjustRightInd w:val="0"/>
        <w:spacing w:line="500" w:lineRule="exact"/>
        <w:ind w:firstLine="420"/>
        <w:textAlignment w:val="auto"/>
        <w:rPr>
          <w:rFonts w:ascii="仿宋" w:hAnsi="仿宋" w:eastAsia="仿宋" w:cs="仿宋"/>
          <w:b/>
          <w:bCs/>
          <w:color w:val="auto"/>
          <w:szCs w:val="24"/>
          <w:highlight w:val="none"/>
        </w:rPr>
      </w:pPr>
      <w:r>
        <w:rPr>
          <w:rFonts w:ascii="仿宋" w:hAnsi="仿宋" w:eastAsia="仿宋" w:cs="仿宋"/>
          <w:b/>
          <w:bCs/>
          <w:color w:val="auto"/>
          <w:szCs w:val="24"/>
          <w:highlight w:val="none"/>
        </w:rPr>
        <w:t>2.1连续性服务要求</w:t>
      </w:r>
    </w:p>
    <w:p>
      <w:pPr>
        <w:pStyle w:val="2"/>
        <w:keepNext w:val="0"/>
        <w:keepLines w:val="0"/>
        <w:pageBreakBefore w:val="0"/>
        <w:widowControl/>
        <w:kinsoku/>
        <w:wordWrap/>
        <w:overflowPunct/>
        <w:topLinePunct w:val="0"/>
        <w:bidi w:val="0"/>
        <w:adjustRightInd w:val="0"/>
        <w:spacing w:line="500" w:lineRule="exact"/>
        <w:ind w:firstLine="480" w:firstLineChars="200"/>
        <w:textAlignment w:val="auto"/>
        <w:rPr>
          <w:rFonts w:hint="eastAsia" w:ascii="仿宋" w:hAnsi="仿宋" w:eastAsia="仿宋" w:cs="仿宋"/>
          <w:b w:val="0"/>
          <w:bCs w:val="0"/>
          <w:color w:val="auto"/>
          <w:highlight w:val="none"/>
          <w:lang w:eastAsia="zh-CN"/>
        </w:rPr>
      </w:pPr>
      <w:r>
        <w:rPr>
          <w:rFonts w:ascii="仿宋" w:hAnsi="仿宋" w:eastAsia="仿宋" w:cs="仿宋"/>
          <w:b w:val="0"/>
          <w:bCs w:val="0"/>
          <w:color w:val="auto"/>
          <w:szCs w:val="24"/>
          <w:highlight w:val="none"/>
        </w:rPr>
        <w:t>2.1.1</w:t>
      </w:r>
      <w:r>
        <w:rPr>
          <w:rFonts w:ascii="仿宋" w:hAnsi="仿宋" w:eastAsia="仿宋" w:cs="仿宋"/>
          <w:b w:val="0"/>
          <w:bCs w:val="0"/>
          <w:color w:val="auto"/>
          <w:highlight w:val="none"/>
        </w:rPr>
        <w:t>为保障服务连续性，不影响用户使用感知，中标人需保证完成与医院云影像系统的平稳切换，不得影响用户正常使用</w:t>
      </w:r>
      <w:r>
        <w:rPr>
          <w:rFonts w:hint="eastAsia" w:ascii="仿宋" w:hAnsi="仿宋" w:eastAsia="仿宋" w:cs="仿宋"/>
          <w:b w:val="0"/>
          <w:bCs w:val="0"/>
          <w:color w:val="auto"/>
          <w:highlight w:val="none"/>
          <w:lang w:eastAsia="zh-CN"/>
        </w:rPr>
        <w:t>。</w:t>
      </w:r>
    </w:p>
    <w:p>
      <w:pPr>
        <w:pStyle w:val="2"/>
        <w:keepNext w:val="0"/>
        <w:keepLines w:val="0"/>
        <w:pageBreakBefore w:val="0"/>
        <w:widowControl/>
        <w:kinsoku/>
        <w:wordWrap/>
        <w:overflowPunct/>
        <w:topLinePunct w:val="0"/>
        <w:bidi w:val="0"/>
        <w:adjustRightInd w:val="0"/>
        <w:spacing w:line="500" w:lineRule="exact"/>
        <w:ind w:firstLine="480" w:firstLineChars="200"/>
        <w:textAlignment w:val="auto"/>
        <w:rPr>
          <w:rFonts w:ascii="仿宋" w:hAnsi="仿宋" w:eastAsia="仿宋" w:cs="仿宋"/>
          <w:color w:val="auto"/>
          <w:highlight w:val="none"/>
        </w:rPr>
      </w:pPr>
      <w:r>
        <w:rPr>
          <w:rFonts w:ascii="仿宋" w:hAnsi="仿宋" w:eastAsia="仿宋" w:cs="仿宋"/>
          <w:color w:val="auto"/>
          <w:highlight w:val="none"/>
        </w:rPr>
        <w:t>2.1.2中标人需按承诺在规定期限内完成项目实施并按要求完成与医院云影像系统进行平稳切换，如延期，中标单位需向甲方支付延期造成的所有损失费及向原服务厂商支付延期服务费用，费用与原厂商谈判协商为准。</w:t>
      </w:r>
    </w:p>
    <w:p>
      <w:pPr>
        <w:keepNext w:val="0"/>
        <w:keepLines w:val="0"/>
        <w:pageBreakBefore w:val="0"/>
        <w:kinsoku/>
        <w:wordWrap/>
        <w:overflowPunct/>
        <w:topLinePunct w:val="0"/>
        <w:bidi w:val="0"/>
        <w:adjustRightInd w:val="0"/>
        <w:snapToGrid w:val="0"/>
        <w:spacing w:line="500" w:lineRule="exact"/>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2.2接口费用</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涉及与院内PACS/RIS等第三方业务系统产生的双方接口费用均由本项目中标方承担。</w:t>
      </w:r>
    </w:p>
    <w:p>
      <w:pPr>
        <w:keepNext w:val="0"/>
        <w:keepLines w:val="0"/>
        <w:pageBreakBefore w:val="0"/>
        <w:kinsoku/>
        <w:wordWrap/>
        <w:overflowPunct/>
        <w:topLinePunct w:val="0"/>
        <w:bidi w:val="0"/>
        <w:adjustRightInd w:val="0"/>
        <w:snapToGrid w:val="0"/>
        <w:spacing w:line="500" w:lineRule="exact"/>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2.3工期要求及履约保证</w:t>
      </w:r>
    </w:p>
    <w:p>
      <w:pPr>
        <w:pStyle w:val="2"/>
        <w:keepNext w:val="0"/>
        <w:keepLines w:val="0"/>
        <w:pageBreakBefore w:val="0"/>
        <w:widowControl/>
        <w:kinsoku/>
        <w:wordWrap/>
        <w:overflowPunct/>
        <w:topLinePunct w:val="0"/>
        <w:bidi w:val="0"/>
        <w:adjustRightInd w:val="0"/>
        <w:spacing w:line="500" w:lineRule="exact"/>
        <w:ind w:firstLine="480" w:firstLineChars="200"/>
        <w:textAlignment w:val="auto"/>
        <w:rPr>
          <w:rFonts w:ascii="仿宋" w:hAnsi="仿宋" w:eastAsia="仿宋" w:cs="仿宋"/>
          <w:color w:val="auto"/>
          <w:szCs w:val="24"/>
          <w:highlight w:val="none"/>
        </w:rPr>
      </w:pPr>
      <w:r>
        <w:rPr>
          <w:rFonts w:ascii="仿宋" w:hAnsi="仿宋" w:eastAsia="仿宋" w:cs="仿宋"/>
          <w:color w:val="auto"/>
          <w:szCs w:val="24"/>
          <w:highlight w:val="none"/>
        </w:rPr>
        <w:t>要求中标人于合同签订后30天内完成项目实施、上线工作。中标厂商需按照投标文件承诺工期完成，如延期，每延期5天，扣除履约保证金的5%，延期30天以上，甲方有权终止合同。</w:t>
      </w:r>
    </w:p>
    <w:p>
      <w:pPr>
        <w:keepNext w:val="0"/>
        <w:keepLines w:val="0"/>
        <w:pageBreakBefore w:val="0"/>
        <w:kinsoku/>
        <w:wordWrap/>
        <w:overflowPunct/>
        <w:topLinePunct w:val="0"/>
        <w:bidi w:val="0"/>
        <w:adjustRightInd w:val="0"/>
        <w:snapToGrid w:val="0"/>
        <w:spacing w:line="500" w:lineRule="exact"/>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2.4售后服务</w:t>
      </w:r>
    </w:p>
    <w:p>
      <w:pPr>
        <w:keepNext w:val="0"/>
        <w:keepLines w:val="0"/>
        <w:pageBreakBefore w:val="0"/>
        <w:kinsoku/>
        <w:wordWrap/>
        <w:overflowPunct/>
        <w:topLinePunct w:val="0"/>
        <w:bidi w:val="0"/>
        <w:adjustRightInd w:val="0"/>
        <w:snapToGrid w:val="0"/>
        <w:spacing w:line="50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bidi="ar"/>
        </w:rPr>
        <w:t xml:space="preserve">1）应用软件系统售后服务要求 </w:t>
      </w:r>
    </w:p>
    <w:p>
      <w:pPr>
        <w:keepNext w:val="0"/>
        <w:keepLines w:val="0"/>
        <w:pageBreakBefore w:val="0"/>
        <w:kinsoku/>
        <w:wordWrap/>
        <w:overflowPunct/>
        <w:topLinePunct w:val="0"/>
        <w:bidi w:val="0"/>
        <w:adjustRightInd w:val="0"/>
        <w:spacing w:line="500" w:lineRule="exact"/>
        <w:ind w:firstLine="480" w:firstLineChars="200"/>
        <w:textAlignment w:val="auto"/>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中标人为用户方提供</w:t>
      </w:r>
      <w:r>
        <w:rPr>
          <w:rFonts w:hint="eastAsia" w:ascii="仿宋" w:hAnsi="仿宋" w:eastAsia="仿宋" w:cs="仿宋"/>
          <w:b/>
          <w:bCs/>
          <w:color w:val="auto"/>
          <w:sz w:val="24"/>
          <w:highlight w:val="none"/>
          <w:lang w:bidi="ar"/>
        </w:rPr>
        <w:t>2年</w:t>
      </w:r>
      <w:r>
        <w:rPr>
          <w:rFonts w:hint="eastAsia" w:ascii="仿宋" w:hAnsi="仿宋" w:eastAsia="仿宋" w:cs="仿宋"/>
          <w:color w:val="auto"/>
          <w:sz w:val="24"/>
          <w:highlight w:val="none"/>
          <w:lang w:bidi="ar"/>
        </w:rPr>
        <w:t>运营服务，运营期内提供免费维护服务和技术服务支持，免费维护包括系统维护、功能完善、性能提升、故障检测、不超出系统功能范围的二次开发，并保证中标人所开发的软件正常运行。</w:t>
      </w:r>
    </w:p>
    <w:p>
      <w:pPr>
        <w:keepNext w:val="0"/>
        <w:keepLines w:val="0"/>
        <w:pageBreakBefore w:val="0"/>
        <w:kinsoku/>
        <w:wordWrap/>
        <w:overflowPunct/>
        <w:topLinePunct w:val="0"/>
        <w:bidi w:val="0"/>
        <w:adjustRightInd w:val="0"/>
        <w:spacing w:line="500" w:lineRule="exact"/>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承诺下一周期（合同到期，重新招标，中标方更换的情况下）做好免费对接服务，不得收取服务费</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提供承诺函加盖公章</w:t>
      </w:r>
      <w:r>
        <w:rPr>
          <w:rFonts w:hint="eastAsia" w:ascii="仿宋" w:hAnsi="仿宋" w:eastAsia="仿宋" w:cs="仿宋"/>
          <w:b/>
          <w:bCs/>
          <w:color w:val="auto"/>
          <w:sz w:val="24"/>
          <w:highlight w:val="none"/>
          <w:lang w:eastAsia="zh-CN"/>
        </w:rPr>
        <w:t>，格式自拟）</w:t>
      </w:r>
      <w:r>
        <w:rPr>
          <w:rFonts w:hint="eastAsia" w:ascii="仿宋" w:hAnsi="仿宋" w:eastAsia="仿宋" w:cs="仿宋"/>
          <w:b/>
          <w:bCs/>
          <w:color w:val="auto"/>
          <w:sz w:val="24"/>
          <w:highlight w:val="none"/>
        </w:rPr>
        <w:t>。</w:t>
      </w:r>
    </w:p>
    <w:p>
      <w:pPr>
        <w:keepNext w:val="0"/>
        <w:keepLines w:val="0"/>
        <w:pageBreakBefore w:val="0"/>
        <w:kinsoku/>
        <w:wordWrap/>
        <w:overflowPunct/>
        <w:topLinePunct w:val="0"/>
        <w:bidi w:val="0"/>
        <w:adjustRightInd w:val="0"/>
        <w:snapToGrid w:val="0"/>
        <w:spacing w:line="50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bidi="ar"/>
        </w:rPr>
        <w:t>2）售后服务方式要求</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保修服务方式均为投标人远程或上门保修，即由投标人派员远程解决或到采购人使用现场维护。</w:t>
      </w:r>
    </w:p>
    <w:p>
      <w:pPr>
        <w:keepNext w:val="0"/>
        <w:keepLines w:val="0"/>
        <w:pageBreakBefore w:val="0"/>
        <w:kinsoku/>
        <w:wordWrap/>
        <w:overflowPunct/>
        <w:topLinePunct w:val="0"/>
        <w:bidi w:val="0"/>
        <w:adjustRightInd w:val="0"/>
        <w:snapToGrid w:val="0"/>
        <w:spacing w:line="50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bidi="ar"/>
        </w:rPr>
        <w:t>3）售后服务响应要求</w:t>
      </w:r>
    </w:p>
    <w:p>
      <w:pPr>
        <w:keepNext w:val="0"/>
        <w:keepLines w:val="0"/>
        <w:pageBreakBefore w:val="0"/>
        <w:kinsoku/>
        <w:wordWrap/>
        <w:overflowPunct/>
        <w:topLinePunct w:val="0"/>
        <w:bidi w:val="0"/>
        <w:adjustRightInd w:val="0"/>
        <w:snapToGrid w:val="0"/>
        <w:spacing w:line="500" w:lineRule="exact"/>
        <w:ind w:firstLine="480" w:firstLineChars="200"/>
        <w:textAlignment w:val="auto"/>
        <w:rPr>
          <w:color w:val="auto"/>
          <w:highlight w:val="none"/>
        </w:rPr>
      </w:pPr>
      <w:r>
        <w:rPr>
          <w:rFonts w:hint="eastAsia" w:ascii="仿宋" w:hAnsi="仿宋" w:eastAsia="仿宋" w:cs="仿宋"/>
          <w:color w:val="auto"/>
          <w:sz w:val="24"/>
          <w:highlight w:val="none"/>
          <w:lang w:bidi="ar"/>
        </w:rPr>
        <w:t>系统出现故障时，中标人全天候24小时服务响应，维护工程师应在接到报障后半小时内响应，并给出解决方案，若在响应后两小时内远程无法解决问题，则需在之后1个小时内到现场处理应用系统出现的故障，及时做出故障原因报告并提出有效措施加以解决。</w:t>
      </w:r>
    </w:p>
    <w:p>
      <w:pPr>
        <w:keepNext w:val="0"/>
        <w:keepLines w:val="0"/>
        <w:pageBreakBefore w:val="0"/>
        <w:kinsoku/>
        <w:wordWrap/>
        <w:overflowPunct/>
        <w:topLinePunct w:val="0"/>
        <w:bidi w:val="0"/>
        <w:adjustRightInd w:val="0"/>
        <w:snapToGrid w:val="0"/>
        <w:spacing w:line="50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bidi="ar"/>
        </w:rPr>
        <w:t>4）影像存储服务响应要求</w:t>
      </w:r>
    </w:p>
    <w:p>
      <w:pPr>
        <w:keepNext w:val="0"/>
        <w:keepLines w:val="0"/>
        <w:pageBreakBefore w:val="0"/>
        <w:kinsoku/>
        <w:wordWrap/>
        <w:overflowPunct/>
        <w:topLinePunct w:val="0"/>
        <w:bidi w:val="0"/>
        <w:adjustRightInd w:val="0"/>
        <w:spacing w:line="500" w:lineRule="exact"/>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支持在线30年内正常调阅（包括合同到期后）。</w:t>
      </w:r>
    </w:p>
    <w:p>
      <w:pPr>
        <w:keepNext w:val="0"/>
        <w:keepLines w:val="0"/>
        <w:pageBreakBefore w:val="0"/>
        <w:kinsoku/>
        <w:wordWrap/>
        <w:overflowPunct/>
        <w:topLinePunct w:val="0"/>
        <w:bidi w:val="0"/>
        <w:adjustRightInd w:val="0"/>
        <w:snapToGrid w:val="0"/>
        <w:spacing w:line="50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bidi="ar"/>
        </w:rPr>
        <w:t>2.5付款方式</w:t>
      </w:r>
    </w:p>
    <w:p>
      <w:pPr>
        <w:keepNext w:val="0"/>
        <w:keepLines w:val="0"/>
        <w:pageBreakBefore w:val="0"/>
        <w:kinsoku/>
        <w:wordWrap/>
        <w:overflowPunct/>
        <w:topLinePunct w:val="0"/>
        <w:bidi w:val="0"/>
        <w:adjustRightInd w:val="0"/>
        <w:snapToGrid w:val="0"/>
        <w:spacing w:line="500" w:lineRule="exact"/>
        <w:ind w:firstLine="482" w:firstLineChars="200"/>
        <w:textAlignment w:val="auto"/>
        <w:rPr>
          <w:rFonts w:ascii="仿宋" w:hAnsi="仿宋" w:eastAsia="仿宋" w:cs="仿宋"/>
          <w:color w:val="auto"/>
          <w:sz w:val="24"/>
          <w:highlight w:val="none"/>
          <w:lang w:bidi="ar"/>
        </w:rPr>
      </w:pPr>
      <w:r>
        <w:rPr>
          <w:rFonts w:hint="eastAsia" w:ascii="仿宋" w:hAnsi="仿宋" w:eastAsia="仿宋" w:cs="仿宋"/>
          <w:b/>
          <w:color w:val="auto"/>
          <w:sz w:val="24"/>
          <w:highlight w:val="none"/>
        </w:rPr>
        <w:t>通过验收后方可支付服务款项</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lang w:bidi="ar"/>
        </w:rPr>
        <w:t>按服务人次，（</w:t>
      </w:r>
      <w:r>
        <w:rPr>
          <w:rFonts w:hint="eastAsia" w:ascii="仿宋" w:hAnsi="仿宋" w:eastAsia="仿宋" w:cs="仿宋"/>
          <w:b/>
          <w:color w:val="auto"/>
          <w:sz w:val="24"/>
          <w:highlight w:val="none"/>
        </w:rPr>
        <w:t>具体支付金额按实际服务数量*投标单价</w:t>
      </w:r>
      <w:r>
        <w:rPr>
          <w:rFonts w:hint="eastAsia" w:ascii="仿宋" w:hAnsi="仿宋" w:eastAsia="仿宋" w:cs="仿宋"/>
          <w:color w:val="auto"/>
          <w:sz w:val="24"/>
          <w:highlight w:val="none"/>
          <w:lang w:bidi="ar"/>
        </w:rPr>
        <w:t>），每季度支付一次。每季度结束后，次月10号之前完成对账，并于当月完成支付。后续如发生患者退费或补收费，在下一季度完成结算。</w:t>
      </w:r>
    </w:p>
    <w:p>
      <w:pPr>
        <w:keepNext w:val="0"/>
        <w:keepLines w:val="0"/>
        <w:pageBreakBefore w:val="0"/>
        <w:kinsoku/>
        <w:wordWrap/>
        <w:overflowPunct/>
        <w:topLinePunct w:val="0"/>
        <w:bidi w:val="0"/>
        <w:adjustRightInd w:val="0"/>
        <w:snapToGrid w:val="0"/>
        <w:spacing w:line="500" w:lineRule="exact"/>
        <w:ind w:firstLine="482" w:firstLineChars="200"/>
        <w:textAlignment w:val="auto"/>
        <w:rPr>
          <w:rFonts w:hint="eastAsia" w:ascii="仿宋" w:hAnsi="仿宋" w:eastAsia="仿宋" w:cs="仿宋"/>
          <w:b/>
          <w:color w:val="auto"/>
          <w:sz w:val="24"/>
          <w:highlight w:val="none"/>
          <w:lang w:bidi="ar"/>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bidi="ar"/>
        </w:rPr>
        <w:t>本次投标报价暂按2年总共约18万人次的服务数量进行报价，每人次最高限价5元</w:t>
      </w:r>
      <w:r>
        <w:rPr>
          <w:rFonts w:hint="eastAsia" w:ascii="仿宋" w:hAnsi="仿宋" w:eastAsia="仿宋" w:cs="华文仿宋"/>
          <w:b/>
          <w:bCs/>
          <w:color w:val="auto"/>
          <w:sz w:val="24"/>
          <w:highlight w:val="none"/>
        </w:rPr>
        <w:t>（以医院实际收取云影像费数量为准，服务期限2年）</w:t>
      </w:r>
      <w:r>
        <w:rPr>
          <w:rFonts w:hint="eastAsia" w:ascii="仿宋" w:hAnsi="仿宋" w:eastAsia="仿宋" w:cs="仿宋"/>
          <w:b/>
          <w:bCs/>
          <w:color w:val="auto"/>
          <w:sz w:val="24"/>
          <w:highlight w:val="none"/>
          <w:lang w:bidi="ar"/>
        </w:rPr>
        <w:t>。开标一览表中同时注明投标单价。本项目服务数量为暂定数量,结算时以实际服务数量*投标单价，2年总计最高支付费限价90万</w:t>
      </w:r>
      <w:r>
        <w:rPr>
          <w:rFonts w:hint="eastAsia" w:ascii="仿宋" w:hAnsi="仿宋" w:eastAsia="仿宋" w:cs="仿宋"/>
          <w:b/>
          <w:bCs/>
          <w:color w:val="auto"/>
          <w:sz w:val="24"/>
          <w:highlight w:val="none"/>
          <w:lang w:eastAsia="zh-CN" w:bidi="ar"/>
        </w:rPr>
        <w:t>元</w:t>
      </w:r>
      <w:r>
        <w:rPr>
          <w:rFonts w:hint="eastAsia" w:ascii="仿宋" w:hAnsi="仿宋" w:eastAsia="仿宋" w:cs="仿宋"/>
          <w:b/>
          <w:bCs/>
          <w:color w:val="auto"/>
          <w:sz w:val="24"/>
          <w:highlight w:val="none"/>
          <w:lang w:bidi="ar"/>
        </w:rPr>
        <w:t>。</w:t>
      </w:r>
    </w:p>
    <w:p>
      <w:pPr>
        <w:keepNext w:val="0"/>
        <w:keepLines w:val="0"/>
        <w:pageBreakBefore w:val="0"/>
        <w:kinsoku/>
        <w:wordWrap/>
        <w:overflowPunct/>
        <w:topLinePunct w:val="0"/>
        <w:bidi w:val="0"/>
        <w:adjustRightInd w:val="0"/>
        <w:spacing w:line="500" w:lineRule="exact"/>
        <w:textAlignment w:val="auto"/>
        <w:rPr>
          <w:rFonts w:ascii="仿宋" w:hAnsi="仿宋" w:eastAsia="仿宋" w:cs="仿宋"/>
          <w:color w:val="auto"/>
          <w:sz w:val="24"/>
          <w:highlight w:val="none"/>
        </w:rPr>
      </w:pPr>
      <w:r>
        <w:rPr>
          <w:rFonts w:hint="eastAsia" w:ascii="仿宋" w:hAnsi="仿宋" w:eastAsia="仿宋" w:cs="仿宋"/>
          <w:b/>
          <w:color w:val="auto"/>
          <w:sz w:val="24"/>
          <w:highlight w:val="none"/>
          <w:lang w:bidi="ar"/>
        </w:rPr>
        <w:t>2.6验收标准：</w:t>
      </w:r>
      <w:r>
        <w:rPr>
          <w:rFonts w:hint="eastAsia" w:ascii="仿宋" w:hAnsi="仿宋" w:eastAsia="仿宋" w:cs="仿宋"/>
          <w:color w:val="auto"/>
          <w:sz w:val="24"/>
          <w:highlight w:val="none"/>
        </w:rPr>
        <w:t>最终云影像服务采购项目通过采购人验收审核。</w:t>
      </w:r>
    </w:p>
    <w:p>
      <w:pPr>
        <w:keepNext w:val="0"/>
        <w:keepLines w:val="0"/>
        <w:pageBreakBefore w:val="0"/>
        <w:kinsoku/>
        <w:wordWrap/>
        <w:overflowPunct/>
        <w:topLinePunct w:val="0"/>
        <w:bidi w:val="0"/>
        <w:adjustRightInd w:val="0"/>
        <w:spacing w:line="5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采购人应在收到中标供应商验收申请后的15个工作日内组织验收（中标供应商在完全满足采购需求内容后才可提出验收申请），逾期未验收的，中标供应商书面催告采购人限期内组织验收。未通过验收的，中标供应商负责无偿返工，直至验收通过。</w:t>
      </w:r>
    </w:p>
    <w:p>
      <w:pPr>
        <w:keepNext w:val="0"/>
        <w:keepLines w:val="0"/>
        <w:pageBreakBefore w:val="0"/>
        <w:kinsoku/>
        <w:wordWrap/>
        <w:overflowPunct/>
        <w:topLinePunct w:val="0"/>
        <w:bidi w:val="0"/>
        <w:adjustRightInd w:val="0"/>
        <w:spacing w:line="5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2）经专家验收合格后，双方共同签署验收报告，一式二份，一份交采购人留存，一份由中标供应商用作结算凭证。</w:t>
      </w:r>
    </w:p>
    <w:p>
      <w:pPr>
        <w:keepNext w:val="0"/>
        <w:keepLines w:val="0"/>
        <w:pageBreakBefore w:val="0"/>
        <w:kinsoku/>
        <w:wordWrap/>
        <w:overflowPunct/>
        <w:topLinePunct w:val="0"/>
        <w:bidi w:val="0"/>
        <w:adjustRightInd w:val="0"/>
        <w:spacing w:line="5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3）验收时必须提供完整的项目验收资料,包括招标文件中所列的所有文档资料等。</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注：1、招标文件中打▲内容为实质性要求，不允许有负偏离，否则将以涉及无效响应条款作无效响应。</w:t>
      </w:r>
    </w:p>
    <w:p>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中标供应商所提供的货物、服务须与响应承诺一致，不得以次充好、偷工减料，若在项目验收中发现有上述情况，将向有关部门举报，根据相关规定进行处理。</w:t>
      </w:r>
    </w:p>
    <w:p>
      <w:pPr>
        <w:pStyle w:val="2"/>
        <w:numPr>
          <w:ilvl w:val="0"/>
          <w:numId w:val="0"/>
        </w:numPr>
        <w:rPr>
          <w:color w:val="auto"/>
          <w:highlight w:val="none"/>
        </w:rPr>
      </w:pP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08039"/>
      <w:bookmarkEnd w:id="28"/>
      <w:bookmarkStart w:id="29" w:name="_Toc184313283"/>
      <w:bookmarkEnd w:id="29"/>
      <w:bookmarkStart w:id="30" w:name="_Toc184314470"/>
      <w:bookmarkEnd w:id="30"/>
      <w:bookmarkStart w:id="31" w:name="_Toc184312125"/>
      <w:bookmarkEnd w:id="31"/>
      <w:bookmarkStart w:id="32" w:name="_Toc184310304"/>
      <w:bookmarkEnd w:id="32"/>
      <w:bookmarkStart w:id="33" w:name="_Toc184310331"/>
      <w:bookmarkEnd w:id="33"/>
      <w:bookmarkStart w:id="34" w:name="_Toc184314422"/>
      <w:bookmarkEnd w:id="34"/>
      <w:bookmarkStart w:id="35" w:name="_Toc184314428"/>
      <w:bookmarkEnd w:id="35"/>
      <w:bookmarkStart w:id="36" w:name="_Toc184312090"/>
      <w:bookmarkEnd w:id="36"/>
      <w:bookmarkStart w:id="37" w:name="_Toc184313241"/>
      <w:bookmarkEnd w:id="37"/>
      <w:bookmarkStart w:id="38" w:name="_Toc184312070"/>
      <w:bookmarkEnd w:id="38"/>
      <w:bookmarkStart w:id="39" w:name="_Toc184314411"/>
      <w:bookmarkEnd w:id="39"/>
      <w:bookmarkStart w:id="40" w:name="_Toc184312105"/>
      <w:bookmarkEnd w:id="40"/>
      <w:bookmarkStart w:id="41" w:name="_Toc184314451"/>
      <w:bookmarkEnd w:id="41"/>
      <w:bookmarkStart w:id="42" w:name="_Toc184313289"/>
      <w:bookmarkEnd w:id="42"/>
      <w:bookmarkStart w:id="43" w:name="_Toc184310325"/>
      <w:bookmarkEnd w:id="43"/>
      <w:bookmarkStart w:id="44" w:name="_Toc184308045"/>
      <w:bookmarkEnd w:id="44"/>
      <w:bookmarkStart w:id="45" w:name="_Toc184310284"/>
      <w:bookmarkEnd w:id="45"/>
      <w:bookmarkStart w:id="46" w:name="_Toc184308061"/>
      <w:bookmarkEnd w:id="46"/>
      <w:bookmarkStart w:id="47" w:name="_Toc184308096"/>
      <w:bookmarkEnd w:id="47"/>
      <w:bookmarkStart w:id="48" w:name="_Toc184312100"/>
      <w:bookmarkEnd w:id="48"/>
      <w:bookmarkStart w:id="49" w:name="_Toc184312122"/>
      <w:bookmarkEnd w:id="49"/>
      <w:bookmarkStart w:id="50" w:name="_Toc184312139"/>
      <w:bookmarkEnd w:id="50"/>
      <w:bookmarkStart w:id="51" w:name="_Toc184310275"/>
      <w:bookmarkEnd w:id="51"/>
      <w:bookmarkStart w:id="52" w:name="_Toc184308081"/>
      <w:bookmarkEnd w:id="52"/>
      <w:bookmarkStart w:id="53" w:name="_Toc184313278"/>
      <w:bookmarkEnd w:id="53"/>
      <w:bookmarkStart w:id="54" w:name="_Toc184308070"/>
      <w:bookmarkEnd w:id="54"/>
      <w:bookmarkStart w:id="55" w:name="_Toc184313304"/>
      <w:bookmarkEnd w:id="55"/>
      <w:bookmarkStart w:id="56" w:name="_Toc184314475"/>
      <w:bookmarkEnd w:id="56"/>
      <w:bookmarkStart w:id="57" w:name="_Toc184314426"/>
      <w:bookmarkEnd w:id="57"/>
      <w:bookmarkStart w:id="58" w:name="_Toc184310319"/>
      <w:bookmarkEnd w:id="58"/>
      <w:bookmarkStart w:id="59" w:name="_Toc184313266"/>
      <w:bookmarkEnd w:id="59"/>
      <w:bookmarkStart w:id="60" w:name="_Toc184310285"/>
      <w:bookmarkEnd w:id="60"/>
      <w:bookmarkStart w:id="61" w:name="_Toc184312086"/>
      <w:bookmarkEnd w:id="61"/>
      <w:bookmarkStart w:id="62" w:name="_Toc184312088"/>
      <w:bookmarkEnd w:id="62"/>
      <w:bookmarkStart w:id="63" w:name="_Toc184314468"/>
      <w:bookmarkEnd w:id="63"/>
      <w:bookmarkStart w:id="64" w:name="_Toc184312084"/>
      <w:bookmarkEnd w:id="64"/>
      <w:bookmarkStart w:id="65" w:name="_Toc184308036"/>
      <w:bookmarkEnd w:id="65"/>
      <w:bookmarkStart w:id="66" w:name="_Toc184313291"/>
      <w:bookmarkEnd w:id="66"/>
      <w:bookmarkStart w:id="67" w:name="_Toc184314414"/>
      <w:bookmarkEnd w:id="67"/>
      <w:bookmarkStart w:id="68" w:name="_Toc184310316"/>
      <w:bookmarkEnd w:id="68"/>
      <w:bookmarkStart w:id="69" w:name="_Toc184313301"/>
      <w:bookmarkEnd w:id="69"/>
      <w:bookmarkStart w:id="70" w:name="_Toc184314446"/>
      <w:bookmarkEnd w:id="70"/>
      <w:bookmarkStart w:id="71" w:name="_Toc184313263"/>
      <w:bookmarkEnd w:id="71"/>
      <w:bookmarkStart w:id="72" w:name="_Toc184314469"/>
      <w:bookmarkEnd w:id="72"/>
      <w:bookmarkStart w:id="73" w:name="_Toc184312074"/>
      <w:bookmarkEnd w:id="73"/>
      <w:bookmarkStart w:id="74" w:name="_Toc184314457"/>
      <w:bookmarkEnd w:id="74"/>
      <w:bookmarkStart w:id="75" w:name="_Toc184312112"/>
      <w:bookmarkEnd w:id="75"/>
      <w:bookmarkStart w:id="76" w:name="_Toc184314410"/>
      <w:bookmarkEnd w:id="76"/>
      <w:bookmarkStart w:id="77" w:name="_Toc184314429"/>
      <w:bookmarkEnd w:id="77"/>
      <w:bookmarkStart w:id="78" w:name="_Toc184314465"/>
      <w:bookmarkEnd w:id="78"/>
      <w:bookmarkStart w:id="79" w:name="_Toc184310308"/>
      <w:bookmarkEnd w:id="79"/>
      <w:bookmarkStart w:id="80" w:name="_Toc184313279"/>
      <w:bookmarkEnd w:id="80"/>
      <w:bookmarkStart w:id="81" w:name="_Toc184312092"/>
      <w:bookmarkEnd w:id="81"/>
      <w:bookmarkStart w:id="82" w:name="_Toc184313276"/>
      <w:bookmarkEnd w:id="82"/>
      <w:bookmarkStart w:id="83" w:name="_Toc184313264"/>
      <w:bookmarkEnd w:id="83"/>
      <w:bookmarkStart w:id="84" w:name="_Toc184314471"/>
      <w:bookmarkEnd w:id="84"/>
      <w:bookmarkStart w:id="85" w:name="_Toc184310296"/>
      <w:bookmarkEnd w:id="85"/>
      <w:bookmarkStart w:id="86" w:name="_Toc184308067"/>
      <w:bookmarkEnd w:id="86"/>
      <w:bookmarkStart w:id="87" w:name="_Toc184310279"/>
      <w:bookmarkEnd w:id="87"/>
      <w:bookmarkStart w:id="88" w:name="_Toc184312114"/>
      <w:bookmarkEnd w:id="88"/>
      <w:bookmarkStart w:id="89" w:name="_Toc184312106"/>
      <w:bookmarkEnd w:id="89"/>
      <w:bookmarkStart w:id="90" w:name="_Toc184312104"/>
      <w:bookmarkEnd w:id="90"/>
      <w:bookmarkStart w:id="91" w:name="_Toc184310344"/>
      <w:bookmarkEnd w:id="91"/>
      <w:bookmarkStart w:id="92" w:name="_Toc184308071"/>
      <w:bookmarkEnd w:id="92"/>
      <w:bookmarkStart w:id="93" w:name="_Toc184313239"/>
      <w:bookmarkEnd w:id="93"/>
      <w:bookmarkStart w:id="94" w:name="_Toc184308079"/>
      <w:bookmarkEnd w:id="94"/>
      <w:bookmarkStart w:id="95" w:name="_Toc184314458"/>
      <w:bookmarkEnd w:id="95"/>
      <w:bookmarkStart w:id="96" w:name="_Toc184314473"/>
      <w:bookmarkEnd w:id="96"/>
      <w:bookmarkStart w:id="97" w:name="_Toc184312075"/>
      <w:bookmarkEnd w:id="97"/>
      <w:bookmarkStart w:id="98" w:name="_Toc184314481"/>
      <w:bookmarkEnd w:id="98"/>
      <w:bookmarkStart w:id="99" w:name="_Toc184310287"/>
      <w:bookmarkEnd w:id="99"/>
      <w:bookmarkStart w:id="100" w:name="_Toc184313248"/>
      <w:bookmarkEnd w:id="100"/>
      <w:bookmarkStart w:id="101" w:name="_Toc184312132"/>
      <w:bookmarkEnd w:id="101"/>
      <w:bookmarkStart w:id="102" w:name="_Toc184312072"/>
      <w:bookmarkEnd w:id="102"/>
      <w:bookmarkStart w:id="103" w:name="_Toc184313267"/>
      <w:bookmarkEnd w:id="103"/>
      <w:bookmarkStart w:id="104" w:name="_Toc184312131"/>
      <w:bookmarkEnd w:id="104"/>
      <w:bookmarkStart w:id="105" w:name="_Toc184308059"/>
      <w:bookmarkEnd w:id="105"/>
      <w:bookmarkStart w:id="106" w:name="_Toc184312138"/>
      <w:bookmarkEnd w:id="106"/>
      <w:bookmarkStart w:id="107" w:name="_Toc184308103"/>
      <w:bookmarkEnd w:id="107"/>
      <w:bookmarkStart w:id="108" w:name="_Toc184308046"/>
      <w:bookmarkEnd w:id="108"/>
      <w:bookmarkStart w:id="109" w:name="_Toc184308055"/>
      <w:bookmarkEnd w:id="109"/>
      <w:bookmarkStart w:id="110" w:name="_Toc184310297"/>
      <w:bookmarkEnd w:id="110"/>
      <w:bookmarkStart w:id="111" w:name="_Toc184308066"/>
      <w:bookmarkEnd w:id="111"/>
      <w:bookmarkStart w:id="112" w:name="_Toc184314477"/>
      <w:bookmarkEnd w:id="112"/>
      <w:bookmarkStart w:id="113" w:name="_Toc184308053"/>
      <w:bookmarkEnd w:id="113"/>
      <w:bookmarkStart w:id="114" w:name="_Toc184312107"/>
      <w:bookmarkEnd w:id="114"/>
      <w:bookmarkStart w:id="115" w:name="_Toc184312085"/>
      <w:bookmarkEnd w:id="115"/>
      <w:bookmarkStart w:id="116" w:name="_Toc184308057"/>
      <w:bookmarkEnd w:id="116"/>
      <w:bookmarkStart w:id="117" w:name="_Toc184312130"/>
      <w:bookmarkEnd w:id="117"/>
      <w:bookmarkStart w:id="118" w:name="_Toc184314412"/>
      <w:bookmarkEnd w:id="118"/>
      <w:bookmarkStart w:id="119" w:name="_Toc184312076"/>
      <w:bookmarkEnd w:id="119"/>
      <w:bookmarkStart w:id="120" w:name="_Toc184314460"/>
      <w:bookmarkEnd w:id="120"/>
      <w:bookmarkStart w:id="121" w:name="_Toc184308089"/>
      <w:bookmarkEnd w:id="121"/>
      <w:bookmarkStart w:id="122" w:name="_Toc184314453"/>
      <w:bookmarkEnd w:id="122"/>
      <w:bookmarkStart w:id="123" w:name="_Toc184308087"/>
      <w:bookmarkEnd w:id="123"/>
      <w:bookmarkStart w:id="124" w:name="_Toc184313286"/>
      <w:bookmarkEnd w:id="124"/>
      <w:bookmarkStart w:id="125" w:name="_Toc184313308"/>
      <w:bookmarkEnd w:id="125"/>
      <w:bookmarkStart w:id="126" w:name="_Toc184313287"/>
      <w:bookmarkEnd w:id="126"/>
      <w:bookmarkStart w:id="127" w:name="_Toc184313277"/>
      <w:bookmarkEnd w:id="127"/>
      <w:bookmarkStart w:id="128" w:name="_Toc184314454"/>
      <w:bookmarkEnd w:id="128"/>
      <w:bookmarkStart w:id="129" w:name="_Toc184310333"/>
      <w:bookmarkEnd w:id="129"/>
      <w:bookmarkStart w:id="130" w:name="_Toc184314433"/>
      <w:bookmarkEnd w:id="130"/>
      <w:bookmarkStart w:id="131" w:name="_Toc184308051"/>
      <w:bookmarkEnd w:id="131"/>
      <w:bookmarkStart w:id="132" w:name="_Toc184313258"/>
      <w:bookmarkEnd w:id="132"/>
      <w:bookmarkStart w:id="133" w:name="_Toc184314441"/>
      <w:bookmarkEnd w:id="133"/>
      <w:bookmarkStart w:id="134" w:name="_Toc184310324"/>
      <w:bookmarkEnd w:id="134"/>
      <w:bookmarkStart w:id="135" w:name="_Toc184310283"/>
      <w:bookmarkEnd w:id="135"/>
      <w:bookmarkStart w:id="136" w:name="_Toc184310336"/>
      <w:bookmarkEnd w:id="136"/>
      <w:bookmarkStart w:id="137" w:name="_Toc184310294"/>
      <w:bookmarkEnd w:id="137"/>
      <w:bookmarkStart w:id="138" w:name="_Toc184312128"/>
      <w:bookmarkEnd w:id="138"/>
      <w:bookmarkStart w:id="139" w:name="_Toc184308060"/>
      <w:bookmarkEnd w:id="139"/>
      <w:bookmarkStart w:id="140" w:name="_Toc184310302"/>
      <w:bookmarkEnd w:id="140"/>
      <w:bookmarkStart w:id="141" w:name="_Toc184310314"/>
      <w:bookmarkEnd w:id="141"/>
      <w:bookmarkStart w:id="142" w:name="_Toc184310318"/>
      <w:bookmarkEnd w:id="142"/>
      <w:bookmarkStart w:id="143" w:name="_Toc184308037"/>
      <w:bookmarkEnd w:id="143"/>
      <w:bookmarkStart w:id="144" w:name="_Toc184312096"/>
      <w:bookmarkEnd w:id="144"/>
      <w:bookmarkStart w:id="145" w:name="_Toc184313265"/>
      <w:bookmarkEnd w:id="145"/>
      <w:bookmarkStart w:id="146" w:name="_Toc184312111"/>
      <w:bookmarkEnd w:id="146"/>
      <w:bookmarkStart w:id="147" w:name="_Toc184310332"/>
      <w:bookmarkEnd w:id="147"/>
      <w:bookmarkStart w:id="148" w:name="_Toc184310335"/>
      <w:bookmarkEnd w:id="148"/>
      <w:bookmarkStart w:id="149" w:name="_Toc184308064"/>
      <w:bookmarkEnd w:id="149"/>
      <w:bookmarkStart w:id="150" w:name="_Toc184308048"/>
      <w:bookmarkEnd w:id="150"/>
      <w:bookmarkStart w:id="151" w:name="_Toc184314449"/>
      <w:bookmarkEnd w:id="151"/>
      <w:bookmarkStart w:id="152" w:name="_Toc184312102"/>
      <w:bookmarkEnd w:id="152"/>
      <w:bookmarkStart w:id="153" w:name="_Toc184308098"/>
      <w:bookmarkEnd w:id="153"/>
      <w:bookmarkStart w:id="154" w:name="_Toc184310272"/>
      <w:bookmarkEnd w:id="154"/>
      <w:bookmarkStart w:id="155" w:name="_Toc184313262"/>
      <w:bookmarkEnd w:id="155"/>
      <w:bookmarkStart w:id="156" w:name="_Toc184308099"/>
      <w:bookmarkEnd w:id="156"/>
      <w:bookmarkStart w:id="157" w:name="_Toc184314434"/>
      <w:bookmarkEnd w:id="157"/>
      <w:bookmarkStart w:id="158" w:name="_Toc184314476"/>
      <w:bookmarkEnd w:id="158"/>
      <w:bookmarkStart w:id="159" w:name="_Toc184313309"/>
      <w:bookmarkEnd w:id="159"/>
      <w:bookmarkStart w:id="160" w:name="_Toc184313245"/>
      <w:bookmarkEnd w:id="160"/>
      <w:bookmarkStart w:id="161" w:name="_Toc184308094"/>
      <w:bookmarkEnd w:id="161"/>
      <w:bookmarkStart w:id="162" w:name="_Toc184314474"/>
      <w:bookmarkEnd w:id="162"/>
      <w:bookmarkStart w:id="163" w:name="_Toc184308107"/>
      <w:bookmarkEnd w:id="163"/>
      <w:bookmarkStart w:id="164" w:name="_Toc184313274"/>
      <w:bookmarkEnd w:id="164"/>
      <w:bookmarkStart w:id="165" w:name="_Toc184314450"/>
      <w:bookmarkEnd w:id="165"/>
      <w:bookmarkStart w:id="166" w:name="_Toc184310305"/>
      <w:bookmarkEnd w:id="166"/>
      <w:bookmarkStart w:id="167" w:name="_Toc184308072"/>
      <w:bookmarkEnd w:id="167"/>
      <w:bookmarkStart w:id="168" w:name="_Toc184313307"/>
      <w:bookmarkEnd w:id="168"/>
      <w:bookmarkStart w:id="169" w:name="_Toc184312089"/>
      <w:bookmarkEnd w:id="169"/>
      <w:bookmarkStart w:id="170" w:name="_Toc184308073"/>
      <w:bookmarkEnd w:id="170"/>
      <w:bookmarkStart w:id="171" w:name="_Toc184312116"/>
      <w:bookmarkEnd w:id="171"/>
      <w:bookmarkStart w:id="172" w:name="_Toc184308049"/>
      <w:bookmarkEnd w:id="172"/>
      <w:bookmarkStart w:id="173" w:name="_Toc184314425"/>
      <w:bookmarkEnd w:id="173"/>
      <w:bookmarkStart w:id="174" w:name="_Toc184310291"/>
      <w:bookmarkEnd w:id="174"/>
      <w:bookmarkStart w:id="175" w:name="_Toc184312110"/>
      <w:bookmarkEnd w:id="175"/>
      <w:bookmarkStart w:id="176" w:name="_Toc184310328"/>
      <w:bookmarkEnd w:id="176"/>
      <w:bookmarkStart w:id="177" w:name="_Toc184308084"/>
      <w:bookmarkEnd w:id="177"/>
      <w:bookmarkStart w:id="178" w:name="_Toc184313300"/>
      <w:bookmarkEnd w:id="178"/>
      <w:bookmarkStart w:id="179" w:name="_Toc184314479"/>
      <w:bookmarkEnd w:id="179"/>
      <w:bookmarkStart w:id="180" w:name="_Toc184310290"/>
      <w:bookmarkEnd w:id="180"/>
      <w:bookmarkStart w:id="181" w:name="_Toc184312083"/>
      <w:bookmarkEnd w:id="181"/>
      <w:bookmarkStart w:id="182" w:name="_Toc184308043"/>
      <w:bookmarkEnd w:id="182"/>
      <w:bookmarkStart w:id="183" w:name="_Toc184313251"/>
      <w:bookmarkEnd w:id="183"/>
      <w:bookmarkStart w:id="184" w:name="_Toc184310301"/>
      <w:bookmarkEnd w:id="184"/>
      <w:bookmarkStart w:id="185" w:name="_Toc184312087"/>
      <w:bookmarkEnd w:id="185"/>
      <w:bookmarkStart w:id="186" w:name="_Toc184312091"/>
      <w:bookmarkEnd w:id="186"/>
      <w:bookmarkStart w:id="187" w:name="_Toc184312099"/>
      <w:bookmarkEnd w:id="187"/>
      <w:bookmarkStart w:id="188" w:name="_Toc184313243"/>
      <w:bookmarkEnd w:id="188"/>
      <w:bookmarkStart w:id="189" w:name="_Toc184312077"/>
      <w:bookmarkEnd w:id="189"/>
      <w:bookmarkStart w:id="190" w:name="_Toc184313303"/>
      <w:bookmarkEnd w:id="190"/>
      <w:bookmarkStart w:id="191" w:name="_Toc184313284"/>
      <w:bookmarkEnd w:id="191"/>
      <w:bookmarkStart w:id="192" w:name="_Toc184312126"/>
      <w:bookmarkEnd w:id="192"/>
      <w:bookmarkStart w:id="193" w:name="_Toc184314478"/>
      <w:bookmarkEnd w:id="193"/>
      <w:bookmarkStart w:id="194" w:name="_Toc184314447"/>
      <w:bookmarkEnd w:id="194"/>
      <w:bookmarkStart w:id="195" w:name="_Toc184313298"/>
      <w:bookmarkEnd w:id="195"/>
      <w:bookmarkStart w:id="196" w:name="_Toc184313296"/>
      <w:bookmarkEnd w:id="196"/>
      <w:bookmarkStart w:id="197" w:name="_Toc184308058"/>
      <w:bookmarkEnd w:id="197"/>
      <w:bookmarkStart w:id="198" w:name="_Toc184310322"/>
      <w:bookmarkEnd w:id="198"/>
      <w:bookmarkStart w:id="199" w:name="_Toc184310313"/>
      <w:bookmarkEnd w:id="199"/>
      <w:bookmarkStart w:id="200" w:name="_Toc184308105"/>
      <w:bookmarkEnd w:id="200"/>
      <w:bookmarkStart w:id="201" w:name="_Toc184313273"/>
      <w:bookmarkEnd w:id="201"/>
      <w:bookmarkStart w:id="202" w:name="_Toc184314466"/>
      <w:bookmarkEnd w:id="202"/>
      <w:bookmarkStart w:id="203" w:name="_Toc184308062"/>
      <w:bookmarkEnd w:id="203"/>
      <w:bookmarkStart w:id="204" w:name="_Toc184313257"/>
      <w:bookmarkEnd w:id="204"/>
      <w:bookmarkStart w:id="205" w:name="_Toc184312068"/>
      <w:bookmarkEnd w:id="205"/>
      <w:bookmarkStart w:id="206" w:name="_Toc184308050"/>
      <w:bookmarkEnd w:id="206"/>
      <w:bookmarkStart w:id="207" w:name="_Toc184312136"/>
      <w:bookmarkEnd w:id="207"/>
      <w:bookmarkStart w:id="208" w:name="_Toc184310300"/>
      <w:bookmarkEnd w:id="208"/>
      <w:bookmarkStart w:id="209" w:name="_Toc184310286"/>
      <w:bookmarkEnd w:id="209"/>
      <w:bookmarkStart w:id="210" w:name="_Toc184308100"/>
      <w:bookmarkEnd w:id="210"/>
      <w:bookmarkStart w:id="211" w:name="_Toc184310277"/>
      <w:bookmarkEnd w:id="211"/>
      <w:bookmarkStart w:id="212" w:name="_Toc184314459"/>
      <w:bookmarkEnd w:id="212"/>
      <w:bookmarkStart w:id="213" w:name="_Toc184310309"/>
      <w:bookmarkEnd w:id="213"/>
      <w:bookmarkStart w:id="214" w:name="_Toc184310341"/>
      <w:bookmarkEnd w:id="214"/>
      <w:bookmarkStart w:id="215" w:name="_Toc184308040"/>
      <w:bookmarkEnd w:id="215"/>
      <w:bookmarkStart w:id="216" w:name="_Toc184314432"/>
      <w:bookmarkEnd w:id="216"/>
      <w:bookmarkStart w:id="217" w:name="_Toc184313306"/>
      <w:bookmarkEnd w:id="217"/>
      <w:bookmarkStart w:id="218" w:name="_Toc184310338"/>
      <w:bookmarkEnd w:id="218"/>
      <w:bookmarkStart w:id="219" w:name="_Toc184312127"/>
      <w:bookmarkEnd w:id="219"/>
      <w:bookmarkStart w:id="220" w:name="_Toc184313295"/>
      <w:bookmarkEnd w:id="220"/>
      <w:bookmarkStart w:id="221" w:name="_Toc184310280"/>
      <w:bookmarkEnd w:id="221"/>
      <w:bookmarkStart w:id="222" w:name="_Toc184314424"/>
      <w:bookmarkEnd w:id="222"/>
      <w:bookmarkStart w:id="223" w:name="_Toc184312118"/>
      <w:bookmarkEnd w:id="223"/>
      <w:bookmarkStart w:id="224" w:name="_Toc184312101"/>
      <w:bookmarkEnd w:id="224"/>
      <w:bookmarkStart w:id="225" w:name="_Toc184308080"/>
      <w:bookmarkEnd w:id="225"/>
      <w:bookmarkStart w:id="226" w:name="_Toc184313256"/>
      <w:bookmarkEnd w:id="226"/>
      <w:bookmarkStart w:id="227" w:name="_Toc184310326"/>
      <w:bookmarkEnd w:id="227"/>
      <w:bookmarkStart w:id="228" w:name="_Toc184314437"/>
      <w:bookmarkEnd w:id="228"/>
      <w:bookmarkStart w:id="229" w:name="_Toc184308041"/>
      <w:bookmarkEnd w:id="229"/>
      <w:bookmarkStart w:id="230" w:name="_Toc184308075"/>
      <w:bookmarkEnd w:id="230"/>
      <w:bookmarkStart w:id="231" w:name="_Toc184310321"/>
      <w:bookmarkEnd w:id="231"/>
      <w:bookmarkStart w:id="232" w:name="_Toc184312067"/>
      <w:bookmarkEnd w:id="232"/>
      <w:bookmarkStart w:id="233" w:name="_Toc184310292"/>
      <w:bookmarkEnd w:id="233"/>
      <w:bookmarkStart w:id="234" w:name="_Toc184314439"/>
      <w:bookmarkEnd w:id="234"/>
      <w:bookmarkStart w:id="235" w:name="_Toc184308102"/>
      <w:bookmarkEnd w:id="235"/>
      <w:bookmarkStart w:id="236" w:name="_Toc184308047"/>
      <w:bookmarkEnd w:id="236"/>
      <w:bookmarkStart w:id="237" w:name="_Toc184312120"/>
      <w:bookmarkEnd w:id="237"/>
      <w:bookmarkStart w:id="238" w:name="_Toc184313270"/>
      <w:bookmarkEnd w:id="238"/>
      <w:bookmarkStart w:id="239" w:name="_Toc184308069"/>
      <w:bookmarkEnd w:id="239"/>
      <w:bookmarkStart w:id="240" w:name="_Toc184308063"/>
      <w:bookmarkEnd w:id="240"/>
      <w:bookmarkStart w:id="241" w:name="_Toc184308101"/>
      <w:bookmarkEnd w:id="241"/>
      <w:bookmarkStart w:id="242" w:name="_Toc184312108"/>
      <w:bookmarkEnd w:id="242"/>
      <w:bookmarkStart w:id="243" w:name="_Toc184310334"/>
      <w:bookmarkEnd w:id="243"/>
      <w:bookmarkStart w:id="244" w:name="_Toc184308088"/>
      <w:bookmarkEnd w:id="244"/>
      <w:bookmarkStart w:id="245" w:name="_Toc184313302"/>
      <w:bookmarkEnd w:id="245"/>
      <w:bookmarkStart w:id="246" w:name="_Toc184313305"/>
      <w:bookmarkEnd w:id="246"/>
      <w:bookmarkStart w:id="247" w:name="_Toc184313260"/>
      <w:bookmarkEnd w:id="247"/>
      <w:bookmarkStart w:id="248" w:name="_Toc184313246"/>
      <w:bookmarkEnd w:id="248"/>
      <w:bookmarkStart w:id="249" w:name="_Toc184313288"/>
      <w:bookmarkEnd w:id="249"/>
      <w:bookmarkStart w:id="250" w:name="_Toc184314419"/>
      <w:bookmarkEnd w:id="250"/>
      <w:bookmarkStart w:id="251" w:name="_Toc184312119"/>
      <w:bookmarkEnd w:id="251"/>
      <w:bookmarkStart w:id="252" w:name="_Toc184313280"/>
      <w:bookmarkEnd w:id="252"/>
      <w:bookmarkStart w:id="253" w:name="_Toc184308078"/>
      <w:bookmarkEnd w:id="253"/>
      <w:bookmarkStart w:id="254" w:name="_Toc184312097"/>
      <w:bookmarkEnd w:id="254"/>
      <w:bookmarkStart w:id="255" w:name="_Toc184314417"/>
      <w:bookmarkEnd w:id="255"/>
      <w:bookmarkStart w:id="256" w:name="_Toc184314442"/>
      <w:bookmarkEnd w:id="256"/>
      <w:bookmarkStart w:id="257" w:name="_Toc184312098"/>
      <w:bookmarkEnd w:id="257"/>
      <w:bookmarkStart w:id="258" w:name="_Toc184310281"/>
      <w:bookmarkEnd w:id="258"/>
      <w:bookmarkStart w:id="259" w:name="_Toc184314462"/>
      <w:bookmarkEnd w:id="259"/>
      <w:bookmarkStart w:id="260" w:name="_Toc184313297"/>
      <w:bookmarkEnd w:id="260"/>
      <w:bookmarkStart w:id="261" w:name="_Toc184314440"/>
      <w:bookmarkEnd w:id="261"/>
      <w:bookmarkStart w:id="262" w:name="_Toc184312073"/>
      <w:bookmarkEnd w:id="262"/>
      <w:bookmarkStart w:id="263" w:name="_Toc184313290"/>
      <w:bookmarkEnd w:id="263"/>
      <w:bookmarkStart w:id="264" w:name="_Toc184314455"/>
      <w:bookmarkEnd w:id="264"/>
      <w:bookmarkStart w:id="265" w:name="_Toc184310299"/>
      <w:bookmarkEnd w:id="265"/>
      <w:bookmarkStart w:id="266" w:name="_Toc184314413"/>
      <w:bookmarkEnd w:id="266"/>
      <w:bookmarkStart w:id="267" w:name="_Toc184312071"/>
      <w:bookmarkEnd w:id="267"/>
      <w:bookmarkStart w:id="268" w:name="_Toc184308097"/>
      <w:bookmarkEnd w:id="268"/>
      <w:bookmarkStart w:id="269" w:name="_Toc184314436"/>
      <w:bookmarkEnd w:id="269"/>
      <w:bookmarkStart w:id="270" w:name="_Toc184314443"/>
      <w:bookmarkEnd w:id="270"/>
      <w:bookmarkStart w:id="271" w:name="_Toc184314427"/>
      <w:bookmarkEnd w:id="271"/>
      <w:bookmarkStart w:id="272" w:name="_Toc184310327"/>
      <w:bookmarkEnd w:id="272"/>
      <w:bookmarkStart w:id="273" w:name="_Toc184308056"/>
      <w:bookmarkEnd w:id="273"/>
      <w:bookmarkStart w:id="274" w:name="_Toc184308095"/>
      <w:bookmarkEnd w:id="274"/>
      <w:bookmarkStart w:id="275" w:name="_Toc184308068"/>
      <w:bookmarkEnd w:id="275"/>
      <w:bookmarkStart w:id="276" w:name="_Toc184313252"/>
      <w:bookmarkEnd w:id="276"/>
      <w:bookmarkStart w:id="277" w:name="_Toc184314420"/>
      <w:bookmarkEnd w:id="277"/>
      <w:bookmarkStart w:id="278" w:name="_Toc184314423"/>
      <w:bookmarkEnd w:id="278"/>
      <w:bookmarkStart w:id="279" w:name="_Toc184313272"/>
      <w:bookmarkEnd w:id="279"/>
      <w:bookmarkStart w:id="280" w:name="_Toc184313275"/>
      <w:bookmarkEnd w:id="280"/>
      <w:bookmarkStart w:id="281" w:name="_Toc184312133"/>
      <w:bookmarkEnd w:id="281"/>
      <w:bookmarkStart w:id="282" w:name="_Toc184310295"/>
      <w:bookmarkEnd w:id="282"/>
      <w:bookmarkStart w:id="283" w:name="_Toc184310282"/>
      <w:bookmarkEnd w:id="283"/>
      <w:bookmarkStart w:id="284" w:name="_Toc184314467"/>
      <w:bookmarkEnd w:id="284"/>
      <w:bookmarkStart w:id="285" w:name="_Toc184308104"/>
      <w:bookmarkEnd w:id="285"/>
      <w:bookmarkStart w:id="286" w:name="_Toc184310317"/>
      <w:bookmarkEnd w:id="286"/>
      <w:bookmarkStart w:id="287" w:name="_Toc184313240"/>
      <w:bookmarkEnd w:id="287"/>
      <w:bookmarkStart w:id="288" w:name="_Toc184308052"/>
      <w:bookmarkEnd w:id="288"/>
      <w:bookmarkStart w:id="289" w:name="_Toc184312129"/>
      <w:bookmarkEnd w:id="289"/>
      <w:bookmarkStart w:id="290" w:name="_Toc184313254"/>
      <w:bookmarkEnd w:id="290"/>
      <w:bookmarkStart w:id="291" w:name="_Toc184310293"/>
      <w:bookmarkEnd w:id="291"/>
      <w:bookmarkStart w:id="292" w:name="_Toc184310330"/>
      <w:bookmarkEnd w:id="292"/>
      <w:bookmarkStart w:id="293" w:name="_Toc184308082"/>
      <w:bookmarkEnd w:id="293"/>
      <w:bookmarkStart w:id="294" w:name="_Toc184314452"/>
      <w:bookmarkEnd w:id="294"/>
      <w:bookmarkStart w:id="295" w:name="_Toc184314418"/>
      <w:bookmarkEnd w:id="295"/>
      <w:bookmarkStart w:id="296" w:name="_Toc184312117"/>
      <w:bookmarkEnd w:id="296"/>
      <w:bookmarkStart w:id="297" w:name="_Toc184313244"/>
      <w:bookmarkEnd w:id="297"/>
      <w:bookmarkStart w:id="298" w:name="_Toc184308065"/>
      <w:bookmarkEnd w:id="298"/>
      <w:bookmarkStart w:id="299" w:name="_Toc184312123"/>
      <w:bookmarkEnd w:id="299"/>
      <w:bookmarkStart w:id="300" w:name="_Toc184310298"/>
      <w:bookmarkEnd w:id="300"/>
      <w:bookmarkStart w:id="301" w:name="_Toc184310320"/>
      <w:bookmarkEnd w:id="301"/>
      <w:bookmarkStart w:id="302" w:name="_Toc184308091"/>
      <w:bookmarkEnd w:id="302"/>
      <w:bookmarkStart w:id="303" w:name="_Toc184314416"/>
      <w:bookmarkEnd w:id="303"/>
      <w:bookmarkStart w:id="304" w:name="_Toc184310303"/>
      <w:bookmarkEnd w:id="304"/>
      <w:bookmarkStart w:id="305" w:name="_Toc184308076"/>
      <w:bookmarkEnd w:id="305"/>
      <w:bookmarkStart w:id="306" w:name="_Toc184313242"/>
      <w:bookmarkEnd w:id="306"/>
      <w:bookmarkStart w:id="307" w:name="_Toc184313253"/>
      <w:bookmarkEnd w:id="307"/>
      <w:bookmarkStart w:id="308" w:name="_Toc184310323"/>
      <w:bookmarkEnd w:id="308"/>
      <w:bookmarkStart w:id="309" w:name="_Toc184314463"/>
      <w:bookmarkEnd w:id="309"/>
      <w:bookmarkStart w:id="310" w:name="_Toc184313250"/>
      <w:bookmarkEnd w:id="310"/>
      <w:bookmarkStart w:id="311" w:name="_Toc184310337"/>
      <w:bookmarkEnd w:id="311"/>
      <w:bookmarkStart w:id="312" w:name="_Toc184313285"/>
      <w:bookmarkEnd w:id="312"/>
      <w:bookmarkStart w:id="313" w:name="_Toc184312121"/>
      <w:bookmarkEnd w:id="313"/>
      <w:bookmarkStart w:id="314" w:name="_Toc184308042"/>
      <w:bookmarkEnd w:id="314"/>
      <w:bookmarkStart w:id="315" w:name="_Toc184310340"/>
      <w:bookmarkEnd w:id="315"/>
      <w:bookmarkStart w:id="316" w:name="_Toc184313261"/>
      <w:bookmarkEnd w:id="316"/>
      <w:bookmarkStart w:id="317" w:name="_Toc184312103"/>
      <w:bookmarkEnd w:id="317"/>
      <w:bookmarkStart w:id="318" w:name="_Toc184312079"/>
      <w:bookmarkEnd w:id="318"/>
      <w:bookmarkStart w:id="319" w:name="_Toc184312124"/>
      <w:bookmarkEnd w:id="319"/>
      <w:bookmarkStart w:id="320" w:name="_Toc184310307"/>
      <w:bookmarkEnd w:id="320"/>
      <w:bookmarkStart w:id="321" w:name="_Toc184308093"/>
      <w:bookmarkEnd w:id="321"/>
      <w:bookmarkStart w:id="322" w:name="_Toc184310342"/>
      <w:bookmarkEnd w:id="322"/>
      <w:bookmarkStart w:id="323" w:name="_Toc184310315"/>
      <w:bookmarkEnd w:id="323"/>
      <w:bookmarkStart w:id="324" w:name="_Toc184313259"/>
      <w:bookmarkEnd w:id="324"/>
      <w:bookmarkStart w:id="325" w:name="_Toc184314480"/>
      <w:bookmarkEnd w:id="325"/>
      <w:bookmarkStart w:id="326" w:name="_Toc184308090"/>
      <w:bookmarkEnd w:id="326"/>
      <w:bookmarkStart w:id="327" w:name="_Toc184308038"/>
      <w:bookmarkEnd w:id="327"/>
      <w:bookmarkStart w:id="328" w:name="_Toc184314464"/>
      <w:bookmarkEnd w:id="328"/>
      <w:bookmarkStart w:id="329" w:name="_Toc184312134"/>
      <w:bookmarkEnd w:id="329"/>
      <w:bookmarkStart w:id="330" w:name="_Toc184312082"/>
      <w:bookmarkEnd w:id="330"/>
      <w:bookmarkStart w:id="331" w:name="_Toc184308083"/>
      <w:bookmarkEnd w:id="331"/>
      <w:bookmarkStart w:id="332" w:name="_Toc184310343"/>
      <w:bookmarkEnd w:id="332"/>
      <w:bookmarkStart w:id="333" w:name="_Toc184308106"/>
      <w:bookmarkEnd w:id="333"/>
      <w:bookmarkStart w:id="334" w:name="_Toc184313310"/>
      <w:bookmarkEnd w:id="334"/>
      <w:bookmarkStart w:id="335" w:name="_Toc184314445"/>
      <w:bookmarkEnd w:id="335"/>
      <w:bookmarkStart w:id="336" w:name="_Toc184312109"/>
      <w:bookmarkEnd w:id="336"/>
      <w:bookmarkStart w:id="337" w:name="_Toc184312081"/>
      <w:bookmarkEnd w:id="337"/>
      <w:bookmarkStart w:id="338" w:name="_Toc184313249"/>
      <w:bookmarkEnd w:id="338"/>
      <w:bookmarkStart w:id="339" w:name="_Toc184310312"/>
      <w:bookmarkEnd w:id="339"/>
      <w:bookmarkStart w:id="340" w:name="_Toc184310288"/>
      <w:bookmarkEnd w:id="340"/>
      <w:bookmarkStart w:id="341" w:name="_Toc184310310"/>
      <w:bookmarkEnd w:id="341"/>
      <w:bookmarkStart w:id="342" w:name="_Toc184310311"/>
      <w:bookmarkEnd w:id="342"/>
      <w:bookmarkStart w:id="343" w:name="_Toc184310339"/>
      <w:bookmarkEnd w:id="343"/>
      <w:bookmarkStart w:id="344" w:name="_Toc184312095"/>
      <w:bookmarkEnd w:id="344"/>
      <w:bookmarkStart w:id="345" w:name="_Toc184308054"/>
      <w:bookmarkEnd w:id="345"/>
      <w:bookmarkStart w:id="346" w:name="_Toc184312137"/>
      <w:bookmarkEnd w:id="346"/>
      <w:bookmarkStart w:id="347" w:name="_Toc184308092"/>
      <w:bookmarkEnd w:id="347"/>
      <w:bookmarkStart w:id="348" w:name="_Toc184313238"/>
      <w:bookmarkEnd w:id="348"/>
      <w:bookmarkStart w:id="349" w:name="_Toc184312113"/>
      <w:bookmarkEnd w:id="349"/>
      <w:bookmarkStart w:id="350" w:name="_Toc184312094"/>
      <w:bookmarkEnd w:id="350"/>
      <w:bookmarkStart w:id="351" w:name="_Toc184313271"/>
      <w:bookmarkEnd w:id="351"/>
      <w:bookmarkStart w:id="352" w:name="_Toc184310278"/>
      <w:bookmarkEnd w:id="352"/>
      <w:bookmarkStart w:id="353" w:name="_Toc184310289"/>
      <w:bookmarkEnd w:id="353"/>
      <w:bookmarkStart w:id="354" w:name="_Toc184313269"/>
      <w:bookmarkEnd w:id="354"/>
      <w:bookmarkStart w:id="355" w:name="_Toc184314421"/>
      <w:bookmarkEnd w:id="355"/>
      <w:bookmarkStart w:id="356" w:name="_Toc184314415"/>
      <w:bookmarkEnd w:id="356"/>
      <w:bookmarkStart w:id="357" w:name="_Toc184313281"/>
      <w:bookmarkEnd w:id="357"/>
      <w:bookmarkStart w:id="358" w:name="_Toc184314431"/>
      <w:bookmarkEnd w:id="358"/>
      <w:bookmarkStart w:id="359" w:name="_Toc184314456"/>
      <w:bookmarkEnd w:id="359"/>
      <w:bookmarkStart w:id="360" w:name="_Toc184310276"/>
      <w:bookmarkEnd w:id="360"/>
      <w:bookmarkStart w:id="361" w:name="_Toc184312080"/>
      <w:bookmarkEnd w:id="361"/>
      <w:bookmarkStart w:id="362" w:name="_Toc184308074"/>
      <w:bookmarkEnd w:id="362"/>
      <w:bookmarkStart w:id="363" w:name="_Toc184314472"/>
      <w:bookmarkEnd w:id="363"/>
      <w:bookmarkStart w:id="364" w:name="_Toc184313293"/>
      <w:bookmarkEnd w:id="364"/>
      <w:bookmarkStart w:id="365" w:name="_Toc184314444"/>
      <w:bookmarkEnd w:id="365"/>
      <w:bookmarkStart w:id="366" w:name="_Toc184308108"/>
      <w:bookmarkEnd w:id="366"/>
      <w:bookmarkStart w:id="367" w:name="_Toc184310274"/>
      <w:bookmarkEnd w:id="367"/>
      <w:bookmarkStart w:id="368" w:name="_Toc184308085"/>
      <w:bookmarkEnd w:id="368"/>
      <w:bookmarkStart w:id="369" w:name="_Toc184314448"/>
      <w:bookmarkEnd w:id="369"/>
      <w:bookmarkStart w:id="370" w:name="_Toc184313255"/>
      <w:bookmarkEnd w:id="370"/>
      <w:bookmarkStart w:id="371" w:name="_Toc184308086"/>
      <w:bookmarkEnd w:id="371"/>
      <w:bookmarkStart w:id="372" w:name="_Toc184308044"/>
      <w:bookmarkEnd w:id="372"/>
      <w:bookmarkStart w:id="373" w:name="_Toc184312135"/>
      <w:bookmarkEnd w:id="373"/>
      <w:bookmarkStart w:id="374" w:name="_Toc184314435"/>
      <w:bookmarkEnd w:id="374"/>
      <w:bookmarkStart w:id="375" w:name="_Toc184310273"/>
      <w:bookmarkEnd w:id="375"/>
      <w:bookmarkStart w:id="376" w:name="_Toc184313292"/>
      <w:bookmarkEnd w:id="376"/>
      <w:bookmarkStart w:id="377" w:name="_Toc184312093"/>
      <w:bookmarkEnd w:id="377"/>
      <w:bookmarkStart w:id="378" w:name="_Toc184312069"/>
      <w:bookmarkEnd w:id="378"/>
      <w:bookmarkStart w:id="379" w:name="_Toc184310306"/>
      <w:bookmarkEnd w:id="379"/>
      <w:bookmarkStart w:id="380" w:name="_Toc184314461"/>
      <w:bookmarkEnd w:id="380"/>
      <w:bookmarkStart w:id="381" w:name="_Toc184313247"/>
      <w:bookmarkEnd w:id="381"/>
      <w:bookmarkStart w:id="382" w:name="_Toc184313294"/>
      <w:bookmarkEnd w:id="382"/>
      <w:bookmarkStart w:id="383" w:name="_Toc184314482"/>
      <w:bookmarkEnd w:id="383"/>
      <w:bookmarkStart w:id="384" w:name="_Toc184310329"/>
      <w:bookmarkEnd w:id="384"/>
      <w:bookmarkStart w:id="385" w:name="_Toc184313299"/>
      <w:bookmarkEnd w:id="385"/>
      <w:bookmarkStart w:id="386" w:name="_Toc184313268"/>
      <w:bookmarkEnd w:id="386"/>
      <w:bookmarkStart w:id="387" w:name="_Toc184314438"/>
      <w:bookmarkEnd w:id="387"/>
      <w:bookmarkStart w:id="388" w:name="_Toc184313282"/>
      <w:bookmarkEnd w:id="388"/>
      <w:bookmarkStart w:id="389" w:name="_Toc184312115"/>
      <w:bookmarkEnd w:id="389"/>
      <w:bookmarkStart w:id="390" w:name="_Toc184314430"/>
      <w:bookmarkEnd w:id="390"/>
      <w:bookmarkStart w:id="391" w:name="_Toc184312078"/>
      <w:bookmarkEnd w:id="391"/>
      <w:bookmarkStart w:id="392" w:name="_Toc184308077"/>
      <w:bookmarkEnd w:id="392"/>
      <w:r>
        <w:rPr>
          <w:rFonts w:hint="eastAsia" w:ascii="仿宋" w:hAnsi="仿宋" w:eastAsia="仿宋" w:cs="仿宋"/>
          <w:b/>
          <w:color w:val="auto"/>
          <w:sz w:val="36"/>
          <w:szCs w:val="36"/>
          <w:highlight w:val="none"/>
        </w:rPr>
        <w:t>评标办法</w:t>
      </w:r>
    </w:p>
    <w:p>
      <w:pPr>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99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720"/>
        <w:gridCol w:w="986"/>
        <w:gridCol w:w="5563"/>
        <w:gridCol w:w="787"/>
        <w:gridCol w:w="9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8" w:hRule="atLeast"/>
          <w:jc w:val="center"/>
        </w:trPr>
        <w:tc>
          <w:tcPr>
            <w:tcW w:w="893"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7269"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分值区间</w:t>
            </w:r>
          </w:p>
        </w:tc>
        <w:tc>
          <w:tcPr>
            <w:tcW w:w="98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
                <w:color w:val="auto"/>
                <w:sz w:val="24"/>
                <w:highlight w:val="none"/>
              </w:rPr>
              <w:t>商务资信部分</w:t>
            </w: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仿宋" w:hAnsi="仿宋" w:eastAsia="仿宋" w:cs="仿宋_GB2312"/>
                <w:color w:val="auto"/>
                <w:sz w:val="24"/>
                <w:highlight w:val="none"/>
              </w:rPr>
            </w:pPr>
            <w:bookmarkStart w:id="393" w:name="_Hlk153459842"/>
            <w:r>
              <w:rPr>
                <w:rFonts w:hint="eastAsia" w:ascii="仿宋" w:hAnsi="仿宋" w:eastAsia="仿宋" w:cs="仿宋"/>
                <w:color w:val="auto"/>
                <w:sz w:val="24"/>
                <w:highlight w:val="none"/>
              </w:rPr>
              <w:t>投标人具有PACS、云影像等医学影像存储类项目案例的：每一个业绩得1分，最高2分。提供合同复印件（内容须为PACS、云影像等医学影像存储类），否则不得分。</w:t>
            </w:r>
            <w:bookmarkEnd w:id="393"/>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0-2</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投标人具有ISO9001质量管理体系认证证书得1分；投标人具有ISO20000信息技术服务体系认证证书得1分；投标人具有ISO27001信息安全管理体系认证得1分</w:t>
            </w:r>
            <w:r>
              <w:rPr>
                <w:rFonts w:hint="eastAsia" w:ascii="仿宋" w:hAnsi="仿宋" w:eastAsia="仿宋" w:cs="仿宋"/>
                <w:color w:val="auto"/>
                <w:kern w:val="0"/>
                <w:sz w:val="24"/>
                <w:highlight w:val="none"/>
              </w:rPr>
              <w:t>。注：以上证书须由通过中国国家认证认可监督管理委员会备案通过的认证机构颁发且在全国认证认可信息公共服务平台查询状态为有效。投标文件中提供证书复印件等证明材料并加盖公章，证明材料不完善或未提供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0-3</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3</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仿宋" w:hAnsi="仿宋" w:eastAsia="仿宋" w:cs="仿宋"/>
                <w:color w:val="auto"/>
                <w:kern w:val="0"/>
                <w:sz w:val="24"/>
                <w:highlight w:val="none"/>
                <w:lang w:bidi="ar"/>
              </w:rPr>
            </w:pPr>
            <w:bookmarkStart w:id="394" w:name="_Hlk153459857"/>
            <w:r>
              <w:rPr>
                <w:rFonts w:hint="eastAsia" w:ascii="仿宋" w:hAnsi="仿宋" w:eastAsia="仿宋" w:cs="仿宋"/>
                <w:color w:val="auto"/>
                <w:kern w:val="0"/>
                <w:sz w:val="24"/>
                <w:highlight w:val="none"/>
                <w:lang w:bidi="ar"/>
              </w:rPr>
              <w:t>投标人所投云平台具有防DDOS威胁的著作权证书的得1分；具有CMA或CNAS标识的抗DDOS攻击测试报告的得2分。证明材料为证书复印件加盖公章</w:t>
            </w:r>
            <w:bookmarkEnd w:id="394"/>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rPr>
              <w:t>证明材料不完善或未提供不得分。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0-3</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仿宋" w:hAnsi="仿宋" w:eastAsia="仿宋" w:cs="仿宋"/>
                <w:color w:val="auto"/>
                <w:sz w:val="24"/>
                <w:highlight w:val="none"/>
              </w:rPr>
            </w:pPr>
            <w:bookmarkStart w:id="395" w:name="_Hlk153459863"/>
            <w:r>
              <w:rPr>
                <w:rFonts w:hint="eastAsia" w:ascii="仿宋" w:hAnsi="仿宋" w:eastAsia="仿宋" w:cs="仿宋"/>
                <w:color w:val="auto"/>
                <w:kern w:val="0"/>
                <w:sz w:val="24"/>
                <w:highlight w:val="none"/>
                <w:lang w:bidi="ar"/>
              </w:rPr>
              <w:t>投标人具有“云平台网络能力评估—多云互联、云分发服务、物理云主机服务、混合云安全能力、块存储服务能力”相关的有效期内认证证书，每个得1分，最高得5分。（0-5分）。投标文件中提供证书复印件加盖公章</w:t>
            </w:r>
            <w:bookmarkEnd w:id="395"/>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rPr>
              <w:t>证明材料不完善或未提供不得分。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0-5</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技术</w:t>
            </w:r>
          </w:p>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和服</w:t>
            </w:r>
          </w:p>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务方</w:t>
            </w:r>
          </w:p>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案部</w:t>
            </w:r>
          </w:p>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
                <w:color w:val="auto"/>
                <w:sz w:val="24"/>
                <w:highlight w:val="none"/>
              </w:rPr>
              <w:t>分</w:t>
            </w: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5</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b/>
                <w:bCs/>
                <w:color w:val="auto"/>
                <w:sz w:val="24"/>
                <w:highlight w:val="none"/>
              </w:rPr>
            </w:pPr>
            <w:r>
              <w:rPr>
                <w:rFonts w:hint="eastAsia" w:ascii="仿宋" w:hAnsi="仿宋" w:eastAsia="仿宋" w:cs="仿宋"/>
                <w:color w:val="auto"/>
                <w:sz w:val="24"/>
                <w:highlight w:val="none"/>
              </w:rPr>
              <w:t>技术功能符合度：对应于采购文件第二章“采购需求”中“主要技术参数要求”，实质性技术参数条款以“▲”号标注，不满足者将被视为无效标。以“</w:t>
            </w:r>
            <w:r>
              <w:rPr>
                <w:rFonts w:hint="eastAsia" w:ascii="宋体" w:hAnsi="宋体" w:cs="宋体"/>
                <w:b/>
                <w:bCs/>
                <w:color w:val="auto"/>
                <w:sz w:val="24"/>
                <w:highlight w:val="none"/>
              </w:rPr>
              <w:t>■</w:t>
            </w:r>
            <w:r>
              <w:rPr>
                <w:rFonts w:hint="eastAsia" w:ascii="仿宋" w:hAnsi="仿宋" w:eastAsia="仿宋" w:cs="仿宋"/>
                <w:color w:val="auto"/>
                <w:sz w:val="24"/>
                <w:highlight w:val="none"/>
              </w:rPr>
              <w:t>”号标注的，为主要技术指标，每一条不满足扣2分，其余一般性指标条款，每一条不满足扣0.5分，扣完为止。</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0-20</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6</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云存储归档服务：</w:t>
            </w:r>
            <w:r>
              <w:rPr>
                <w:rFonts w:hint="eastAsia" w:ascii="仿宋" w:hAnsi="仿宋" w:eastAsia="仿宋" w:cs="仿宋"/>
                <w:color w:val="auto"/>
                <w:sz w:val="24"/>
                <w:highlight w:val="none"/>
              </w:rPr>
              <w:t>根据方案针对性强且能满足采购需求的程度进行评分。针对性强、方案科学合理得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分，方案针对性和合理性一般得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分，针对性不强或方案较差得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分；无内容不得分。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3</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7</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数据集成监管治理服务：</w:t>
            </w:r>
            <w:r>
              <w:rPr>
                <w:rFonts w:hint="eastAsia" w:ascii="仿宋" w:hAnsi="仿宋" w:eastAsia="仿宋" w:cs="仿宋"/>
                <w:color w:val="auto"/>
                <w:sz w:val="24"/>
                <w:highlight w:val="none"/>
              </w:rPr>
              <w:t>根据方案针对性强且能满足采购需求的程度进行评分。针对性强、方案科学合理的得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分，方案针对性和合理性一般得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分，针对性不强或方案较差得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分；无内容不得分。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3</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8</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b/>
                <w:bCs/>
                <w:color w:val="auto"/>
                <w:sz w:val="24"/>
                <w:highlight w:val="none"/>
              </w:rPr>
            </w:pPr>
            <w:r>
              <w:rPr>
                <w:rFonts w:hint="eastAsia" w:ascii="仿宋" w:hAnsi="仿宋" w:eastAsia="仿宋" w:cs="仿宋"/>
                <w:color w:val="auto"/>
                <w:sz w:val="24"/>
                <w:highlight w:val="none"/>
              </w:rPr>
              <w:t>数字影像后台管理系统：根据方案针对性强且能满足采购需求的程度进行评分。针对性强、方案科学合理的得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分，方案针对性和合理性一般得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分，针对性不强或方案较差得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分；无内容不得分。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3</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b/>
                <w:bCs/>
                <w:color w:val="auto"/>
                <w:sz w:val="24"/>
                <w:highlight w:val="none"/>
                <w:lang w:eastAsia="zh-CN"/>
              </w:rPr>
            </w:pPr>
            <w:r>
              <w:rPr>
                <w:rFonts w:hint="eastAsia" w:ascii="仿宋" w:hAnsi="仿宋" w:eastAsia="仿宋" w:cs="仿宋_GB2312"/>
                <w:color w:val="auto"/>
                <w:sz w:val="24"/>
                <w:highlight w:val="none"/>
                <w:lang w:val="en-US" w:eastAsia="zh-CN"/>
              </w:rPr>
              <w:t>9</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数据融合服务方案：根据方案针对性强且能满足采购需求的程度进行评分。针对性强、方案科学合理的得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分，方案针对性和合理性一般得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分，针对性不强或方案较差得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分；无内容不得分。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3</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0</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b/>
                <w:bCs/>
                <w:color w:val="auto"/>
                <w:sz w:val="24"/>
                <w:highlight w:val="none"/>
              </w:rPr>
            </w:pPr>
            <w:r>
              <w:rPr>
                <w:rFonts w:hint="eastAsia" w:ascii="仿宋" w:hAnsi="仿宋" w:eastAsia="仿宋" w:cs="仿宋"/>
                <w:color w:val="auto"/>
                <w:sz w:val="24"/>
                <w:highlight w:val="none"/>
              </w:rPr>
              <w:t>数据共享服务方案：根据方案针对性强且能满足采购需求的程度进行评分。针对性强、方案科学合理的得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分，方案针对性和合理性一般得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分，针对性不强或方案较差得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分；无内容不得分。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3</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bidi="ar"/>
              </w:rPr>
              <w:t>患者影像调阅服务：</w:t>
            </w:r>
            <w:r>
              <w:rPr>
                <w:rFonts w:hint="eastAsia" w:ascii="仿宋" w:hAnsi="仿宋" w:eastAsia="仿宋" w:cs="仿宋"/>
                <w:color w:val="auto"/>
                <w:sz w:val="24"/>
                <w:highlight w:val="none"/>
              </w:rPr>
              <w:t>根据方案针对性强且能满足采购需求的程度进行评分。针对性强、方案科学合理的得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分，方案针对性和合理性一般得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分，针对性不强或方案较差得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分；无内容不得分。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b/>
                <w:bCs/>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3</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患者临床数据调阅服务方案：根据方案针对性强且能满足采购需求的程度进行评分。针对性强、方案科学合理的得2分，方案针对性和合理性一般得1分，针对性不强或方案较差得0.5分；无内容不得分。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0-2</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3</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b/>
                <w:bCs/>
                <w:color w:val="auto"/>
                <w:sz w:val="24"/>
                <w:highlight w:val="none"/>
              </w:rPr>
            </w:pPr>
            <w:r>
              <w:rPr>
                <w:rFonts w:hint="eastAsia" w:ascii="仿宋" w:hAnsi="仿宋" w:eastAsia="仿宋" w:cs="仿宋"/>
                <w:color w:val="auto"/>
                <w:sz w:val="24"/>
                <w:highlight w:val="none"/>
              </w:rPr>
              <w:t>移动阅片服务方案：根据方案针对性强且能满足采购需求的程度进行评分。针对性强、方案科学合理的得2分，方案针对性和合理性一般得1分，针对性不强或方案较差得0.5分；无内容不得分。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0-2</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4</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实施方案</w:t>
            </w:r>
            <w:r>
              <w:rPr>
                <w:rFonts w:hint="eastAsia" w:ascii="仿宋" w:hAnsi="仿宋" w:eastAsia="仿宋" w:cs="仿宋"/>
                <w:color w:val="auto"/>
                <w:sz w:val="24"/>
                <w:highlight w:val="none"/>
                <w:lang w:bidi="ar"/>
              </w:rPr>
              <w:t>包括系统安装调试、系统集成、试运行、测试等内容，以及组织机构、工作时间进度表、工作程序和步骤、管理等要点综合</w:t>
            </w:r>
            <w:r>
              <w:rPr>
                <w:rFonts w:hint="eastAsia" w:ascii="仿宋" w:hAnsi="仿宋" w:eastAsia="仿宋" w:cs="仿宋"/>
                <w:color w:val="auto"/>
                <w:sz w:val="24"/>
                <w:highlight w:val="none"/>
              </w:rPr>
              <w:t>，内容完整、合理、规范且可行的得4分；内容较完整、较合理、较规范且较可行的得3分；内容普通的得2分；内容存在较多瑕疵的得1分；未提供得0分。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0-4</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5</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应急处理方案：方案对日常可能遇到的问题及其应对措施是否到位。应急预案完善、对问题预见全面、措施到位的得3分，应急预案合理、对可能遇到的问题有预见，有相应的基本措施得2分，应急预案存在瑕疵，但尚能满足服务要求的，得1分，存在明显缺陷或无相应措施的，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0-3</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6</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项目培训服务方案：培训内容、时间、授课师资等内容完整且与项目匹配度好的得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分；内容基本完整且与项目匹配度较好的得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分；内容存在欠缺或与项目匹配度一般的得1分；方案内容缺失严重或与项目不匹配的不得分。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3</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7</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售后服务方案：服务承诺的可行性、完整性以及服务承诺落实的保障措施，质保期内外的后续技术支持和维护能力情况。要点内容完整、完全符合采购需求的得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分；内容较完整，符合采购需求程度一般的得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分；内容与本项目有关联，但仅部分符合采购需求的得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分；完全不符合得0分。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3</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8</w:t>
            </w:r>
          </w:p>
        </w:tc>
        <w:tc>
          <w:tcPr>
            <w:tcW w:w="986" w:type="dxa"/>
            <w:vMerge w:val="restart"/>
            <w:tcBorders>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项目人员配置</w:t>
            </w:r>
          </w:p>
        </w:tc>
        <w:tc>
          <w:tcPr>
            <w:tcW w:w="5563" w:type="dxa"/>
            <w:tcBorders>
              <w:lef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color w:val="auto"/>
                <w:highlight w:val="none"/>
              </w:rPr>
            </w:pPr>
            <w:r>
              <w:rPr>
                <w:rFonts w:hint="eastAsia" w:ascii="仿宋" w:hAnsi="仿宋" w:eastAsia="仿宋" w:cs="仿宋"/>
                <w:color w:val="auto"/>
                <w:sz w:val="24"/>
                <w:highlight w:val="none"/>
              </w:rPr>
              <w:t>投标人拟派项目经理具有信息系统项目管理师资质证书的得1.5分，具有注册信息安全工程师证书的得1.5分，具有高级工程师职称证书(信息技术专业)的得1分，最高4分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（提供证书复印件、投标截止日前三个月内任意一个月的社保证明）</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0-4</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986" w:type="dxa"/>
            <w:vMerge w:val="continue"/>
            <w:tcBorders>
              <w:righ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p>
        </w:tc>
        <w:tc>
          <w:tcPr>
            <w:tcW w:w="5563" w:type="dxa"/>
            <w:tcBorders>
              <w:left w:val="single" w:color="auto" w:sz="4" w:space="0"/>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技术负责人：具有信息系统项目管理师、系统分析师、软件设计师证书的，</w:t>
            </w:r>
            <w:r>
              <w:rPr>
                <w:rFonts w:hint="eastAsia" w:ascii="仿宋" w:hAnsi="仿宋" w:eastAsia="仿宋" w:cs="仿宋"/>
                <w:color w:val="auto"/>
                <w:sz w:val="24"/>
                <w:highlight w:val="none"/>
                <w:lang w:bidi="ar"/>
              </w:rPr>
              <w:t>每提供一个得1分，最高3分</w:t>
            </w:r>
            <w:r>
              <w:rPr>
                <w:rFonts w:hint="eastAsia" w:ascii="仿宋" w:hAnsi="仿宋" w:eastAsia="仿宋" w:cs="仿宋"/>
                <w:color w:val="auto"/>
                <w:sz w:val="24"/>
                <w:highlight w:val="none"/>
              </w:rPr>
              <w:t>。（提供证书复印件、投标截止日前三个月内任意一个月的社保证明）</w:t>
            </w:r>
          </w:p>
          <w:p>
            <w:pPr>
              <w:rPr>
                <w:color w:val="auto"/>
                <w:highlight w:val="none"/>
              </w:rPr>
            </w:pP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en-US" w:eastAsia="zh-CN"/>
              </w:rPr>
              <w:t>3</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19</w:t>
            </w:r>
          </w:p>
        </w:tc>
        <w:tc>
          <w:tcPr>
            <w:tcW w:w="6549"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投标人现场软件演示（所有演示项需使用真实系统演示，演示时长不超过20分钟，使用PPT演示、demo演示或其它演示不得分。）</w:t>
            </w:r>
          </w:p>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1）提供移动端云影像调阅演示：演示患者通过三种“云影像”的服务入口进行移动端影像调阅，移动端打开DR\CT\MR任一影像，影像不能含有患者或医院的任意标记；</w:t>
            </w:r>
          </w:p>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完全满足要求得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分，部分满足不得分。</w:t>
            </w:r>
          </w:p>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2）演示通过“数字影像后台管理系统”查看影像云平台收费明细及收费统计等；针对误上传或重复上传的云影像数据以检查单号为条件进行检索、删除和删除恢复等操作；</w:t>
            </w:r>
          </w:p>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完全满足要求得3分，部分满足不得分。</w:t>
            </w:r>
          </w:p>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通过移动端演示身份不可知患者或缴费状态异常患者的影像数据查阅：针对身份不可知患者及缴费状态异常患者，通过输入影像申请单号（AN号）及患者身份证号/临时身份证号（ID号），进行异常状态更新，从而实现患者影像数据调阅；</w:t>
            </w:r>
          </w:p>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完全满足要求得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分，部分满足不得分。</w:t>
            </w:r>
          </w:p>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4）投标人提供数据采集性能演示：通过自研发数据治理工具，实现传输写入数据≧2万条/秒；</w:t>
            </w:r>
          </w:p>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完全满足要求得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分，部分满足不得分。</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0-1</w:t>
            </w:r>
            <w:r>
              <w:rPr>
                <w:rFonts w:hint="eastAsia" w:ascii="仿宋" w:hAnsi="仿宋" w:eastAsia="仿宋" w:cs="仿宋_GB2312"/>
                <w:color w:val="auto"/>
                <w:sz w:val="24"/>
                <w:highlight w:val="none"/>
                <w:lang w:val="en-US" w:eastAsia="zh-CN"/>
              </w:rPr>
              <w:t>0</w:t>
            </w:r>
            <w:r>
              <w:rPr>
                <w:rFonts w:hint="eastAsia" w:ascii="仿宋" w:hAnsi="仿宋" w:eastAsia="仿宋" w:cs="仿宋_GB2312"/>
                <w:color w:val="auto"/>
                <w:sz w:val="24"/>
                <w:highlight w:val="none"/>
              </w:rPr>
              <w:t>分</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3" w:type="dxa"/>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价格分</w:t>
            </w:r>
          </w:p>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p>
        </w:tc>
        <w:tc>
          <w:tcPr>
            <w:tcW w:w="72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
                <w:color w:val="auto"/>
                <w:sz w:val="24"/>
                <w:highlight w:val="none"/>
              </w:rPr>
              <w:t>价格权值=0.15</w:t>
            </w:r>
          </w:p>
        </w:tc>
        <w:tc>
          <w:tcPr>
            <w:tcW w:w="6549"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keepNext w:val="0"/>
              <w:keepLines w:val="0"/>
              <w:pageBreakBefore w:val="0"/>
              <w:kinsoku/>
              <w:wordWrap/>
              <w:overflowPunct/>
              <w:topLinePunct w:val="0"/>
              <w:autoSpaceDE/>
              <w:autoSpaceDN/>
              <w:bidi w:val="0"/>
              <w:adjustRightInd w:val="0"/>
              <w:snapToGrid/>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keepNext w:val="0"/>
              <w:keepLines w:val="0"/>
              <w:pageBreakBefore w:val="0"/>
              <w:kinsoku/>
              <w:wordWrap/>
              <w:overflowPunct/>
              <w:topLinePunct w:val="0"/>
              <w:autoSpaceDE/>
              <w:autoSpaceDN/>
              <w:bidi w:val="0"/>
              <w:adjustRightInd w:val="0"/>
              <w:snapToGrid/>
              <w:spacing w:line="40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keepNext w:val="0"/>
              <w:keepLines w:val="0"/>
              <w:pageBreakBefore w:val="0"/>
              <w:widowControl/>
              <w:kinsoku/>
              <w:wordWrap/>
              <w:overflowPunct/>
              <w:topLinePunct w:val="0"/>
              <w:autoSpaceDE/>
              <w:autoSpaceDN/>
              <w:bidi w:val="0"/>
              <w:adjustRightInd w:val="0"/>
              <w:snapToGrid/>
              <w:spacing w:line="400" w:lineRule="exac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15</w:t>
            </w:r>
          </w:p>
        </w:tc>
        <w:tc>
          <w:tcPr>
            <w:tcW w:w="9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tc>
      </w:tr>
    </w:tbl>
    <w:p>
      <w:pPr>
        <w:spacing w:line="500" w:lineRule="exact"/>
        <w:rPr>
          <w:rFonts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 xml:space="preserve">1、投标人编制投标文件（商务技术文件部分）时，建议按此目录（序号和内容）提供评标标准相应的商务技术资料。 </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2、评分条款中涉及的业绩、荣誉、人员、社保等分公司均有效。涉及社保、劳动关系证明关系的，如人员为法人代表，则无需提供相关证明，提供营业执照及身份证即可。</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pPr>
        <w:spacing w:line="360" w:lineRule="auto"/>
        <w:rPr>
          <w:rFonts w:ascii="仿宋" w:hAnsi="仿宋" w:eastAsia="仿宋" w:cs="仿宋"/>
          <w:color w:val="auto"/>
          <w:highlight w:val="none"/>
        </w:rPr>
      </w:pPr>
    </w:p>
    <w:p>
      <w:pPr>
        <w:snapToGrid w:val="0"/>
        <w:spacing w:line="360" w:lineRule="auto"/>
        <w:rPr>
          <w:rFonts w:ascii="仿宋" w:hAnsi="仿宋" w:eastAsia="仿宋" w:cs="仿宋"/>
          <w:b/>
          <w:color w:val="auto"/>
          <w:sz w:val="24"/>
          <w:highlight w:val="none"/>
        </w:rPr>
      </w:pPr>
    </w:p>
    <w:p>
      <w:pPr>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3"/>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3"/>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4"/>
        <w:ind w:left="862" w:leftChars="205"/>
        <w:rPr>
          <w:rFonts w:ascii="仿宋" w:eastAsia="仿宋" w:cs="仿宋"/>
          <w:color w:val="auto"/>
          <w:highlight w:val="none"/>
        </w:rPr>
      </w:pPr>
      <w:r>
        <w:rPr>
          <w:rFonts w:hint="eastAsia" w:asci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4"/>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ascii="仿宋" w:hAnsi="仿宋" w:eastAsia="仿宋" w:cs="仿宋"/>
          <w:color w:val="auto"/>
          <w:highlight w:val="none"/>
        </w:rPr>
      </w:pPr>
    </w:p>
    <w:bookmarkEnd w:id="27"/>
    <w:p>
      <w:pPr>
        <w:widowControl/>
        <w:adjustRightInd/>
        <w:jc w:val="left"/>
        <w:rPr>
          <w:rFonts w:ascii="仿宋" w:hAnsi="仿宋" w:eastAsia="仿宋" w:cs="仿宋"/>
          <w:b/>
          <w:color w:val="auto"/>
          <w:sz w:val="36"/>
          <w:szCs w:val="36"/>
          <w:highlight w:val="none"/>
        </w:rPr>
      </w:pPr>
      <w:bookmarkStart w:id="396" w:name="第五部分"/>
      <w:bookmarkStart w:id="397" w:name="_Toc86217003"/>
    </w:p>
    <w:p>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widowControl/>
        <w:jc w:val="left"/>
        <w:textAlignment w:val="baseline"/>
        <w:rPr>
          <w:rFonts w:ascii="宋体" w:hAnsi="Courier New"/>
          <w:color w:val="auto"/>
          <w:kern w:val="0"/>
          <w:szCs w:val="20"/>
          <w:highlight w:val="none"/>
        </w:rPr>
      </w:pPr>
    </w:p>
    <w:p>
      <w:pPr>
        <w:widowControl/>
        <w:jc w:val="left"/>
        <w:textAlignment w:val="baseline"/>
        <w:rPr>
          <w:rFonts w:ascii="宋体" w:hAnsi="Courier New"/>
          <w:color w:val="auto"/>
          <w:kern w:val="0"/>
          <w:szCs w:val="20"/>
          <w:highlight w:val="none"/>
        </w:rPr>
      </w:pP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4"/>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ascii="仿宋" w:hAnsi="仿宋" w:eastAsia="仿宋" w:cs="仿宋"/>
          <w:color w:val="auto"/>
          <w:sz w:val="24"/>
          <w:highlight w:val="none"/>
        </w:rPr>
      </w:pPr>
    </w:p>
    <w:p>
      <w:pPr>
        <w:pStyle w:val="4"/>
        <w:rPr>
          <w:rFonts w:ascii="仿宋" w:eastAsia="仿宋" w:cs="仿宋"/>
          <w:color w:val="auto"/>
          <w:highlight w:val="none"/>
        </w:rPr>
      </w:pPr>
    </w:p>
    <w:p>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01"/>
        <w:spacing w:before="120" w:line="22" w:lineRule="atLeast"/>
        <w:rPr>
          <w:rFonts w:ascii="仿宋" w:hAnsi="仿宋" w:eastAsia="仿宋" w:cs="仿宋"/>
          <w:color w:val="auto"/>
          <w:szCs w:val="24"/>
          <w:highlight w:val="none"/>
        </w:rPr>
      </w:pPr>
    </w:p>
    <w:p>
      <w:pPr>
        <w:pStyle w:val="601"/>
        <w:spacing w:before="120" w:line="22" w:lineRule="atLeast"/>
        <w:rPr>
          <w:rFonts w:ascii="仿宋" w:hAnsi="仿宋" w:eastAsia="仿宋" w:cs="仿宋"/>
          <w:color w:val="auto"/>
          <w:szCs w:val="24"/>
          <w:highlight w:val="none"/>
        </w:rPr>
      </w:pPr>
    </w:p>
    <w:p>
      <w:pPr>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ascii="仿宋" w:hAnsi="仿宋" w:eastAsia="仿宋" w:cs="仿宋"/>
          <w:b/>
          <w:color w:val="auto"/>
          <w:sz w:val="24"/>
          <w:highlight w:val="none"/>
        </w:rPr>
      </w:pP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ascii="仿宋" w:hAnsi="仿宋" w:eastAsia="仿宋" w:cs="仿宋"/>
          <w:color w:val="auto"/>
          <w:sz w:val="24"/>
          <w:highlight w:val="none"/>
        </w:rPr>
      </w:pPr>
      <w:bookmarkStart w:id="398" w:name="_Toc19273"/>
      <w:bookmarkStart w:id="399" w:name="_Toc28855"/>
      <w:bookmarkStart w:id="400" w:name="_Toc20421"/>
      <w:bookmarkStart w:id="401" w:name="_Toc15367"/>
      <w:bookmarkStart w:id="402" w:name="_Toc22967"/>
      <w:r>
        <w:rPr>
          <w:rFonts w:hint="eastAsia" w:ascii="仿宋" w:hAnsi="仿宋" w:eastAsia="仿宋" w:cs="仿宋"/>
          <w:b/>
          <w:color w:val="auto"/>
          <w:sz w:val="24"/>
          <w:highlight w:val="none"/>
        </w:rPr>
        <w:t>1.1 合同组成部分</w:t>
      </w:r>
      <w:bookmarkEnd w:id="398"/>
      <w:bookmarkEnd w:id="399"/>
      <w:bookmarkEnd w:id="400"/>
      <w:bookmarkEnd w:id="401"/>
      <w:bookmarkEnd w:id="40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ascii="仿宋" w:hAnsi="仿宋" w:eastAsia="仿宋" w:cs="仿宋"/>
          <w:b/>
          <w:color w:val="auto"/>
          <w:sz w:val="24"/>
          <w:highlight w:val="none"/>
        </w:rPr>
      </w:pPr>
      <w:bookmarkStart w:id="403" w:name="_Toc6773"/>
      <w:bookmarkStart w:id="404" w:name="_Toc6311"/>
      <w:bookmarkStart w:id="405" w:name="_Toc18585"/>
      <w:bookmarkStart w:id="406" w:name="_Toc22185"/>
      <w:bookmarkStart w:id="407" w:name="_Toc2918"/>
      <w:r>
        <w:rPr>
          <w:rFonts w:hint="eastAsia" w:ascii="仿宋" w:hAnsi="仿宋" w:eastAsia="仿宋" w:cs="仿宋"/>
          <w:b/>
          <w:color w:val="auto"/>
          <w:sz w:val="24"/>
          <w:highlight w:val="none"/>
        </w:rPr>
        <w:t>1.2 标的</w:t>
      </w:r>
      <w:bookmarkEnd w:id="403"/>
      <w:bookmarkEnd w:id="404"/>
      <w:bookmarkEnd w:id="405"/>
      <w:bookmarkEnd w:id="406"/>
      <w:bookmarkEnd w:id="407"/>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pPr>
        <w:spacing w:line="560" w:lineRule="exact"/>
        <w:ind w:firstLine="480" w:firstLineChars="200"/>
        <w:rPr>
          <w:rFonts w:ascii="仿宋" w:hAnsi="仿宋" w:eastAsia="仿宋" w:cs="仿宋"/>
          <w:color w:val="auto"/>
          <w:sz w:val="24"/>
          <w:highlight w:val="none"/>
          <w:u w:val="single"/>
        </w:rPr>
      </w:pPr>
      <w:bookmarkStart w:id="408" w:name="_Toc21124"/>
      <w:bookmarkStart w:id="409" w:name="_Toc13918"/>
      <w:bookmarkStart w:id="410" w:name="_Toc1386"/>
      <w:bookmarkStart w:id="411" w:name="_Toc4929"/>
      <w:bookmarkStart w:id="412"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8"/>
      <w:bookmarkEnd w:id="409"/>
      <w:bookmarkEnd w:id="410"/>
      <w:bookmarkEnd w:id="411"/>
      <w:bookmarkEnd w:id="41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bl>
    <w:p>
      <w:pPr>
        <w:spacing w:line="560" w:lineRule="exact"/>
        <w:ind w:firstLine="480" w:firstLineChars="200"/>
        <w:rPr>
          <w:rFonts w:ascii="仿宋" w:hAnsi="仿宋" w:eastAsia="仿宋" w:cs="仿宋"/>
          <w:color w:val="auto"/>
          <w:sz w:val="24"/>
          <w:highlight w:val="none"/>
        </w:rPr>
      </w:pPr>
      <w:bookmarkStart w:id="413" w:name="_Toc3654"/>
      <w:bookmarkStart w:id="414" w:name="_Toc26916"/>
      <w:bookmarkStart w:id="415" w:name="_Toc14993"/>
      <w:bookmarkStart w:id="416" w:name="_Toc30158"/>
      <w:bookmarkStart w:id="417"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4"/>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13"/>
    <w:bookmarkEnd w:id="414"/>
    <w:bookmarkEnd w:id="415"/>
    <w:bookmarkEnd w:id="416"/>
    <w:bookmarkEnd w:id="417"/>
    <w:p>
      <w:pPr>
        <w:pStyle w:val="962"/>
        <w:spacing w:before="0" w:beforeAutospacing="0" w:after="0" w:afterAutospacing="0" w:line="360" w:lineRule="auto"/>
        <w:ind w:firstLine="480"/>
        <w:rPr>
          <w:rFonts w:ascii="仿宋" w:hAnsi="仿宋" w:eastAsia="仿宋" w:cs="仿宋"/>
          <w:b/>
          <w:color w:val="auto"/>
          <w:highlight w:val="none"/>
        </w:rPr>
      </w:pPr>
      <w:bookmarkStart w:id="418" w:name="_Toc10340"/>
      <w:bookmarkStart w:id="419" w:name="_Toc22618"/>
      <w:bookmarkStart w:id="420" w:name="_Toc1814"/>
      <w:bookmarkStart w:id="421" w:name="_Toc4760"/>
      <w:bookmarkStart w:id="422" w:name="_Toc3625"/>
      <w:bookmarkStart w:id="423" w:name="_Toc8772"/>
      <w:bookmarkStart w:id="424" w:name="_Toc11108"/>
      <w:bookmarkStart w:id="425" w:name="_Toc31421"/>
      <w:r>
        <w:rPr>
          <w:rFonts w:hint="eastAsia" w:ascii="仿宋" w:hAnsi="仿宋" w:eastAsia="仿宋" w:cs="仿宋"/>
          <w:b/>
          <w:color w:val="auto"/>
          <w:highlight w:val="none"/>
        </w:rPr>
        <w:t>1.4履约保证金</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4"/>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18"/>
      <w:bookmarkEnd w:id="419"/>
      <w:bookmarkEnd w:id="420"/>
      <w:r>
        <w:rPr>
          <w:rFonts w:hint="eastAsia" w:ascii="仿宋" w:hAnsi="仿宋" w:eastAsia="仿宋" w:cs="仿宋"/>
          <w:b/>
          <w:color w:val="auto"/>
          <w:sz w:val="24"/>
          <w:highlight w:val="none"/>
        </w:rPr>
        <w:t>预付款</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2"/>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2"/>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1"/>
      <w:bookmarkEnd w:id="422"/>
      <w:bookmarkEnd w:id="423"/>
      <w:bookmarkEnd w:id="424"/>
      <w:bookmarkEnd w:id="425"/>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ascii="仿宋" w:hAnsi="仿宋" w:eastAsia="仿宋" w:cs="仿宋"/>
          <w:bCs/>
          <w:color w:val="auto"/>
          <w:sz w:val="24"/>
          <w:highlight w:val="none"/>
        </w:rPr>
      </w:pPr>
      <w:bookmarkStart w:id="426" w:name="_Toc8586"/>
      <w:bookmarkStart w:id="427" w:name="_Toc2375"/>
      <w:bookmarkStart w:id="428" w:name="_Toc5698"/>
      <w:bookmarkStart w:id="429" w:name="_Toc24662"/>
      <w:bookmarkStart w:id="430" w:name="_Toc3079"/>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6"/>
      <w:bookmarkEnd w:id="427"/>
      <w:bookmarkEnd w:id="428"/>
      <w:bookmarkEnd w:id="429"/>
      <w:bookmarkEnd w:id="43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4"/>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highlight w:val="none"/>
        </w:rPr>
      </w:pPr>
      <w:bookmarkStart w:id="431" w:name="_Toc32454"/>
      <w:bookmarkStart w:id="432" w:name="_Toc9497"/>
      <w:bookmarkStart w:id="433" w:name="_Toc26807"/>
      <w:bookmarkStart w:id="434" w:name="_Toc18683"/>
      <w:bookmarkStart w:id="435" w:name="_Toc30329"/>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1"/>
    <w:bookmarkEnd w:id="432"/>
    <w:bookmarkEnd w:id="433"/>
    <w:bookmarkEnd w:id="434"/>
    <w:bookmarkEnd w:id="435"/>
    <w:p>
      <w:pPr>
        <w:spacing w:line="560" w:lineRule="exact"/>
        <w:ind w:firstLine="482" w:firstLineChars="200"/>
        <w:outlineLvl w:val="0"/>
        <w:rPr>
          <w:rFonts w:ascii="仿宋" w:hAnsi="仿宋" w:eastAsia="仿宋" w:cs="仿宋"/>
          <w:b/>
          <w:color w:val="auto"/>
          <w:sz w:val="24"/>
          <w:highlight w:val="none"/>
        </w:rPr>
      </w:pPr>
      <w:bookmarkStart w:id="436" w:name="_Toc28375"/>
      <w:bookmarkStart w:id="437" w:name="_Toc15583"/>
      <w:bookmarkStart w:id="438" w:name="_Toc16021"/>
      <w:r>
        <w:rPr>
          <w:rFonts w:hint="eastAsia" w:ascii="仿宋" w:hAnsi="仿宋" w:eastAsia="仿宋" w:cs="仿宋"/>
          <w:b/>
          <w:color w:val="auto"/>
          <w:sz w:val="24"/>
          <w:highlight w:val="none"/>
        </w:rPr>
        <w:t>1.9合同争议的解决</w:t>
      </w:r>
      <w:bookmarkEnd w:id="436"/>
      <w:bookmarkEnd w:id="437"/>
      <w:bookmarkEnd w:id="438"/>
    </w:p>
    <w:p>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ascii="仿宋" w:hAnsi="仿宋" w:eastAsia="仿宋" w:cs="仿宋"/>
          <w:b/>
          <w:color w:val="auto"/>
          <w:sz w:val="24"/>
          <w:highlight w:val="none"/>
        </w:rPr>
      </w:pPr>
      <w:bookmarkStart w:id="439" w:name="_Toc11173"/>
      <w:bookmarkStart w:id="440" w:name="_Toc15322"/>
      <w:bookmarkStart w:id="441" w:name="_Toc7245"/>
      <w:r>
        <w:rPr>
          <w:rFonts w:hint="eastAsia" w:ascii="仿宋" w:hAnsi="仿宋" w:eastAsia="仿宋" w:cs="仿宋"/>
          <w:b/>
          <w:color w:val="auto"/>
          <w:sz w:val="24"/>
          <w:highlight w:val="none"/>
        </w:rPr>
        <w:t>2.0 合同生效</w:t>
      </w:r>
      <w:bookmarkEnd w:id="439"/>
      <w:bookmarkEnd w:id="440"/>
      <w:bookmarkEnd w:id="441"/>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ascii="仿宋" w:hAnsi="仿宋" w:eastAsia="仿宋" w:cs="仿宋"/>
          <w:b/>
          <w:color w:val="auto"/>
          <w:sz w:val="24"/>
          <w:highlight w:val="none"/>
        </w:rPr>
      </w:pPr>
    </w:p>
    <w:p>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4"/>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ascii="仿宋" w:hAnsi="仿宋" w:eastAsia="仿宋" w:cs="仿宋"/>
          <w:b/>
          <w:color w:val="auto"/>
          <w:sz w:val="24"/>
          <w:highlight w:val="none"/>
        </w:rPr>
      </w:pPr>
      <w:bookmarkStart w:id="442" w:name="_Toc19680"/>
      <w:bookmarkStart w:id="443" w:name="_Toc31297"/>
      <w:bookmarkStart w:id="444" w:name="_Toc25079"/>
      <w:bookmarkStart w:id="445" w:name="_Toc14021"/>
      <w:bookmarkStart w:id="446" w:name="_Toc5228"/>
      <w:r>
        <w:rPr>
          <w:rFonts w:hint="eastAsia" w:ascii="仿宋" w:hAnsi="仿宋" w:eastAsia="仿宋" w:cs="仿宋"/>
          <w:b/>
          <w:color w:val="auto"/>
          <w:sz w:val="24"/>
          <w:highlight w:val="none"/>
        </w:rPr>
        <w:t>2.1 定义</w:t>
      </w:r>
      <w:bookmarkEnd w:id="442"/>
      <w:bookmarkEnd w:id="443"/>
      <w:bookmarkEnd w:id="444"/>
      <w:bookmarkEnd w:id="445"/>
      <w:bookmarkEnd w:id="44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ascii="仿宋" w:hAnsi="仿宋" w:eastAsia="仿宋" w:cs="仿宋"/>
          <w:b/>
          <w:color w:val="auto"/>
          <w:sz w:val="24"/>
          <w:highlight w:val="none"/>
        </w:rPr>
      </w:pPr>
      <w:bookmarkStart w:id="447" w:name="_Toc16752"/>
      <w:bookmarkStart w:id="448" w:name="_Toc19539"/>
      <w:bookmarkStart w:id="449" w:name="_Toc31402"/>
      <w:bookmarkStart w:id="450" w:name="_Toc23289"/>
      <w:bookmarkStart w:id="451" w:name="_Toc3769"/>
      <w:r>
        <w:rPr>
          <w:rFonts w:hint="eastAsia" w:ascii="仿宋" w:hAnsi="仿宋" w:eastAsia="仿宋" w:cs="仿宋"/>
          <w:b/>
          <w:color w:val="auto"/>
          <w:sz w:val="24"/>
          <w:highlight w:val="none"/>
        </w:rPr>
        <w:t>2.2 技术规范</w:t>
      </w:r>
      <w:bookmarkEnd w:id="447"/>
      <w:bookmarkEnd w:id="448"/>
      <w:bookmarkEnd w:id="449"/>
      <w:bookmarkEnd w:id="450"/>
      <w:bookmarkEnd w:id="45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highlight w:val="none"/>
        </w:rPr>
      </w:pPr>
      <w:bookmarkStart w:id="452" w:name="_Toc4133"/>
      <w:bookmarkStart w:id="453" w:name="_Toc12412"/>
      <w:bookmarkStart w:id="454" w:name="_Toc27945"/>
      <w:bookmarkStart w:id="455" w:name="_Toc13673"/>
      <w:bookmarkStart w:id="456" w:name="_Toc9161"/>
      <w:r>
        <w:rPr>
          <w:rFonts w:hint="eastAsia" w:ascii="仿宋" w:hAnsi="仿宋" w:eastAsia="仿宋" w:cs="仿宋"/>
          <w:b/>
          <w:color w:val="auto"/>
          <w:sz w:val="24"/>
          <w:highlight w:val="none"/>
        </w:rPr>
        <w:t>2.3 知识产权</w:t>
      </w:r>
      <w:bookmarkEnd w:id="452"/>
      <w:bookmarkEnd w:id="453"/>
      <w:bookmarkEnd w:id="454"/>
      <w:bookmarkEnd w:id="455"/>
      <w:bookmarkEnd w:id="45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highlight w:val="none"/>
        </w:rPr>
      </w:pPr>
      <w:bookmarkStart w:id="457" w:name="_Toc31233"/>
      <w:bookmarkStart w:id="458" w:name="_Toc26555"/>
      <w:bookmarkStart w:id="459" w:name="_Toc32670"/>
      <w:bookmarkStart w:id="460" w:name="_Toc15447"/>
      <w:bookmarkStart w:id="461" w:name="_Toc22011"/>
      <w:r>
        <w:rPr>
          <w:rFonts w:hint="eastAsia" w:ascii="仿宋" w:hAnsi="仿宋" w:eastAsia="仿宋" w:cs="仿宋"/>
          <w:b/>
          <w:color w:val="auto"/>
          <w:sz w:val="24"/>
          <w:highlight w:val="none"/>
        </w:rPr>
        <w:t>2.5 结算方式和付款条件</w:t>
      </w:r>
      <w:bookmarkEnd w:id="457"/>
      <w:bookmarkEnd w:id="458"/>
      <w:bookmarkEnd w:id="459"/>
      <w:bookmarkEnd w:id="460"/>
      <w:bookmarkEnd w:id="46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62" w:name="_Toc18990"/>
      <w:bookmarkStart w:id="463" w:name="_Toc16163"/>
      <w:bookmarkStart w:id="464" w:name="_Toc30507"/>
      <w:bookmarkStart w:id="465" w:name="_Toc13467"/>
      <w:bookmarkStart w:id="466" w:name="_Toc13154"/>
      <w:r>
        <w:rPr>
          <w:rFonts w:hint="eastAsia" w:ascii="仿宋" w:hAnsi="仿宋" w:eastAsia="仿宋" w:cs="仿宋"/>
          <w:b/>
          <w:color w:val="auto"/>
          <w:sz w:val="24"/>
          <w:highlight w:val="none"/>
        </w:rPr>
        <w:t>2.6 技术资料和保密义务</w:t>
      </w:r>
      <w:bookmarkEnd w:id="462"/>
      <w:bookmarkEnd w:id="463"/>
      <w:bookmarkEnd w:id="464"/>
      <w:bookmarkEnd w:id="465"/>
      <w:bookmarkEnd w:id="46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highlight w:val="none"/>
        </w:rPr>
      </w:pPr>
      <w:bookmarkStart w:id="467" w:name="_Toc19069"/>
      <w:r>
        <w:rPr>
          <w:rFonts w:hint="eastAsia" w:ascii="仿宋" w:hAnsi="仿宋" w:eastAsia="仿宋" w:cs="仿宋"/>
          <w:b/>
          <w:color w:val="auto"/>
          <w:sz w:val="24"/>
          <w:highlight w:val="none"/>
        </w:rPr>
        <w:t>2.7 质量保证</w:t>
      </w:r>
      <w:bookmarkEnd w:id="46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highlight w:val="none"/>
        </w:rPr>
      </w:pPr>
      <w:bookmarkStart w:id="468" w:name="_Toc22267"/>
      <w:r>
        <w:rPr>
          <w:rFonts w:hint="eastAsia" w:ascii="仿宋" w:hAnsi="仿宋" w:eastAsia="仿宋" w:cs="仿宋"/>
          <w:b/>
          <w:color w:val="auto"/>
          <w:sz w:val="24"/>
          <w:highlight w:val="none"/>
        </w:rPr>
        <w:t>2.8 延迟履行</w:t>
      </w:r>
      <w:bookmarkEnd w:id="46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auto"/>
          <w:sz w:val="24"/>
          <w:highlight w:val="none"/>
        </w:rPr>
      </w:pPr>
      <w:bookmarkStart w:id="469" w:name="_Toc10611"/>
      <w:r>
        <w:rPr>
          <w:rFonts w:hint="eastAsia" w:ascii="仿宋" w:hAnsi="仿宋" w:eastAsia="仿宋" w:cs="仿宋"/>
          <w:b/>
          <w:color w:val="auto"/>
          <w:sz w:val="24"/>
          <w:highlight w:val="none"/>
        </w:rPr>
        <w:t>2.9 合同变更</w:t>
      </w:r>
      <w:bookmarkEnd w:id="46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470" w:name="_Toc21830"/>
      <w:bookmarkStart w:id="471" w:name="_Toc42"/>
      <w:bookmarkStart w:id="472" w:name="_Toc10663"/>
      <w:bookmarkStart w:id="473" w:name="_Toc23368"/>
      <w:bookmarkStart w:id="474" w:name="_Toc26689"/>
      <w:r>
        <w:rPr>
          <w:rFonts w:hint="eastAsia" w:ascii="仿宋" w:hAnsi="仿宋" w:eastAsia="仿宋" w:cs="仿宋"/>
          <w:b/>
          <w:color w:val="auto"/>
          <w:sz w:val="24"/>
          <w:highlight w:val="none"/>
        </w:rPr>
        <w:t>2.10 合同转让和分包</w:t>
      </w:r>
      <w:bookmarkEnd w:id="470"/>
      <w:bookmarkEnd w:id="471"/>
      <w:bookmarkEnd w:id="472"/>
      <w:bookmarkEnd w:id="473"/>
      <w:bookmarkEnd w:id="47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auto"/>
          <w:sz w:val="24"/>
          <w:highlight w:val="none"/>
        </w:rPr>
      </w:pPr>
      <w:bookmarkStart w:id="475" w:name="_Toc32494"/>
      <w:bookmarkStart w:id="476" w:name="_Toc4720"/>
      <w:bookmarkStart w:id="477" w:name="_Toc25571"/>
      <w:bookmarkStart w:id="478" w:name="_Toc14371"/>
      <w:bookmarkStart w:id="479" w:name="_Toc26633"/>
      <w:r>
        <w:rPr>
          <w:rFonts w:hint="eastAsia" w:ascii="仿宋" w:hAnsi="仿宋" w:eastAsia="仿宋" w:cs="仿宋"/>
          <w:b/>
          <w:color w:val="auto"/>
          <w:sz w:val="24"/>
          <w:highlight w:val="none"/>
        </w:rPr>
        <w:t>2.11 不可抗力</w:t>
      </w:r>
      <w:bookmarkEnd w:id="475"/>
      <w:bookmarkEnd w:id="476"/>
      <w:bookmarkEnd w:id="477"/>
      <w:bookmarkEnd w:id="478"/>
      <w:bookmarkEnd w:id="47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highlight w:val="none"/>
        </w:rPr>
      </w:pPr>
      <w:bookmarkStart w:id="480" w:name="_Toc14115"/>
      <w:bookmarkStart w:id="481" w:name="_Toc25783"/>
      <w:bookmarkStart w:id="482" w:name="_Toc24465"/>
      <w:bookmarkStart w:id="483" w:name="_Toc3638"/>
      <w:bookmarkStart w:id="484" w:name="_Toc23854"/>
      <w:r>
        <w:rPr>
          <w:rFonts w:hint="eastAsia" w:ascii="仿宋" w:hAnsi="仿宋" w:eastAsia="仿宋" w:cs="仿宋"/>
          <w:b/>
          <w:color w:val="auto"/>
          <w:sz w:val="24"/>
          <w:highlight w:val="none"/>
        </w:rPr>
        <w:t>2.12 税费</w:t>
      </w:r>
      <w:bookmarkEnd w:id="480"/>
      <w:bookmarkEnd w:id="481"/>
      <w:bookmarkEnd w:id="482"/>
      <w:bookmarkEnd w:id="483"/>
      <w:bookmarkEnd w:id="48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auto"/>
          <w:sz w:val="24"/>
          <w:highlight w:val="none"/>
        </w:rPr>
      </w:pPr>
      <w:bookmarkStart w:id="485" w:name="_Toc30105"/>
      <w:bookmarkStart w:id="486" w:name="_Toc25525"/>
      <w:bookmarkStart w:id="487" w:name="_Toc14814"/>
      <w:bookmarkStart w:id="488" w:name="_Toc26883"/>
      <w:bookmarkStart w:id="489" w:name="_Toc7315"/>
      <w:r>
        <w:rPr>
          <w:rFonts w:hint="eastAsia" w:ascii="仿宋" w:hAnsi="仿宋" w:eastAsia="仿宋" w:cs="仿宋"/>
          <w:b/>
          <w:color w:val="auto"/>
          <w:sz w:val="24"/>
          <w:highlight w:val="none"/>
        </w:rPr>
        <w:t>2.13 乙方破产</w:t>
      </w:r>
      <w:bookmarkEnd w:id="485"/>
      <w:bookmarkEnd w:id="486"/>
      <w:bookmarkEnd w:id="487"/>
      <w:bookmarkEnd w:id="488"/>
      <w:bookmarkEnd w:id="48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highlight w:val="none"/>
        </w:rPr>
      </w:pPr>
      <w:bookmarkStart w:id="490" w:name="_Toc23323"/>
      <w:bookmarkStart w:id="491" w:name="_Toc1123"/>
      <w:bookmarkStart w:id="492" w:name="_Toc2016"/>
      <w:r>
        <w:rPr>
          <w:rFonts w:hint="eastAsia" w:ascii="仿宋" w:hAnsi="仿宋" w:eastAsia="仿宋" w:cs="仿宋"/>
          <w:b/>
          <w:color w:val="auto"/>
          <w:sz w:val="24"/>
          <w:highlight w:val="none"/>
        </w:rPr>
        <w:t>2.14 合同中止、终止</w:t>
      </w:r>
      <w:bookmarkEnd w:id="490"/>
      <w:bookmarkEnd w:id="491"/>
      <w:bookmarkEnd w:id="49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493" w:name="_Toc17363"/>
      <w:bookmarkStart w:id="494" w:name="_Toc14525"/>
      <w:bookmarkStart w:id="495" w:name="_Toc1969"/>
      <w:r>
        <w:rPr>
          <w:rFonts w:hint="eastAsia" w:ascii="仿宋" w:hAnsi="仿宋" w:eastAsia="仿宋" w:cs="仿宋"/>
          <w:b/>
          <w:color w:val="auto"/>
          <w:sz w:val="24"/>
          <w:highlight w:val="none"/>
        </w:rPr>
        <w:t>2.15 检验和验收</w:t>
      </w:r>
      <w:bookmarkEnd w:id="493"/>
      <w:bookmarkEnd w:id="494"/>
      <w:bookmarkEnd w:id="495"/>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96" w:name="_Toc9808"/>
      <w:bookmarkStart w:id="497" w:name="_Toc2308"/>
      <w:bookmarkStart w:id="498" w:name="_Toc31892"/>
      <w:bookmarkStart w:id="499" w:name="_Toc25198"/>
      <w:bookmarkStart w:id="500" w:name="_Toc12666"/>
      <w:r>
        <w:rPr>
          <w:rFonts w:hint="eastAsia" w:ascii="仿宋" w:hAnsi="仿宋" w:eastAsia="仿宋" w:cs="仿宋"/>
          <w:b/>
          <w:color w:val="auto"/>
          <w:sz w:val="24"/>
          <w:highlight w:val="none"/>
        </w:rPr>
        <w:t>2.16 通知和送达</w:t>
      </w:r>
      <w:bookmarkEnd w:id="496"/>
      <w:bookmarkEnd w:id="497"/>
      <w:bookmarkEnd w:id="498"/>
      <w:bookmarkEnd w:id="499"/>
      <w:bookmarkEnd w:id="500"/>
    </w:p>
    <w:p>
      <w:pPr>
        <w:spacing w:line="560" w:lineRule="exact"/>
        <w:ind w:firstLine="480" w:firstLineChars="200"/>
        <w:rPr>
          <w:rFonts w:ascii="仿宋" w:hAnsi="仿宋" w:eastAsia="仿宋" w:cs="仿宋"/>
          <w:color w:val="auto"/>
          <w:sz w:val="24"/>
          <w:highlight w:val="none"/>
        </w:rPr>
      </w:pPr>
      <w:bookmarkStart w:id="501" w:name="_Toc27674"/>
      <w:bookmarkStart w:id="502"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1"/>
      <w:bookmarkEnd w:id="502"/>
    </w:p>
    <w:p>
      <w:pPr>
        <w:spacing w:line="560" w:lineRule="exact"/>
        <w:ind w:firstLine="482" w:firstLineChars="200"/>
        <w:outlineLvl w:val="0"/>
        <w:rPr>
          <w:rFonts w:ascii="仿宋" w:hAnsi="仿宋" w:eastAsia="仿宋" w:cs="仿宋"/>
          <w:b/>
          <w:color w:val="auto"/>
          <w:sz w:val="24"/>
          <w:highlight w:val="none"/>
        </w:rPr>
      </w:pPr>
      <w:bookmarkStart w:id="503" w:name="_Toc20808"/>
      <w:bookmarkStart w:id="504" w:name="_Toc27644"/>
      <w:bookmarkStart w:id="505" w:name="_Toc28906"/>
      <w:bookmarkStart w:id="506" w:name="_Toc5063"/>
      <w:bookmarkStart w:id="507" w:name="_Toc12254"/>
      <w:r>
        <w:rPr>
          <w:rFonts w:hint="eastAsia" w:ascii="仿宋" w:hAnsi="仿宋" w:eastAsia="仿宋" w:cs="仿宋"/>
          <w:b/>
          <w:color w:val="auto"/>
          <w:sz w:val="24"/>
          <w:highlight w:val="none"/>
        </w:rPr>
        <w:t>2.17 合同使用的文字和适用的法律</w:t>
      </w:r>
      <w:bookmarkEnd w:id="503"/>
      <w:bookmarkEnd w:id="504"/>
      <w:bookmarkEnd w:id="505"/>
      <w:bookmarkEnd w:id="506"/>
      <w:bookmarkEnd w:id="50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ascii="仿宋" w:hAnsi="仿宋" w:eastAsia="仿宋" w:cs="仿宋"/>
          <w:b/>
          <w:color w:val="auto"/>
          <w:sz w:val="24"/>
          <w:highlight w:val="none"/>
        </w:rPr>
      </w:pPr>
      <w:bookmarkStart w:id="508" w:name="_Toc18540"/>
      <w:bookmarkStart w:id="509" w:name="_Toc4355"/>
      <w:bookmarkStart w:id="510" w:name="_Toc30599"/>
      <w:r>
        <w:rPr>
          <w:rFonts w:hint="eastAsia" w:ascii="仿宋" w:hAnsi="仿宋" w:eastAsia="仿宋" w:cs="仿宋"/>
          <w:b/>
          <w:color w:val="auto"/>
          <w:sz w:val="24"/>
          <w:highlight w:val="none"/>
        </w:rPr>
        <w:t>2.18 计量单位</w:t>
      </w:r>
      <w:bookmarkEnd w:id="508"/>
      <w:bookmarkEnd w:id="509"/>
      <w:bookmarkEnd w:id="51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1" w:name="_Toc331685784"/>
      <w:r>
        <w:rPr>
          <w:rFonts w:hint="eastAsia" w:ascii="仿宋" w:hAnsi="仿宋" w:eastAsia="仿宋" w:cs="仿宋"/>
          <w:b/>
          <w:color w:val="auto"/>
          <w:sz w:val="24"/>
          <w:highlight w:val="none"/>
        </w:rPr>
        <w:t xml:space="preserve"> </w:t>
      </w:r>
      <w:bookmarkEnd w:id="511"/>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4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pPr>
              <w:spacing w:line="360" w:lineRule="auto"/>
              <w:ind w:left="-420" w:leftChars="-200" w:right="-420" w:rightChars="-200" w:firstLine="480" w:firstLineChars="20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pPr>
              <w:spacing w:line="360" w:lineRule="auto"/>
              <w:ind w:left="-420" w:leftChars="-200" w:right="-420" w:rightChars="-200" w:firstLine="480" w:firstLineChars="20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pPr>
              <w:spacing w:line="360" w:lineRule="auto"/>
              <w:rPr>
                <w:rFonts w:ascii="仿宋" w:hAnsi="仿宋" w:eastAsia="仿宋" w:cs="仿宋"/>
                <w:color w:val="auto"/>
                <w:sz w:val="24"/>
                <w:highlight w:val="none"/>
              </w:rPr>
            </w:pPr>
          </w:p>
        </w:tc>
      </w:tr>
    </w:tbl>
    <w:p>
      <w:pPr>
        <w:spacing w:line="480" w:lineRule="auto"/>
        <w:jc w:val="center"/>
        <w:rPr>
          <w:rFonts w:ascii="仿宋" w:hAnsi="仿宋" w:eastAsia="仿宋" w:cs="仿宋"/>
          <w:b/>
          <w:color w:val="auto"/>
          <w:sz w:val="24"/>
          <w:highlight w:val="none"/>
        </w:rPr>
      </w:pPr>
    </w:p>
    <w:p>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r>
        <w:rPr>
          <w:rFonts w:hint="eastAsia" w:ascii="仿宋" w:hAnsi="仿宋" w:eastAsia="仿宋" w:cs="仿宋"/>
          <w:b/>
          <w:color w:val="auto"/>
          <w:sz w:val="36"/>
          <w:szCs w:val="20"/>
          <w:highlight w:val="none"/>
        </w:rPr>
        <w:t xml:space="preserve"> </w:t>
      </w:r>
      <w:bookmarkEnd w:id="397"/>
      <w:r>
        <w:rPr>
          <w:rFonts w:hint="eastAsia" w:ascii="仿宋" w:hAnsi="仿宋" w:eastAsia="仿宋" w:cs="仿宋"/>
          <w:b/>
          <w:color w:val="auto"/>
          <w:sz w:val="36"/>
          <w:szCs w:val="20"/>
          <w:highlight w:val="none"/>
        </w:rPr>
        <w:t>应提交的有关格式范例</w:t>
      </w: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28"/>
          <w:szCs w:val="28"/>
          <w:highlight w:val="none"/>
        </w:rPr>
        <w:t xml:space="preserve">  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仿宋" w:hAnsi="仿宋" w:eastAsia="仿宋" w:cs="仿宋"/>
          <w:color w:val="auto"/>
          <w:highlight w:val="none"/>
        </w:rPr>
      </w:pPr>
    </w:p>
    <w:p>
      <w:pPr>
        <w:widowControl/>
        <w:spacing w:line="360" w:lineRule="auto"/>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ascii="仿宋" w:hAnsi="仿宋" w:eastAsia="仿宋" w:cs="仿宋"/>
          <w:color w:val="auto"/>
          <w:sz w:val="24"/>
          <w:highlight w:val="none"/>
        </w:rPr>
      </w:pP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2"/>
        <w:rPr>
          <w:rFonts w:ascii="仿宋" w:hAnsi="仿宋" w:eastAsia="仿宋" w:cs="仿宋"/>
          <w:b/>
          <w:color w:val="auto"/>
          <w:kern w:val="0"/>
          <w:sz w:val="32"/>
          <w:szCs w:val="32"/>
          <w:highlight w:val="none"/>
        </w:rPr>
      </w:pPr>
    </w:p>
    <w:p>
      <w:pPr>
        <w:pStyle w:val="60"/>
        <w:ind w:firstLine="0"/>
        <w:rPr>
          <w:color w:val="auto"/>
          <w:highlight w:val="none"/>
        </w:rPr>
      </w:pPr>
    </w:p>
    <w:p>
      <w:pPr>
        <w:widowControl/>
        <w:adjustRightInd/>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ascii="仿宋" w:hAnsi="仿宋" w:eastAsia="仿宋" w:cs="仿宋"/>
          <w:b/>
          <w:color w:val="auto"/>
          <w:kern w:val="0"/>
          <w:sz w:val="24"/>
          <w:highlight w:val="none"/>
        </w:rPr>
      </w:pP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rPr>
          <w:rFonts w:ascii="仿宋" w:hAnsi="仿宋" w:eastAsia="仿宋" w:cs="仿宋"/>
          <w:b/>
          <w:color w:val="auto"/>
          <w:kern w:val="0"/>
          <w:sz w:val="32"/>
          <w:szCs w:val="32"/>
          <w:highlight w:val="none"/>
          <w:lang w:val="zh-CN"/>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2" w:name="_Hlk101257010"/>
      <w:r>
        <w:rPr>
          <w:rFonts w:hint="eastAsia" w:ascii="仿宋" w:hAnsi="仿宋" w:eastAsia="仿宋" w:cs="仿宋"/>
          <w:color w:val="auto"/>
          <w:sz w:val="24"/>
          <w:highlight w:val="none"/>
        </w:rPr>
        <w:t>（如果有)</w:t>
      </w:r>
      <w:bookmarkEnd w:id="512"/>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pStyle w:val="4"/>
        <w:rPr>
          <w:rFonts w:ascii="仿宋" w:eastAsia="仿宋" w:cs="仿宋"/>
          <w:color w:val="auto"/>
          <w:highlight w:val="none"/>
          <w:lang w:val="en-US"/>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仿宋" w:hAnsi="仿宋" w:eastAsia="仿宋" w:cs="仿宋"/>
          <w:color w:val="auto"/>
          <w:sz w:val="24"/>
          <w:highlight w:val="none"/>
        </w:rPr>
      </w:pPr>
    </w:p>
    <w:p>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rPr>
          <w:rFonts w:ascii="仿宋" w:hAnsi="仿宋" w:eastAsia="仿宋" w:cs="仿宋"/>
          <w:color w:val="auto"/>
          <w:highlight w:val="none"/>
        </w:rPr>
      </w:pP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1"/>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1"/>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ascii="仿宋" w:hAnsi="仿宋" w:eastAsia="仿宋" w:cs="仿宋"/>
          <w:color w:val="auto"/>
          <w:kern w:val="0"/>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ascii="仿宋" w:hAnsi="仿宋" w:eastAsia="仿宋" w:cs="仿宋"/>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65"/>
        <w:gridCol w:w="27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765"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777"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76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77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pPr>
              <w:jc w:val="center"/>
              <w:rPr>
                <w:rFonts w:ascii="仿宋" w:hAnsi="仿宋" w:eastAsia="仿宋" w:cs="仿宋"/>
                <w:color w:val="auto"/>
                <w:sz w:val="24"/>
                <w:highlight w:val="none"/>
              </w:rPr>
            </w:pPr>
          </w:p>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76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77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pPr>
              <w:jc w:val="cente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76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77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30"/>
        <w:gridCol w:w="1413"/>
        <w:gridCol w:w="2000"/>
        <w:gridCol w:w="133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30" w:type="dxa"/>
            <w:tcBorders>
              <w:top w:val="single" w:color="auto" w:sz="4" w:space="0"/>
              <w:left w:val="single" w:color="auto" w:sz="4" w:space="0"/>
              <w:bottom w:val="single" w:color="auto" w:sz="4" w:space="0"/>
              <w:right w:val="single" w:color="auto" w:sz="4" w:space="0"/>
            </w:tcBorders>
          </w:tcPr>
          <w:p>
            <w:pPr>
              <w:tabs>
                <w:tab w:val="left" w:pos="542"/>
              </w:tabs>
              <w:spacing w:line="360" w:lineRule="auto"/>
              <w:jc w:val="left"/>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3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ascii="仿宋" w:hAnsi="仿宋" w:eastAsia="仿宋" w:cs="仿宋"/>
          <w:b/>
          <w:color w:val="auto"/>
          <w:kern w:val="0"/>
          <w:sz w:val="32"/>
          <w:szCs w:val="32"/>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ascii="仿宋" w:hAnsi="仿宋" w:eastAsia="仿宋" w:cs="仿宋"/>
          <w:b/>
          <w:color w:val="auto"/>
          <w:kern w:val="0"/>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napToGrid w:val="0"/>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103"/>
        <w:gridCol w:w="1746"/>
        <w:gridCol w:w="1587"/>
        <w:gridCol w:w="1173"/>
        <w:gridCol w:w="1134"/>
        <w:gridCol w:w="108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17"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103"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1746"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587"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173"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134"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080"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1520"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03" w:type="dxa"/>
            <w:vAlign w:val="center"/>
          </w:tcPr>
          <w:p>
            <w:pPr>
              <w:snapToGrid w:val="0"/>
              <w:spacing w:line="360" w:lineRule="auto"/>
              <w:jc w:val="center"/>
              <w:rPr>
                <w:rFonts w:ascii="仿宋" w:hAnsi="仿宋" w:eastAsia="仿宋" w:cs="仿宋"/>
                <w:color w:val="auto"/>
                <w:sz w:val="24"/>
                <w:highlight w:val="none"/>
              </w:rPr>
            </w:pPr>
          </w:p>
        </w:tc>
        <w:tc>
          <w:tcPr>
            <w:tcW w:w="1746" w:type="dxa"/>
            <w:vAlign w:val="center"/>
          </w:tcPr>
          <w:p>
            <w:pPr>
              <w:snapToGrid w:val="0"/>
              <w:spacing w:line="360" w:lineRule="auto"/>
              <w:jc w:val="center"/>
              <w:rPr>
                <w:rFonts w:ascii="仿宋" w:hAnsi="仿宋" w:eastAsia="仿宋" w:cs="仿宋"/>
                <w:color w:val="auto"/>
                <w:sz w:val="24"/>
                <w:highlight w:val="none"/>
              </w:rPr>
            </w:pPr>
          </w:p>
        </w:tc>
        <w:tc>
          <w:tcPr>
            <w:tcW w:w="1587" w:type="dxa"/>
            <w:vAlign w:val="center"/>
          </w:tcPr>
          <w:p>
            <w:pPr>
              <w:spacing w:line="360" w:lineRule="auto"/>
              <w:jc w:val="center"/>
              <w:rPr>
                <w:rFonts w:ascii="仿宋" w:hAnsi="仿宋" w:eastAsia="仿宋" w:cs="仿宋"/>
                <w:color w:val="auto"/>
                <w:sz w:val="24"/>
                <w:highlight w:val="none"/>
              </w:rPr>
            </w:pPr>
          </w:p>
        </w:tc>
        <w:tc>
          <w:tcPr>
            <w:tcW w:w="1173" w:type="dxa"/>
          </w:tcPr>
          <w:p>
            <w:pPr>
              <w:spacing w:line="360" w:lineRule="auto"/>
              <w:jc w:val="center"/>
              <w:rPr>
                <w:rFonts w:hint="default" w:ascii="仿宋" w:hAnsi="仿宋" w:eastAsia="仿宋" w:cs="仿宋"/>
                <w:color w:val="auto"/>
                <w:sz w:val="24"/>
                <w:highlight w:val="none"/>
                <w:lang w:val="en-US" w:eastAsia="zh-CN"/>
              </w:rPr>
            </w:pPr>
          </w:p>
        </w:tc>
        <w:tc>
          <w:tcPr>
            <w:tcW w:w="1134" w:type="dxa"/>
            <w:vAlign w:val="center"/>
          </w:tcPr>
          <w:p>
            <w:pPr>
              <w:spacing w:line="360" w:lineRule="auto"/>
              <w:jc w:val="center"/>
              <w:rPr>
                <w:rFonts w:ascii="仿宋" w:hAnsi="仿宋" w:eastAsia="仿宋" w:cs="仿宋"/>
                <w:color w:val="auto"/>
                <w:sz w:val="24"/>
                <w:highlight w:val="none"/>
              </w:rPr>
            </w:pPr>
          </w:p>
        </w:tc>
        <w:tc>
          <w:tcPr>
            <w:tcW w:w="1080" w:type="dxa"/>
            <w:vAlign w:val="center"/>
          </w:tcPr>
          <w:p>
            <w:pPr>
              <w:spacing w:line="360" w:lineRule="auto"/>
              <w:jc w:val="center"/>
              <w:rPr>
                <w:rFonts w:ascii="仿宋" w:hAnsi="仿宋" w:eastAsia="仿宋" w:cs="仿宋"/>
                <w:color w:val="auto"/>
                <w:sz w:val="24"/>
                <w:highlight w:val="none"/>
              </w:rPr>
            </w:pPr>
          </w:p>
        </w:tc>
        <w:tc>
          <w:tcPr>
            <w:tcW w:w="1520"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b/>
                <w:bCs/>
                <w:color w:val="auto"/>
                <w:sz w:val="24"/>
                <w:highlight w:val="none"/>
                <w:lang w:bidi="ar"/>
              </w:rPr>
              <w:t>每人次最高限价5元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03" w:type="dxa"/>
            <w:vAlign w:val="center"/>
          </w:tcPr>
          <w:p>
            <w:pPr>
              <w:snapToGrid w:val="0"/>
              <w:spacing w:line="360" w:lineRule="auto"/>
              <w:jc w:val="center"/>
              <w:rPr>
                <w:rFonts w:ascii="仿宋" w:hAnsi="仿宋" w:eastAsia="仿宋" w:cs="仿宋"/>
                <w:color w:val="auto"/>
                <w:sz w:val="24"/>
                <w:highlight w:val="none"/>
              </w:rPr>
            </w:pPr>
          </w:p>
        </w:tc>
        <w:tc>
          <w:tcPr>
            <w:tcW w:w="1746" w:type="dxa"/>
            <w:vAlign w:val="center"/>
          </w:tcPr>
          <w:p>
            <w:pPr>
              <w:snapToGrid w:val="0"/>
              <w:spacing w:line="360" w:lineRule="auto"/>
              <w:jc w:val="center"/>
              <w:rPr>
                <w:rFonts w:ascii="仿宋" w:hAnsi="仿宋" w:eastAsia="仿宋" w:cs="仿宋"/>
                <w:color w:val="auto"/>
                <w:sz w:val="24"/>
                <w:highlight w:val="none"/>
              </w:rPr>
            </w:pPr>
          </w:p>
        </w:tc>
        <w:tc>
          <w:tcPr>
            <w:tcW w:w="1587" w:type="dxa"/>
            <w:vAlign w:val="center"/>
          </w:tcPr>
          <w:p>
            <w:pPr>
              <w:spacing w:line="360" w:lineRule="auto"/>
              <w:jc w:val="center"/>
              <w:rPr>
                <w:rFonts w:ascii="仿宋" w:hAnsi="仿宋" w:eastAsia="仿宋" w:cs="仿宋"/>
                <w:color w:val="auto"/>
                <w:sz w:val="24"/>
                <w:highlight w:val="none"/>
              </w:rPr>
            </w:pPr>
          </w:p>
        </w:tc>
        <w:tc>
          <w:tcPr>
            <w:tcW w:w="1173" w:type="dxa"/>
          </w:tcPr>
          <w:p>
            <w:pPr>
              <w:spacing w:line="360" w:lineRule="auto"/>
              <w:jc w:val="center"/>
              <w:rPr>
                <w:rFonts w:ascii="仿宋" w:hAnsi="仿宋" w:eastAsia="仿宋" w:cs="仿宋"/>
                <w:color w:val="auto"/>
                <w:sz w:val="24"/>
                <w:highlight w:val="none"/>
              </w:rPr>
            </w:pPr>
          </w:p>
        </w:tc>
        <w:tc>
          <w:tcPr>
            <w:tcW w:w="1134" w:type="dxa"/>
            <w:vAlign w:val="center"/>
          </w:tcPr>
          <w:p>
            <w:pPr>
              <w:spacing w:line="360" w:lineRule="auto"/>
              <w:jc w:val="center"/>
              <w:rPr>
                <w:rFonts w:ascii="仿宋" w:hAnsi="仿宋" w:eastAsia="仿宋" w:cs="仿宋"/>
                <w:color w:val="auto"/>
                <w:sz w:val="24"/>
                <w:highlight w:val="none"/>
              </w:rPr>
            </w:pPr>
          </w:p>
        </w:tc>
        <w:tc>
          <w:tcPr>
            <w:tcW w:w="1080" w:type="dxa"/>
            <w:vAlign w:val="center"/>
          </w:tcPr>
          <w:p>
            <w:pPr>
              <w:spacing w:line="360" w:lineRule="auto"/>
              <w:jc w:val="center"/>
              <w:rPr>
                <w:rFonts w:ascii="仿宋" w:hAnsi="仿宋" w:eastAsia="仿宋" w:cs="仿宋"/>
                <w:color w:val="auto"/>
                <w:sz w:val="24"/>
                <w:highlight w:val="none"/>
              </w:rPr>
            </w:pPr>
          </w:p>
        </w:tc>
        <w:tc>
          <w:tcPr>
            <w:tcW w:w="1520" w:type="dxa"/>
            <w:vMerge w:val="continue"/>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pPr>
              <w:snapToGrid w:val="0"/>
              <w:spacing w:line="360" w:lineRule="auto"/>
              <w:jc w:val="center"/>
              <w:rPr>
                <w:rFonts w:ascii="仿宋" w:hAnsi="仿宋" w:eastAsia="仿宋" w:cs="仿宋"/>
                <w:color w:val="auto"/>
                <w:sz w:val="24"/>
                <w:highlight w:val="none"/>
              </w:rPr>
            </w:pPr>
          </w:p>
        </w:tc>
        <w:tc>
          <w:tcPr>
            <w:tcW w:w="2268" w:type="dxa"/>
            <w:vAlign w:val="center"/>
          </w:tcPr>
          <w:p>
            <w:pPr>
              <w:snapToGrid w:val="0"/>
              <w:spacing w:line="360" w:lineRule="auto"/>
              <w:jc w:val="center"/>
              <w:rPr>
                <w:rFonts w:ascii="仿宋" w:hAnsi="仿宋" w:eastAsia="仿宋" w:cs="仿宋"/>
                <w:color w:val="auto"/>
                <w:sz w:val="24"/>
                <w:highlight w:val="none"/>
              </w:rPr>
            </w:pPr>
          </w:p>
        </w:tc>
        <w:tc>
          <w:tcPr>
            <w:tcW w:w="2103" w:type="dxa"/>
            <w:vAlign w:val="center"/>
          </w:tcPr>
          <w:p>
            <w:pPr>
              <w:snapToGrid w:val="0"/>
              <w:spacing w:line="360" w:lineRule="auto"/>
              <w:jc w:val="center"/>
              <w:rPr>
                <w:rFonts w:ascii="仿宋" w:hAnsi="仿宋" w:eastAsia="仿宋" w:cs="仿宋"/>
                <w:color w:val="auto"/>
                <w:sz w:val="24"/>
                <w:highlight w:val="none"/>
              </w:rPr>
            </w:pPr>
          </w:p>
        </w:tc>
        <w:tc>
          <w:tcPr>
            <w:tcW w:w="1746" w:type="dxa"/>
            <w:vAlign w:val="center"/>
          </w:tcPr>
          <w:p>
            <w:pPr>
              <w:snapToGrid w:val="0"/>
              <w:spacing w:line="360" w:lineRule="auto"/>
              <w:jc w:val="center"/>
              <w:rPr>
                <w:rFonts w:ascii="仿宋" w:hAnsi="仿宋" w:eastAsia="仿宋" w:cs="仿宋"/>
                <w:color w:val="auto"/>
                <w:sz w:val="24"/>
                <w:highlight w:val="none"/>
              </w:rPr>
            </w:pPr>
          </w:p>
        </w:tc>
        <w:tc>
          <w:tcPr>
            <w:tcW w:w="1587" w:type="dxa"/>
            <w:vAlign w:val="center"/>
          </w:tcPr>
          <w:p>
            <w:pPr>
              <w:spacing w:line="360" w:lineRule="auto"/>
              <w:jc w:val="center"/>
              <w:rPr>
                <w:rFonts w:ascii="仿宋" w:hAnsi="仿宋" w:eastAsia="仿宋" w:cs="仿宋"/>
                <w:color w:val="auto"/>
                <w:sz w:val="24"/>
                <w:highlight w:val="none"/>
              </w:rPr>
            </w:pPr>
          </w:p>
        </w:tc>
        <w:tc>
          <w:tcPr>
            <w:tcW w:w="1173" w:type="dxa"/>
          </w:tcPr>
          <w:p>
            <w:pPr>
              <w:spacing w:line="360" w:lineRule="auto"/>
              <w:jc w:val="center"/>
              <w:rPr>
                <w:rFonts w:ascii="仿宋" w:hAnsi="仿宋" w:eastAsia="仿宋" w:cs="仿宋"/>
                <w:color w:val="auto"/>
                <w:sz w:val="24"/>
                <w:highlight w:val="none"/>
              </w:rPr>
            </w:pPr>
          </w:p>
        </w:tc>
        <w:tc>
          <w:tcPr>
            <w:tcW w:w="1134" w:type="dxa"/>
            <w:vAlign w:val="center"/>
          </w:tcPr>
          <w:p>
            <w:pPr>
              <w:spacing w:line="360" w:lineRule="auto"/>
              <w:jc w:val="center"/>
              <w:rPr>
                <w:rFonts w:ascii="仿宋" w:hAnsi="仿宋" w:eastAsia="仿宋" w:cs="仿宋"/>
                <w:color w:val="auto"/>
                <w:sz w:val="24"/>
                <w:highlight w:val="none"/>
              </w:rPr>
            </w:pPr>
          </w:p>
        </w:tc>
        <w:tc>
          <w:tcPr>
            <w:tcW w:w="1080" w:type="dxa"/>
            <w:vAlign w:val="center"/>
          </w:tcPr>
          <w:p>
            <w:pPr>
              <w:spacing w:line="360" w:lineRule="auto"/>
              <w:jc w:val="center"/>
              <w:rPr>
                <w:rFonts w:ascii="仿宋" w:hAnsi="仿宋" w:eastAsia="仿宋" w:cs="仿宋"/>
                <w:color w:val="auto"/>
                <w:sz w:val="24"/>
                <w:highlight w:val="none"/>
              </w:rPr>
            </w:pPr>
          </w:p>
        </w:tc>
        <w:tc>
          <w:tcPr>
            <w:tcW w:w="1520" w:type="dxa"/>
            <w:vMerge w:val="continue"/>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80"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240" w:type="dxa"/>
            <w:gridSpan w:val="6"/>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80"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240" w:type="dxa"/>
            <w:gridSpan w:val="6"/>
          </w:tcPr>
          <w:p>
            <w:pPr>
              <w:spacing w:line="360" w:lineRule="auto"/>
              <w:jc w:val="center"/>
              <w:rPr>
                <w:rFonts w:ascii="仿宋" w:hAnsi="仿宋" w:eastAsia="仿宋" w:cs="仿宋"/>
                <w:color w:val="auto"/>
                <w:sz w:val="24"/>
                <w:highlight w:val="none"/>
              </w:rPr>
            </w:pPr>
          </w:p>
        </w:tc>
      </w:tr>
    </w:tbl>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color w:val="auto"/>
          <w:sz w:val="24"/>
          <w:highlight w:val="none"/>
        </w:rPr>
        <w:sectPr>
          <w:pgSz w:w="16838" w:h="11905" w:orient="landscape"/>
          <w:pgMar w:top="1814" w:right="1474" w:bottom="1814" w:left="1474" w:header="851" w:footer="850" w:gutter="0"/>
          <w:cols w:space="0" w:num="1"/>
          <w:docGrid w:linePitch="312" w:charSpace="0"/>
        </w:sect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pPr>
        <w:pStyle w:val="695"/>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5"/>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513" w:name="OLE_LINK14"/>
      <w:bookmarkStart w:id="514" w:name="OLE_LINK13"/>
      <w:r>
        <w:rPr>
          <w:rFonts w:hint="eastAsia" w:ascii="仿宋" w:hAnsi="仿宋" w:eastAsia="仿宋" w:cs="仿宋"/>
          <w:b/>
          <w:color w:val="auto"/>
          <w:spacing w:val="6"/>
          <w:sz w:val="32"/>
          <w:szCs w:val="32"/>
          <w:highlight w:val="none"/>
        </w:rPr>
        <w:t>残疾人福利性单位声明函</w:t>
      </w:r>
    </w:p>
    <w:bookmarkEnd w:id="513"/>
    <w:bookmarkEnd w:id="514"/>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5" w:name="_Hlk101131882"/>
      <w:r>
        <w:rPr>
          <w:rFonts w:hint="eastAsia" w:ascii="仿宋" w:hAnsi="仿宋" w:eastAsia="仿宋" w:cs="仿宋"/>
          <w:color w:val="auto"/>
          <w:kern w:val="0"/>
          <w:sz w:val="24"/>
          <w:highlight w:val="none"/>
          <w:u w:val="single"/>
        </w:rPr>
        <w:t>联合体成员X,……</w:t>
      </w:r>
      <w:bookmarkEnd w:id="515"/>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6"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6"/>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7"/>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pP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pacing w:line="360" w:lineRule="auto"/>
        <w:jc w:val="left"/>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ascii="仿宋" w:hAnsi="仿宋" w:eastAsia="仿宋" w:cs="仿宋"/>
          <w:color w:val="auto"/>
          <w:sz w:val="24"/>
          <w:highlight w:val="none"/>
          <w:u w:val="singl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4"/>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ascii="仿宋" w:hAnsi="仿宋" w:eastAsia="仿宋" w:cs="仿宋"/>
          <w:color w:val="auto"/>
          <w:sz w:val="40"/>
          <w:highlight w:val="none"/>
        </w:rPr>
      </w:pP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ascii="仿宋" w:hAnsi="仿宋" w:eastAsia="仿宋" w:cs="仿宋"/>
          <w:color w:val="auto"/>
          <w:highlight w:val="none"/>
          <w:lang w:val="zh-CN"/>
        </w:rPr>
      </w:pPr>
    </w:p>
    <w:p>
      <w:pPr>
        <w:snapToGrid w:val="0"/>
        <w:spacing w:line="360" w:lineRule="auto"/>
        <w:ind w:right="1920"/>
        <w:rPr>
          <w:rFonts w:ascii="仿宋" w:hAnsi="仿宋" w:eastAsia="仿宋" w:cs="仿宋"/>
          <w:color w:val="auto"/>
          <w:highlight w:val="none"/>
          <w:lang w:val="zh-CN"/>
        </w:rPr>
      </w:pPr>
    </w:p>
    <w:p>
      <w:pPr>
        <w:snapToGrid w:val="0"/>
        <w:spacing w:line="360" w:lineRule="auto"/>
        <w:ind w:right="240"/>
        <w:jc w:val="right"/>
        <w:rPr>
          <w:rFonts w:ascii="仿宋" w:hAnsi="仿宋" w:eastAsia="仿宋" w:cs="仿宋"/>
          <w:color w:val="auto"/>
          <w:highlight w:val="none"/>
          <w:lang w:val="zh-CN"/>
        </w:rPr>
      </w:pPr>
    </w:p>
    <w:p>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ascii="仿宋" w:hAnsi="仿宋" w:eastAsia="仿宋" w:cs="仿宋"/>
          <w:color w:val="auto"/>
          <w:highlight w:val="none"/>
          <w:lang w:val="zh-CN"/>
        </w:rPr>
      </w:pPr>
    </w:p>
    <w:p>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4"/>
        <w:rPr>
          <w:rFonts w:ascii="仿宋" w:eastAsia="仿宋" w:cs="仿宋"/>
          <w:color w:val="auto"/>
          <w:highlight w:val="none"/>
        </w:rPr>
      </w:pPr>
    </w:p>
    <w:p>
      <w:pPr>
        <w:spacing w:line="360" w:lineRule="auto"/>
        <w:jc w:val="center"/>
        <w:rPr>
          <w:rFonts w:ascii="仿宋" w:hAnsi="仿宋" w:eastAsia="仿宋" w:cs="仿宋"/>
          <w:b/>
          <w:color w:val="auto"/>
          <w:sz w:val="32"/>
          <w:szCs w:val="32"/>
          <w:highlight w:val="none"/>
        </w:rPr>
      </w:pPr>
    </w:p>
    <w:p>
      <w:pPr>
        <w:pStyle w:val="4"/>
        <w:rPr>
          <w:rFonts w:ascii="仿宋" w:eastAsia="仿宋" w:cs="仿宋"/>
          <w:color w:val="auto"/>
          <w:highlight w:val="none"/>
        </w:rPr>
      </w:pPr>
    </w:p>
    <w:p>
      <w:pPr>
        <w:pStyle w:val="4"/>
        <w:rPr>
          <w:rFonts w:ascii="仿宋" w:eastAsia="仿宋" w:cs="仿宋"/>
          <w:color w:val="auto"/>
          <w:highlight w:val="none"/>
          <w:lang w:val="en-US"/>
        </w:rPr>
      </w:pPr>
    </w:p>
    <w:p>
      <w:pPr>
        <w:spacing w:line="360" w:lineRule="auto"/>
        <w:ind w:right="420"/>
        <w:rPr>
          <w:rFonts w:ascii="仿宋" w:hAnsi="仿宋" w:eastAsia="仿宋" w:cs="仿宋"/>
          <w:color w:val="auto"/>
          <w:highlight w:val="none"/>
        </w:rPr>
      </w:pPr>
    </w:p>
    <w:p>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10" w:usb3="00000000" w:csb0="0004009F"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164085800"/>
    <w:bookmarkStart w:id="519" w:name="_Toc91899912"/>
    <w:bookmarkStart w:id="520" w:name="_Toc36110187"/>
    <w:bookmarkStart w:id="521" w:name="_Toc13184514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8AAAB"/>
    <w:multiLevelType w:val="singleLevel"/>
    <w:tmpl w:val="CC68AAAB"/>
    <w:lvl w:ilvl="0" w:tentative="0">
      <w:start w:val="2"/>
      <w:numFmt w:val="decimal"/>
      <w:suff w:val="nothing"/>
      <w:lvlText w:val="%1、"/>
      <w:lvlJc w:val="left"/>
    </w:lvl>
  </w:abstractNum>
  <w:abstractNum w:abstractNumId="1">
    <w:nsid w:val="1D155B99"/>
    <w:multiLevelType w:val="multilevel"/>
    <w:tmpl w:val="1D155B99"/>
    <w:lvl w:ilvl="0" w:tentative="0">
      <w:start w:val="1"/>
      <w:numFmt w:val="chineseCountingThousand"/>
      <w:pStyle w:val="970"/>
      <w:suff w:val="nothing"/>
      <w:lvlText w:val="%1、"/>
      <w:lvlJc w:val="left"/>
      <w:pPr>
        <w:ind w:left="0" w:firstLine="0"/>
      </w:pPr>
      <w:rPr>
        <w:rFonts w:hint="eastAsia"/>
      </w:rPr>
    </w:lvl>
    <w:lvl w:ilvl="1" w:tentative="0">
      <w:start w:val="1"/>
      <w:numFmt w:val="chineseCountingThousand"/>
      <w:pStyle w:val="971"/>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72"/>
      <w:suff w:val="nothing"/>
      <w:lvlText w:val="%3."/>
      <w:lvlJc w:val="left"/>
      <w:pPr>
        <w:ind w:left="0" w:firstLine="0"/>
      </w:pPr>
      <w:rPr>
        <w:rFonts w:hint="eastAsia"/>
      </w:rPr>
    </w:lvl>
    <w:lvl w:ilvl="3" w:tentative="0">
      <w:start w:val="1"/>
      <w:numFmt w:val="decimal"/>
      <w:pStyle w:val="973"/>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OGU3ZDU0OWE3MmIzNzlhNzdiMzBhNTdiYmI4YjIifQ=="/>
    <w:docVar w:name="KSO_WPS_MARK_KEY" w:val="5257709c-c18d-4580-b24f-3f0e849a4e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5593"/>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4AEB"/>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5A"/>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E2"/>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1AFA"/>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587"/>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0C4532"/>
    <w:rsid w:val="025F0711"/>
    <w:rsid w:val="026B2E25"/>
    <w:rsid w:val="02824D4D"/>
    <w:rsid w:val="02DC4B10"/>
    <w:rsid w:val="02DD76CE"/>
    <w:rsid w:val="02F36323"/>
    <w:rsid w:val="02F5619C"/>
    <w:rsid w:val="0326446A"/>
    <w:rsid w:val="032D5555"/>
    <w:rsid w:val="03527BB3"/>
    <w:rsid w:val="036634D2"/>
    <w:rsid w:val="03DD35E4"/>
    <w:rsid w:val="04076900"/>
    <w:rsid w:val="041A5A3B"/>
    <w:rsid w:val="042311BA"/>
    <w:rsid w:val="042A28FC"/>
    <w:rsid w:val="042B157A"/>
    <w:rsid w:val="04586295"/>
    <w:rsid w:val="048F763B"/>
    <w:rsid w:val="049F330E"/>
    <w:rsid w:val="04AA775C"/>
    <w:rsid w:val="04AF1889"/>
    <w:rsid w:val="04F66F48"/>
    <w:rsid w:val="05043453"/>
    <w:rsid w:val="05251E14"/>
    <w:rsid w:val="05A16594"/>
    <w:rsid w:val="05A7762D"/>
    <w:rsid w:val="060E5941"/>
    <w:rsid w:val="06110FAF"/>
    <w:rsid w:val="063D2F0C"/>
    <w:rsid w:val="06493CA7"/>
    <w:rsid w:val="065A6178"/>
    <w:rsid w:val="066F1CF3"/>
    <w:rsid w:val="06930BB8"/>
    <w:rsid w:val="06F965AD"/>
    <w:rsid w:val="07245D42"/>
    <w:rsid w:val="07264C62"/>
    <w:rsid w:val="0764344E"/>
    <w:rsid w:val="0779354C"/>
    <w:rsid w:val="08061376"/>
    <w:rsid w:val="082859F4"/>
    <w:rsid w:val="083966C8"/>
    <w:rsid w:val="08452D77"/>
    <w:rsid w:val="086401F8"/>
    <w:rsid w:val="08751CAA"/>
    <w:rsid w:val="087E4C40"/>
    <w:rsid w:val="08A871D0"/>
    <w:rsid w:val="08CE4BCA"/>
    <w:rsid w:val="08D66AD6"/>
    <w:rsid w:val="08DA33A3"/>
    <w:rsid w:val="08E55536"/>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5627C"/>
    <w:rsid w:val="0A5B7E63"/>
    <w:rsid w:val="0A8B721F"/>
    <w:rsid w:val="0AA374A5"/>
    <w:rsid w:val="0AAB7649"/>
    <w:rsid w:val="0ABC5606"/>
    <w:rsid w:val="0B172054"/>
    <w:rsid w:val="0B30404E"/>
    <w:rsid w:val="0B4C6C14"/>
    <w:rsid w:val="0B547599"/>
    <w:rsid w:val="0B631A88"/>
    <w:rsid w:val="0B683D45"/>
    <w:rsid w:val="0B7F3F11"/>
    <w:rsid w:val="0B84338B"/>
    <w:rsid w:val="0B884417"/>
    <w:rsid w:val="0BC12EA6"/>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30AEF"/>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595441"/>
    <w:rsid w:val="118963A1"/>
    <w:rsid w:val="11C6522A"/>
    <w:rsid w:val="11E104CC"/>
    <w:rsid w:val="11E20309"/>
    <w:rsid w:val="11FD16EA"/>
    <w:rsid w:val="12255233"/>
    <w:rsid w:val="12530213"/>
    <w:rsid w:val="127723A9"/>
    <w:rsid w:val="12862074"/>
    <w:rsid w:val="12883966"/>
    <w:rsid w:val="129E45B4"/>
    <w:rsid w:val="12D81596"/>
    <w:rsid w:val="13072A44"/>
    <w:rsid w:val="135F4BE2"/>
    <w:rsid w:val="139B1A0A"/>
    <w:rsid w:val="139D25C7"/>
    <w:rsid w:val="13AA292F"/>
    <w:rsid w:val="13BF3CE4"/>
    <w:rsid w:val="141008D8"/>
    <w:rsid w:val="14125FE6"/>
    <w:rsid w:val="14537D9F"/>
    <w:rsid w:val="146D271E"/>
    <w:rsid w:val="14982588"/>
    <w:rsid w:val="149A5AD9"/>
    <w:rsid w:val="14A7619D"/>
    <w:rsid w:val="14CF72EE"/>
    <w:rsid w:val="150536C3"/>
    <w:rsid w:val="150C1963"/>
    <w:rsid w:val="151447A0"/>
    <w:rsid w:val="154A6454"/>
    <w:rsid w:val="15762120"/>
    <w:rsid w:val="15C10692"/>
    <w:rsid w:val="15D26096"/>
    <w:rsid w:val="15F8056F"/>
    <w:rsid w:val="1632430B"/>
    <w:rsid w:val="16A76131"/>
    <w:rsid w:val="16A8729C"/>
    <w:rsid w:val="16B33777"/>
    <w:rsid w:val="16BC70A7"/>
    <w:rsid w:val="16C6339E"/>
    <w:rsid w:val="172F2D79"/>
    <w:rsid w:val="17557BEF"/>
    <w:rsid w:val="175A6F0B"/>
    <w:rsid w:val="17906725"/>
    <w:rsid w:val="17A06CA0"/>
    <w:rsid w:val="17D349C1"/>
    <w:rsid w:val="1830729E"/>
    <w:rsid w:val="1870062C"/>
    <w:rsid w:val="18817102"/>
    <w:rsid w:val="18830A15"/>
    <w:rsid w:val="18852B28"/>
    <w:rsid w:val="188B5321"/>
    <w:rsid w:val="189E35C3"/>
    <w:rsid w:val="18F5633C"/>
    <w:rsid w:val="19734244"/>
    <w:rsid w:val="19932372"/>
    <w:rsid w:val="19A20DD5"/>
    <w:rsid w:val="19AE03F1"/>
    <w:rsid w:val="19FB2A30"/>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8132D9"/>
    <w:rsid w:val="1C88086E"/>
    <w:rsid w:val="1D266CE1"/>
    <w:rsid w:val="1D3963AF"/>
    <w:rsid w:val="1D6A673C"/>
    <w:rsid w:val="1D7E2045"/>
    <w:rsid w:val="1D9247AE"/>
    <w:rsid w:val="1DB567EC"/>
    <w:rsid w:val="1DC70DB3"/>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A07A41"/>
    <w:rsid w:val="20B26522"/>
    <w:rsid w:val="20B44310"/>
    <w:rsid w:val="211116EB"/>
    <w:rsid w:val="212B09E9"/>
    <w:rsid w:val="214365FF"/>
    <w:rsid w:val="216133FC"/>
    <w:rsid w:val="2185666F"/>
    <w:rsid w:val="21995BED"/>
    <w:rsid w:val="21D56769"/>
    <w:rsid w:val="21E52EF3"/>
    <w:rsid w:val="21FB5D7B"/>
    <w:rsid w:val="22015E94"/>
    <w:rsid w:val="220B1C3D"/>
    <w:rsid w:val="221D1D20"/>
    <w:rsid w:val="22334A87"/>
    <w:rsid w:val="22BE6801"/>
    <w:rsid w:val="22C473DD"/>
    <w:rsid w:val="233500BF"/>
    <w:rsid w:val="23377FF7"/>
    <w:rsid w:val="23481ECF"/>
    <w:rsid w:val="236B425F"/>
    <w:rsid w:val="23836192"/>
    <w:rsid w:val="23901F29"/>
    <w:rsid w:val="239C0061"/>
    <w:rsid w:val="23B908A4"/>
    <w:rsid w:val="23E95BEF"/>
    <w:rsid w:val="23FD0064"/>
    <w:rsid w:val="240833C5"/>
    <w:rsid w:val="24465B9C"/>
    <w:rsid w:val="245375B0"/>
    <w:rsid w:val="24642C0A"/>
    <w:rsid w:val="24B22173"/>
    <w:rsid w:val="24B95AD9"/>
    <w:rsid w:val="24BE24DA"/>
    <w:rsid w:val="24CF5825"/>
    <w:rsid w:val="24D663E6"/>
    <w:rsid w:val="24D77F2B"/>
    <w:rsid w:val="24DC58F8"/>
    <w:rsid w:val="25346245"/>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356C9"/>
    <w:rsid w:val="27FB28B3"/>
    <w:rsid w:val="281E41C7"/>
    <w:rsid w:val="28333E1D"/>
    <w:rsid w:val="283664FC"/>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C1EA9"/>
    <w:rsid w:val="2B5D2C79"/>
    <w:rsid w:val="2B7807EE"/>
    <w:rsid w:val="2B9612C1"/>
    <w:rsid w:val="2BA50BF7"/>
    <w:rsid w:val="2BBF00EC"/>
    <w:rsid w:val="2BC37CFD"/>
    <w:rsid w:val="2BD5237F"/>
    <w:rsid w:val="2BE536CE"/>
    <w:rsid w:val="2BE758D9"/>
    <w:rsid w:val="2C09049E"/>
    <w:rsid w:val="2C0A653C"/>
    <w:rsid w:val="2C191F85"/>
    <w:rsid w:val="2CE82D6F"/>
    <w:rsid w:val="2D343236"/>
    <w:rsid w:val="2D5E3D75"/>
    <w:rsid w:val="2DC11207"/>
    <w:rsid w:val="2DD15014"/>
    <w:rsid w:val="2DE77219"/>
    <w:rsid w:val="2DF72DE4"/>
    <w:rsid w:val="2E0220AF"/>
    <w:rsid w:val="2E4B082A"/>
    <w:rsid w:val="2E5D4E86"/>
    <w:rsid w:val="2E5D790B"/>
    <w:rsid w:val="2E9A3C18"/>
    <w:rsid w:val="2EBB0FEE"/>
    <w:rsid w:val="2EC63002"/>
    <w:rsid w:val="2F0A6B38"/>
    <w:rsid w:val="2F5F62B2"/>
    <w:rsid w:val="2F946CCB"/>
    <w:rsid w:val="2FD25781"/>
    <w:rsid w:val="2FDC745C"/>
    <w:rsid w:val="2FFD7934"/>
    <w:rsid w:val="30733ACD"/>
    <w:rsid w:val="308C3862"/>
    <w:rsid w:val="309379D8"/>
    <w:rsid w:val="30A270F7"/>
    <w:rsid w:val="30DF1478"/>
    <w:rsid w:val="30E55C3A"/>
    <w:rsid w:val="30EC586F"/>
    <w:rsid w:val="314550B7"/>
    <w:rsid w:val="319C6071"/>
    <w:rsid w:val="31AC537E"/>
    <w:rsid w:val="31E3679B"/>
    <w:rsid w:val="31E732FD"/>
    <w:rsid w:val="32517576"/>
    <w:rsid w:val="32690A61"/>
    <w:rsid w:val="32BE5C2C"/>
    <w:rsid w:val="32FB6478"/>
    <w:rsid w:val="33263B3F"/>
    <w:rsid w:val="336963EB"/>
    <w:rsid w:val="33816EEB"/>
    <w:rsid w:val="339B7340"/>
    <w:rsid w:val="33EB55CD"/>
    <w:rsid w:val="33EC4C02"/>
    <w:rsid w:val="340D2360"/>
    <w:rsid w:val="3410665D"/>
    <w:rsid w:val="34211214"/>
    <w:rsid w:val="342E63AB"/>
    <w:rsid w:val="34950E68"/>
    <w:rsid w:val="34986E94"/>
    <w:rsid w:val="34AF62C9"/>
    <w:rsid w:val="34CB4388"/>
    <w:rsid w:val="34E22381"/>
    <w:rsid w:val="34FA6E12"/>
    <w:rsid w:val="354D7158"/>
    <w:rsid w:val="358D5588"/>
    <w:rsid w:val="363A3B40"/>
    <w:rsid w:val="365302AE"/>
    <w:rsid w:val="36607A0A"/>
    <w:rsid w:val="366E227C"/>
    <w:rsid w:val="366F2E0D"/>
    <w:rsid w:val="367B6A5C"/>
    <w:rsid w:val="369C1006"/>
    <w:rsid w:val="36A74ADA"/>
    <w:rsid w:val="36AD60D5"/>
    <w:rsid w:val="36B224F9"/>
    <w:rsid w:val="36EC0CC9"/>
    <w:rsid w:val="370211A7"/>
    <w:rsid w:val="370E06AE"/>
    <w:rsid w:val="37212991"/>
    <w:rsid w:val="37321D6A"/>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3F0A85"/>
    <w:rsid w:val="3C471448"/>
    <w:rsid w:val="3C5F759A"/>
    <w:rsid w:val="3C6C21B7"/>
    <w:rsid w:val="3C6C525A"/>
    <w:rsid w:val="3CCE23CB"/>
    <w:rsid w:val="3CD17D17"/>
    <w:rsid w:val="3D107AC3"/>
    <w:rsid w:val="3D3C7F39"/>
    <w:rsid w:val="3D440F09"/>
    <w:rsid w:val="3D4504A0"/>
    <w:rsid w:val="3D8734BB"/>
    <w:rsid w:val="3D9A11D4"/>
    <w:rsid w:val="3DA16D89"/>
    <w:rsid w:val="3DA364BE"/>
    <w:rsid w:val="3DE041CB"/>
    <w:rsid w:val="3E0071E2"/>
    <w:rsid w:val="3E0D48F6"/>
    <w:rsid w:val="3E1868B4"/>
    <w:rsid w:val="3E30329A"/>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B0563"/>
    <w:rsid w:val="3F2F0234"/>
    <w:rsid w:val="3F6363FE"/>
    <w:rsid w:val="3F756B8F"/>
    <w:rsid w:val="3F77BA1B"/>
    <w:rsid w:val="3F95482B"/>
    <w:rsid w:val="4019356B"/>
    <w:rsid w:val="403719AB"/>
    <w:rsid w:val="40592157"/>
    <w:rsid w:val="406E1CAE"/>
    <w:rsid w:val="40A0133A"/>
    <w:rsid w:val="40C31A53"/>
    <w:rsid w:val="40FF545D"/>
    <w:rsid w:val="410067C8"/>
    <w:rsid w:val="410A77AA"/>
    <w:rsid w:val="41477D6F"/>
    <w:rsid w:val="418F0D2A"/>
    <w:rsid w:val="4192572D"/>
    <w:rsid w:val="41AC203A"/>
    <w:rsid w:val="41D01505"/>
    <w:rsid w:val="42474939"/>
    <w:rsid w:val="424C3C57"/>
    <w:rsid w:val="42613FF3"/>
    <w:rsid w:val="42660D96"/>
    <w:rsid w:val="428667D2"/>
    <w:rsid w:val="42870675"/>
    <w:rsid w:val="42A25408"/>
    <w:rsid w:val="42CD1CE0"/>
    <w:rsid w:val="42E1381E"/>
    <w:rsid w:val="42ED6459"/>
    <w:rsid w:val="42FE58DD"/>
    <w:rsid w:val="43174B3D"/>
    <w:rsid w:val="434B790E"/>
    <w:rsid w:val="4360274F"/>
    <w:rsid w:val="43977AB6"/>
    <w:rsid w:val="43A3342B"/>
    <w:rsid w:val="43C77C27"/>
    <w:rsid w:val="43DE09EE"/>
    <w:rsid w:val="44002FAD"/>
    <w:rsid w:val="449101DD"/>
    <w:rsid w:val="44935E12"/>
    <w:rsid w:val="44B76A10"/>
    <w:rsid w:val="44DE1391"/>
    <w:rsid w:val="451B225C"/>
    <w:rsid w:val="452410C9"/>
    <w:rsid w:val="45317DFB"/>
    <w:rsid w:val="456D3CE4"/>
    <w:rsid w:val="4579042C"/>
    <w:rsid w:val="457F0571"/>
    <w:rsid w:val="45851176"/>
    <w:rsid w:val="45C5401A"/>
    <w:rsid w:val="45C63B94"/>
    <w:rsid w:val="460776E6"/>
    <w:rsid w:val="460E7DA5"/>
    <w:rsid w:val="46422483"/>
    <w:rsid w:val="4659254A"/>
    <w:rsid w:val="465B0637"/>
    <w:rsid w:val="465E3F0D"/>
    <w:rsid w:val="466A16E6"/>
    <w:rsid w:val="46893F2B"/>
    <w:rsid w:val="469B4984"/>
    <w:rsid w:val="46B03C4D"/>
    <w:rsid w:val="46C4686E"/>
    <w:rsid w:val="46ED7B48"/>
    <w:rsid w:val="473B2093"/>
    <w:rsid w:val="47762BB7"/>
    <w:rsid w:val="477B778F"/>
    <w:rsid w:val="478203EC"/>
    <w:rsid w:val="47B025FA"/>
    <w:rsid w:val="4809698F"/>
    <w:rsid w:val="4811697D"/>
    <w:rsid w:val="482A25E9"/>
    <w:rsid w:val="4850203D"/>
    <w:rsid w:val="485C2CF3"/>
    <w:rsid w:val="487A3E25"/>
    <w:rsid w:val="488B5503"/>
    <w:rsid w:val="48937E21"/>
    <w:rsid w:val="489A0361"/>
    <w:rsid w:val="489F4D85"/>
    <w:rsid w:val="48B94FF3"/>
    <w:rsid w:val="48E37AAB"/>
    <w:rsid w:val="48FD4B4C"/>
    <w:rsid w:val="490A68E0"/>
    <w:rsid w:val="490B5A3B"/>
    <w:rsid w:val="490E1F0B"/>
    <w:rsid w:val="491055FE"/>
    <w:rsid w:val="495F5B3E"/>
    <w:rsid w:val="496F77D7"/>
    <w:rsid w:val="497654FD"/>
    <w:rsid w:val="49A5461D"/>
    <w:rsid w:val="49B64211"/>
    <w:rsid w:val="49E56AF9"/>
    <w:rsid w:val="49F6167F"/>
    <w:rsid w:val="4A064FA0"/>
    <w:rsid w:val="4A16615C"/>
    <w:rsid w:val="4A404886"/>
    <w:rsid w:val="4A4424D7"/>
    <w:rsid w:val="4AB82D0F"/>
    <w:rsid w:val="4AEB7664"/>
    <w:rsid w:val="4AFD7C19"/>
    <w:rsid w:val="4B0567D1"/>
    <w:rsid w:val="4B236AAE"/>
    <w:rsid w:val="4B363761"/>
    <w:rsid w:val="4B5D4D06"/>
    <w:rsid w:val="4B707271"/>
    <w:rsid w:val="4B9739F7"/>
    <w:rsid w:val="4BD8136C"/>
    <w:rsid w:val="4BEE2503"/>
    <w:rsid w:val="4C245A30"/>
    <w:rsid w:val="4CB6685F"/>
    <w:rsid w:val="4CC367FE"/>
    <w:rsid w:val="4D077F3C"/>
    <w:rsid w:val="4D123355"/>
    <w:rsid w:val="4D2A3B31"/>
    <w:rsid w:val="4D2E05F7"/>
    <w:rsid w:val="4D312C52"/>
    <w:rsid w:val="4D5119CE"/>
    <w:rsid w:val="4D714816"/>
    <w:rsid w:val="4D905305"/>
    <w:rsid w:val="4D964A72"/>
    <w:rsid w:val="4D9C1254"/>
    <w:rsid w:val="4E793892"/>
    <w:rsid w:val="4E800872"/>
    <w:rsid w:val="4EC569ED"/>
    <w:rsid w:val="4ED50EA1"/>
    <w:rsid w:val="4EEC050C"/>
    <w:rsid w:val="4F104EC3"/>
    <w:rsid w:val="4F1D61FF"/>
    <w:rsid w:val="4F47354A"/>
    <w:rsid w:val="4F8D0797"/>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135B4"/>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070E9"/>
    <w:rsid w:val="558931E1"/>
    <w:rsid w:val="55923347"/>
    <w:rsid w:val="55925180"/>
    <w:rsid w:val="55983B1B"/>
    <w:rsid w:val="55A8376B"/>
    <w:rsid w:val="55DC29B6"/>
    <w:rsid w:val="55DD4241"/>
    <w:rsid w:val="56547F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B5811"/>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AB4351"/>
    <w:rsid w:val="66CB62AD"/>
    <w:rsid w:val="67011F07"/>
    <w:rsid w:val="672F3F24"/>
    <w:rsid w:val="673E055F"/>
    <w:rsid w:val="67551CE3"/>
    <w:rsid w:val="67A22552"/>
    <w:rsid w:val="67B22DCC"/>
    <w:rsid w:val="67BE71AA"/>
    <w:rsid w:val="67D90273"/>
    <w:rsid w:val="67DE5875"/>
    <w:rsid w:val="67E55852"/>
    <w:rsid w:val="67EB1AB4"/>
    <w:rsid w:val="67F352BE"/>
    <w:rsid w:val="67FA1285"/>
    <w:rsid w:val="68551F4F"/>
    <w:rsid w:val="687C10C9"/>
    <w:rsid w:val="68840C16"/>
    <w:rsid w:val="68872541"/>
    <w:rsid w:val="68876EFB"/>
    <w:rsid w:val="68884654"/>
    <w:rsid w:val="689F444F"/>
    <w:rsid w:val="68B96DBB"/>
    <w:rsid w:val="68CA2805"/>
    <w:rsid w:val="68E937A3"/>
    <w:rsid w:val="691664E5"/>
    <w:rsid w:val="691C78D4"/>
    <w:rsid w:val="693E15D3"/>
    <w:rsid w:val="69627681"/>
    <w:rsid w:val="6977531D"/>
    <w:rsid w:val="697E757D"/>
    <w:rsid w:val="69CC2BFF"/>
    <w:rsid w:val="69FD55B8"/>
    <w:rsid w:val="6A0B1C62"/>
    <w:rsid w:val="6A2406C8"/>
    <w:rsid w:val="6A2A3115"/>
    <w:rsid w:val="6ADE0BD1"/>
    <w:rsid w:val="6AE96859"/>
    <w:rsid w:val="6B147746"/>
    <w:rsid w:val="6B24787C"/>
    <w:rsid w:val="6B573233"/>
    <w:rsid w:val="6B5B6274"/>
    <w:rsid w:val="6B935D53"/>
    <w:rsid w:val="6BFB7BD7"/>
    <w:rsid w:val="6C196F71"/>
    <w:rsid w:val="6C226FCB"/>
    <w:rsid w:val="6C31226F"/>
    <w:rsid w:val="6C552F0B"/>
    <w:rsid w:val="6C692464"/>
    <w:rsid w:val="6C8C67B7"/>
    <w:rsid w:val="6C9D744C"/>
    <w:rsid w:val="6CF33C64"/>
    <w:rsid w:val="6D167928"/>
    <w:rsid w:val="6D26299B"/>
    <w:rsid w:val="6D4772EC"/>
    <w:rsid w:val="6D9078AF"/>
    <w:rsid w:val="6DA10941"/>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C710D"/>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3C69BB"/>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3E16DD"/>
    <w:rsid w:val="77472422"/>
    <w:rsid w:val="777F31F2"/>
    <w:rsid w:val="77D1700D"/>
    <w:rsid w:val="77EC04CC"/>
    <w:rsid w:val="787259C9"/>
    <w:rsid w:val="78775729"/>
    <w:rsid w:val="78A42DB0"/>
    <w:rsid w:val="78A656AB"/>
    <w:rsid w:val="78A765AF"/>
    <w:rsid w:val="78B2245C"/>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34CC1"/>
    <w:rsid w:val="7A4670D6"/>
    <w:rsid w:val="7A534B63"/>
    <w:rsid w:val="7A615382"/>
    <w:rsid w:val="7A67303B"/>
    <w:rsid w:val="7AAB1D04"/>
    <w:rsid w:val="7AAE6AEF"/>
    <w:rsid w:val="7ABA4368"/>
    <w:rsid w:val="7AD05746"/>
    <w:rsid w:val="7B257FFD"/>
    <w:rsid w:val="7B273D20"/>
    <w:rsid w:val="7B29035B"/>
    <w:rsid w:val="7B343476"/>
    <w:rsid w:val="7B5A2978"/>
    <w:rsid w:val="7B5A7E4C"/>
    <w:rsid w:val="7B667AF9"/>
    <w:rsid w:val="7B7468F8"/>
    <w:rsid w:val="7BEE0103"/>
    <w:rsid w:val="7C0A0FE4"/>
    <w:rsid w:val="7C254906"/>
    <w:rsid w:val="7C37756C"/>
    <w:rsid w:val="7C590818"/>
    <w:rsid w:val="7C715DD6"/>
    <w:rsid w:val="7C7C10F6"/>
    <w:rsid w:val="7C853BEA"/>
    <w:rsid w:val="7C881368"/>
    <w:rsid w:val="7CE27788"/>
    <w:rsid w:val="7D0825C3"/>
    <w:rsid w:val="7D0C32F1"/>
    <w:rsid w:val="7D0F408D"/>
    <w:rsid w:val="7D491C6C"/>
    <w:rsid w:val="7D5429C0"/>
    <w:rsid w:val="7D6E6D43"/>
    <w:rsid w:val="7D7D34D3"/>
    <w:rsid w:val="7DB57A34"/>
    <w:rsid w:val="7DB83E32"/>
    <w:rsid w:val="7DE60973"/>
    <w:rsid w:val="7DEF0916"/>
    <w:rsid w:val="7E1E5218"/>
    <w:rsid w:val="7E7A2A0E"/>
    <w:rsid w:val="7E9A4E1F"/>
    <w:rsid w:val="7EA7723A"/>
    <w:rsid w:val="7EC06B5F"/>
    <w:rsid w:val="7EF56FBB"/>
    <w:rsid w:val="7F0768EB"/>
    <w:rsid w:val="7F143BEC"/>
    <w:rsid w:val="7F715AF2"/>
    <w:rsid w:val="7F886E69"/>
    <w:rsid w:val="7FBF4D88"/>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Indent"/>
    <w:basedOn w:val="1"/>
    <w:link w:val="267"/>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4"/>
    <w:autoRedefine/>
    <w:qFormat/>
    <w:uiPriority w:val="0"/>
    <w:rPr>
      <w:lang w:val="zh-CN"/>
    </w:rPr>
  </w:style>
  <w:style w:type="paragraph" w:styleId="38">
    <w:name w:val="Balloon Text"/>
    <w:basedOn w:val="1"/>
    <w:link w:val="190"/>
    <w:autoRedefine/>
    <w:qFormat/>
    <w:uiPriority w:val="0"/>
    <w:rPr>
      <w:sz w:val="18"/>
      <w:szCs w:val="18"/>
    </w:rPr>
  </w:style>
  <w:style w:type="paragraph" w:styleId="39">
    <w:name w:val="footer"/>
    <w:basedOn w:val="1"/>
    <w:link w:val="385"/>
    <w:autoRedefine/>
    <w:qFormat/>
    <w:uiPriority w:val="99"/>
    <w:pPr>
      <w:tabs>
        <w:tab w:val="center" w:pos="4153"/>
        <w:tab w:val="right" w:pos="8306"/>
      </w:tabs>
      <w:snapToGrid w:val="0"/>
      <w:jc w:val="left"/>
    </w:pPr>
    <w:rPr>
      <w:sz w:val="18"/>
      <w:szCs w:val="18"/>
    </w:rPr>
  </w:style>
  <w:style w:type="paragraph" w:styleId="40">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4"/>
    <w:autoRedefine/>
    <w:qFormat/>
    <w:uiPriority w:val="0"/>
    <w:pPr>
      <w:spacing w:after="120" w:line="480" w:lineRule="auto"/>
    </w:pPr>
  </w:style>
  <w:style w:type="paragraph" w:styleId="56">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8"/>
    <w:autoRedefine/>
    <w:qFormat/>
    <w:uiPriority w:val="0"/>
    <w:rPr>
      <w:b/>
      <w:bCs/>
    </w:rPr>
  </w:style>
  <w:style w:type="paragraph" w:styleId="60">
    <w:name w:val="Body Text First Indent"/>
    <w:basedOn w:val="2"/>
    <w:next w:val="50"/>
    <w:link w:val="323"/>
    <w:autoRedefine/>
    <w:qFormat/>
    <w:uiPriority w:val="0"/>
    <w:pPr>
      <w:ind w:firstLine="420"/>
    </w:pPr>
    <w:rPr>
      <w:rFonts w:hAnsi="Calibri" w:cs="Times New Roman"/>
      <w:snapToGrid/>
      <w:szCs w:val="20"/>
    </w:rPr>
  </w:style>
  <w:style w:type="paragraph" w:styleId="61">
    <w:name w:val="Body Text First Indent 2"/>
    <w:basedOn w:val="24"/>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Default"/>
    <w:next w:val="81"/>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PlainText"/>
    <w:basedOn w:val="1"/>
    <w:autoRedefine/>
    <w:qFormat/>
    <w:uiPriority w:val="0"/>
    <w:pPr>
      <w:widowControl/>
      <w:jc w:val="left"/>
      <w:textAlignment w:val="baseline"/>
    </w:pPr>
    <w:rPr>
      <w:rFonts w:ascii="宋体" w:hAnsi="Courier New"/>
      <w:kern w:val="0"/>
      <w:szCs w:val="20"/>
    </w:rPr>
  </w:style>
  <w:style w:type="paragraph" w:customStyle="1" w:styleId="83">
    <w:name w:val="正文文本首行缩进 21"/>
    <w:basedOn w:val="24"/>
    <w:autoRedefine/>
    <w:qFormat/>
    <w:uiPriority w:val="99"/>
    <w:pPr>
      <w:spacing w:line="200" w:lineRule="atLeast"/>
      <w:ind w:firstLine="420"/>
    </w:pPr>
    <w:rPr>
      <w:rFonts w:hAnsi="Courier New"/>
      <w:spacing w:val="-4"/>
      <w:sz w:val="18"/>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59"/>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autoRedefine/>
    <w:qFormat/>
    <w:uiPriority w:val="0"/>
    <w:rPr>
      <w:rFonts w:ascii="宋体" w:hAnsi="宋体"/>
      <w:kern w:val="2"/>
      <w:sz w:val="21"/>
      <w:szCs w:val="24"/>
    </w:rPr>
  </w:style>
  <w:style w:type="character" w:customStyle="1" w:styleId="124">
    <w:name w:val="font11"/>
    <w:basedOn w:val="69"/>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6"/>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5"/>
    <w:autoRedefine/>
    <w:qFormat/>
    <w:uiPriority w:val="0"/>
    <w:rPr>
      <w:rFonts w:ascii="宋体"/>
      <w:kern w:val="2"/>
      <w:sz w:val="24"/>
      <w:szCs w:val="21"/>
      <w:lang w:val="zh-CN"/>
    </w:rPr>
  </w:style>
  <w:style w:type="character" w:customStyle="1" w:styleId="184">
    <w:name w:val="标题 9 字符"/>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basedOn w:val="69"/>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0"/>
    <w:autoRedefine/>
    <w:qFormat/>
    <w:uiPriority w:val="0"/>
    <w:rPr>
      <w:rFonts w:ascii="仿宋_GB2312"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4"/>
    <w:autoRedefine/>
    <w:qFormat/>
    <w:uiPriority w:val="0"/>
    <w:rPr>
      <w:rFonts w:ascii="宋体" w:hAnsi="宋体"/>
      <w:kern w:val="2"/>
      <w:sz w:val="24"/>
      <w:szCs w:val="24"/>
    </w:rPr>
  </w:style>
  <w:style w:type="character" w:customStyle="1" w:styleId="268">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8"/>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6"/>
    <w:autoRedefine/>
    <w:qFormat/>
    <w:uiPriority w:val="0"/>
    <w:rPr>
      <w:rFonts w:ascii="黑体" w:hAnsi="Courier New" w:eastAsia="黑体"/>
    </w:rPr>
  </w:style>
  <w:style w:type="character" w:customStyle="1" w:styleId="304">
    <w:name w:val="正文文本 2 字符1"/>
    <w:link w:val="55"/>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9"/>
    <w:autoRedefine/>
    <w:qFormat/>
    <w:uiPriority w:val="0"/>
    <w:rPr>
      <w:b/>
      <w:bCs/>
      <w:kern w:val="2"/>
      <w:sz w:val="24"/>
      <w:szCs w:val="24"/>
    </w:rPr>
  </w:style>
  <w:style w:type="character" w:customStyle="1" w:styleId="310">
    <w:name w:val="正文文本缩进 2 字符"/>
    <w:link w:val="36"/>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49"/>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69"/>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60"/>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2"/>
    <w:autoRedefine/>
    <w:qFormat/>
    <w:uiPriority w:val="0"/>
    <w:rPr>
      <w:kern w:val="2"/>
      <w:sz w:val="21"/>
    </w:rPr>
  </w:style>
  <w:style w:type="character" w:customStyle="1" w:styleId="333">
    <w:name w:val="font31"/>
    <w:basedOn w:val="69"/>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autoRedefine/>
    <w:qFormat/>
    <w:uiPriority w:val="99"/>
    <w:rPr>
      <w:kern w:val="2"/>
      <w:sz w:val="21"/>
      <w:szCs w:val="24"/>
    </w:rPr>
  </w:style>
  <w:style w:type="character" w:customStyle="1" w:styleId="347">
    <w:name w:val="签名 字符"/>
    <w:link w:val="41"/>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69"/>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2"/>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39"/>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0"/>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6"/>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0"/>
    <w:next w:val="80"/>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0"/>
    <w:next w:val="80"/>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9"/>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autoRedefine/>
    <w:qFormat/>
    <w:uiPriority w:val="0"/>
    <w:pPr>
      <w:tabs>
        <w:tab w:val="left" w:pos="1080"/>
      </w:tabs>
      <w:ind w:left="1080" w:hanging="1080"/>
    </w:pPr>
  </w:style>
  <w:style w:type="paragraph" w:customStyle="1" w:styleId="899">
    <w:name w:val="数字标题1"/>
    <w:basedOn w:val="3"/>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7"/>
    <w:autoRedefine/>
    <w:qFormat/>
    <w:uiPriority w:val="0"/>
    <w:rPr>
      <w:kern w:val="2"/>
      <w:sz w:val="21"/>
      <w:szCs w:val="24"/>
      <w:lang w:val="zh-CN"/>
    </w:rPr>
  </w:style>
  <w:style w:type="character" w:customStyle="1" w:styleId="935">
    <w:name w:val="无间隔 字符"/>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autoRedefine/>
    <w:qFormat/>
    <w:uiPriority w:val="19"/>
    <w:rPr>
      <w:i/>
      <w:iCs/>
    </w:rPr>
  </w:style>
  <w:style w:type="paragraph" w:customStyle="1" w:styleId="968">
    <w:name w:val="列出段落"/>
    <w:basedOn w:val="1"/>
    <w:autoRedefine/>
    <w:qFormat/>
    <w:uiPriority w:val="99"/>
    <w:pPr>
      <w:spacing w:line="360" w:lineRule="auto"/>
      <w:ind w:firstLine="200" w:firstLineChars="200"/>
    </w:pPr>
    <w:rPr>
      <w:rFonts w:eastAsia="楷体_GB2312" w:cs="Lucida Sans"/>
      <w:sz w:val="24"/>
    </w:rPr>
  </w:style>
  <w:style w:type="paragraph" w:customStyle="1" w:styleId="969">
    <w:name w:val="Heading5"/>
    <w:basedOn w:val="1"/>
    <w:next w:val="1"/>
    <w:autoRedefine/>
    <w:qFormat/>
    <w:uiPriority w:val="0"/>
    <w:pPr>
      <w:keepNext/>
      <w:keepLines/>
      <w:adjustRightInd/>
      <w:spacing w:after="120" w:line="360" w:lineRule="auto"/>
      <w:textAlignment w:val="baseline"/>
    </w:pPr>
    <w:rPr>
      <w:rFonts w:eastAsia="微软雅黑"/>
      <w:b/>
      <w:bCs/>
      <w:sz w:val="24"/>
    </w:rPr>
  </w:style>
  <w:style w:type="paragraph" w:customStyle="1" w:styleId="970">
    <w:name w:val="式样-标题1"/>
    <w:basedOn w:val="3"/>
    <w:next w:val="971"/>
    <w:autoRedefine/>
    <w:qFormat/>
    <w:uiPriority w:val="0"/>
    <w:pPr>
      <w:numPr>
        <w:ilvl w:val="0"/>
        <w:numId w:val="1"/>
      </w:numPr>
      <w:spacing w:before="50" w:beforeLines="50" w:after="50" w:afterLines="50" w:line="360" w:lineRule="auto"/>
    </w:pPr>
    <w:rPr>
      <w:rFonts w:ascii="黑体" w:hAnsi="黑体" w:eastAsia="黑体"/>
      <w:b w:val="0"/>
      <w:sz w:val="32"/>
      <w:szCs w:val="32"/>
    </w:rPr>
  </w:style>
  <w:style w:type="paragraph" w:customStyle="1" w:styleId="971">
    <w:name w:val="式样-标题2"/>
    <w:basedOn w:val="4"/>
    <w:next w:val="972"/>
    <w:autoRedefine/>
    <w:qFormat/>
    <w:uiPriority w:val="0"/>
    <w:pPr>
      <w:numPr>
        <w:ilvl w:val="1"/>
        <w:numId w:val="1"/>
      </w:numPr>
    </w:pPr>
    <w:rPr>
      <w:rFonts w:ascii="楷体_GB2312"/>
      <w:sz w:val="28"/>
    </w:rPr>
  </w:style>
  <w:style w:type="paragraph" w:customStyle="1" w:styleId="972">
    <w:name w:val="式样--标题3"/>
    <w:basedOn w:val="5"/>
    <w:next w:val="973"/>
    <w:autoRedefine/>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73">
    <w:name w:val="式样--标题4"/>
    <w:basedOn w:val="6"/>
    <w:next w:val="974"/>
    <w:autoRedefine/>
    <w:qFormat/>
    <w:uiPriority w:val="0"/>
    <w:pPr>
      <w:numPr>
        <w:ilvl w:val="3"/>
        <w:numId w:val="1"/>
      </w:numPr>
      <w:spacing w:before="0" w:after="0" w:line="540" w:lineRule="exact"/>
      <w:ind w:firstLine="640" w:firstLineChars="200"/>
    </w:pPr>
    <w:rPr>
      <w:rFonts w:ascii="仿宋_GB2312" w:eastAsia="仿宋_GB2312"/>
      <w:b w:val="0"/>
      <w:szCs w:val="32"/>
    </w:rPr>
  </w:style>
  <w:style w:type="paragraph" w:customStyle="1" w:styleId="974">
    <w:name w:val="式样--正文"/>
    <w:basedOn w:val="1"/>
    <w:autoRedefine/>
    <w:qFormat/>
    <w:uiPriority w:val="0"/>
    <w:pPr>
      <w:spacing w:line="360" w:lineRule="auto"/>
      <w:ind w:firstLine="200" w:firstLineChars="200"/>
    </w:pPr>
    <w:rPr>
      <w:rFonts w:ascii="仿宋_GB2312" w:hAnsi="Calibri"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7385</Words>
  <Characters>42096</Characters>
  <Lines>350</Lines>
  <Paragraphs>98</Paragraphs>
  <TotalTime>17</TotalTime>
  <ScaleCrop>false</ScaleCrop>
  <LinksUpToDate>false</LinksUpToDate>
  <CharactersWithSpaces>49383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WPS_1691460266</cp:lastModifiedBy>
  <cp:lastPrinted>2021-12-30T11:06:00Z</cp:lastPrinted>
  <dcterms:modified xsi:type="dcterms:W3CDTF">2024-04-23T07:40:54Z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B0323A332E8F48CAA023AF898E10D77F_13</vt:lpwstr>
  </property>
</Properties>
</file>