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bookmarkStart w:id="387" w:name="_GoBack"/>
    </w:p>
    <w:p>
      <w:pPr>
        <w:pStyle w:val="968"/>
        <w:spacing w:line="760" w:lineRule="exact"/>
        <w:rPr>
          <w:rFonts w:ascii="宋体" w:eastAsia="宋体"/>
          <w:color w:val="auto"/>
          <w:sz w:val="72"/>
          <w:szCs w:val="72"/>
          <w:highlight w:val="none"/>
        </w:rPr>
      </w:pPr>
    </w:p>
    <w:p>
      <w:pPr>
        <w:pStyle w:val="5"/>
        <w:jc w:val="center"/>
        <w:rPr>
          <w:rFonts w:hAnsi="宋体" w:cs="宋体"/>
          <w:b/>
          <w:bCs/>
          <w:color w:val="auto"/>
          <w:sz w:val="48"/>
          <w:szCs w:val="48"/>
          <w:highlight w:val="none"/>
          <w:lang w:val="en-US"/>
        </w:rPr>
      </w:pPr>
      <w:r>
        <w:rPr>
          <w:rFonts w:hint="eastAsia" w:hAnsi="宋体" w:cs="宋体"/>
          <w:b/>
          <w:bCs/>
          <w:color w:val="auto"/>
          <w:sz w:val="48"/>
          <w:szCs w:val="48"/>
          <w:highlight w:val="none"/>
          <w:lang w:val="en-US"/>
        </w:rPr>
        <w:t>杭州市萧山区第三人民医院数据库维保及医保基金综合管理系统采购项目</w:t>
      </w:r>
    </w:p>
    <w:p>
      <w:pPr>
        <w:pStyle w:val="5"/>
        <w:jc w:val="center"/>
        <w:rPr>
          <w:rFonts w:hAnsi="宋体" w:cs="宋体"/>
          <w:b/>
          <w:bCs/>
          <w:color w:val="auto"/>
          <w:spacing w:val="-28"/>
          <w:sz w:val="36"/>
          <w:szCs w:val="36"/>
          <w:highlight w:val="none"/>
          <w:lang w:val="en-US"/>
        </w:rPr>
      </w:pPr>
    </w:p>
    <w:p>
      <w:pPr>
        <w:adjustRightInd/>
        <w:spacing w:line="360" w:lineRule="auto"/>
        <w:rPr>
          <w:rFonts w:ascii="宋体" w:hAnsi="宋体" w:cs="宋体"/>
          <w:b/>
          <w:bCs/>
          <w:color w:val="auto"/>
          <w:sz w:val="72"/>
          <w:szCs w:val="72"/>
          <w:highlight w:val="none"/>
        </w:rPr>
      </w:pPr>
    </w:p>
    <w:p>
      <w:pPr>
        <w:adjustRightInd/>
        <w:spacing w:line="360" w:lineRule="auto"/>
        <w:jc w:val="center"/>
        <w:rPr>
          <w:rFonts w:ascii="宋体" w:hAnsi="宋体" w:cs="宋体"/>
          <w:b/>
          <w:color w:val="auto"/>
          <w:sz w:val="44"/>
          <w:szCs w:val="44"/>
          <w:highlight w:val="none"/>
        </w:rPr>
      </w:pPr>
      <w:r>
        <w:rPr>
          <w:rFonts w:hint="eastAsia" w:ascii="宋体" w:hAnsi="宋体" w:cs="宋体"/>
          <w:b/>
          <w:bCs/>
          <w:color w:val="auto"/>
          <w:sz w:val="72"/>
          <w:szCs w:val="72"/>
          <w:highlight w:val="none"/>
        </w:rPr>
        <w:t>公开竞争文件</w:t>
      </w:r>
    </w:p>
    <w:p>
      <w:pPr>
        <w:snapToGrid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交易编号：BWZBDL2024-067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pStyle w:val="82"/>
        <w:rPr>
          <w:rFonts w:cs="宋体"/>
          <w:color w:val="auto"/>
          <w:highlight w:val="none"/>
        </w:rPr>
      </w:pPr>
    </w:p>
    <w:p>
      <w:pPr>
        <w:pStyle w:val="82"/>
        <w:rPr>
          <w:rFonts w:cs="宋体"/>
          <w:color w:val="auto"/>
          <w:highlight w:val="none"/>
        </w:rPr>
      </w:pPr>
    </w:p>
    <w:p>
      <w:pPr>
        <w:pStyle w:val="82"/>
        <w:rPr>
          <w:rFonts w:cs="宋体"/>
          <w:color w:val="auto"/>
          <w:highlight w:val="none"/>
        </w:rPr>
      </w:pPr>
    </w:p>
    <w:p>
      <w:pPr>
        <w:pStyle w:val="82"/>
        <w:rPr>
          <w:rFonts w:cs="宋体"/>
          <w:color w:val="auto"/>
          <w:highlight w:val="none"/>
        </w:rPr>
      </w:pPr>
    </w:p>
    <w:p>
      <w:pPr>
        <w:pStyle w:val="82"/>
        <w:rPr>
          <w:rFonts w:cs="宋体"/>
          <w:color w:val="auto"/>
          <w:highlight w:val="none"/>
        </w:rPr>
      </w:pPr>
    </w:p>
    <w:p>
      <w:pPr>
        <w:pStyle w:val="82"/>
        <w:rPr>
          <w:rFonts w:cs="宋体"/>
          <w:color w:val="auto"/>
          <w:highlight w:val="none"/>
        </w:rPr>
      </w:pPr>
    </w:p>
    <w:p>
      <w:pPr>
        <w:pStyle w:val="82"/>
        <w:rPr>
          <w:rFonts w:cs="宋体"/>
          <w:color w:val="auto"/>
          <w:highlight w:val="none"/>
        </w:rPr>
      </w:pPr>
    </w:p>
    <w:p>
      <w:pPr>
        <w:pStyle w:val="83"/>
        <w:ind w:firstLine="0"/>
        <w:rPr>
          <w:color w:val="auto"/>
          <w:highlight w:val="none"/>
          <w:lang w:eastAsia="zh-CN"/>
        </w:rPr>
      </w:pPr>
    </w:p>
    <w:p>
      <w:pPr>
        <w:spacing w:line="360" w:lineRule="auto"/>
        <w:ind w:firstLine="964" w:firstLineChars="300"/>
        <w:rPr>
          <w:rFonts w:ascii="宋体" w:hAnsi="宋体" w:cs="宋体"/>
          <w:b/>
          <w:color w:val="auto"/>
          <w:sz w:val="32"/>
          <w:szCs w:val="30"/>
          <w:highlight w:val="none"/>
        </w:rPr>
      </w:pPr>
      <w:r>
        <w:rPr>
          <w:rFonts w:hint="eastAsia" w:ascii="宋体" w:hAnsi="宋体" w:cs="宋体"/>
          <w:b/>
          <w:color w:val="auto"/>
          <w:sz w:val="32"/>
          <w:szCs w:val="30"/>
          <w:highlight w:val="none"/>
        </w:rPr>
        <w:t>交易发起人：</w:t>
      </w:r>
      <w:r>
        <w:rPr>
          <w:rFonts w:hint="eastAsia" w:ascii="宋体" w:hAnsi="宋体" w:cs="宋体"/>
          <w:b/>
          <w:color w:val="auto"/>
          <w:spacing w:val="34"/>
          <w:sz w:val="32"/>
          <w:szCs w:val="30"/>
          <w:highlight w:val="none"/>
        </w:rPr>
        <w:t>杭州市萧山区第三人民医院</w:t>
      </w:r>
    </w:p>
    <w:p>
      <w:pPr>
        <w:spacing w:line="360" w:lineRule="auto"/>
        <w:ind w:firstLine="964" w:firstLineChars="300"/>
        <w:rPr>
          <w:rFonts w:ascii="宋体" w:hAnsi="宋体" w:cs="宋体"/>
          <w:b/>
          <w:color w:val="auto"/>
          <w:sz w:val="32"/>
          <w:szCs w:val="32"/>
          <w:highlight w:val="none"/>
        </w:rPr>
      </w:pPr>
      <w:r>
        <w:rPr>
          <w:rFonts w:hint="eastAsia" w:ascii="宋体" w:hAnsi="宋体" w:cs="宋体"/>
          <w:b/>
          <w:color w:val="auto"/>
          <w:sz w:val="32"/>
          <w:szCs w:val="30"/>
          <w:highlight w:val="none"/>
        </w:rPr>
        <w:t>代理机构：杭州博望建设工程招标投标代理有限公司</w:t>
      </w:r>
    </w:p>
    <w:p>
      <w:pPr>
        <w:snapToGri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二〇二四年四月</w:t>
      </w:r>
      <w:r>
        <w:rPr>
          <w:rFonts w:hint="eastAsia" w:ascii="宋体" w:hAnsi="宋体" w:cs="宋体"/>
          <w:b/>
          <w:color w:val="auto"/>
          <w:sz w:val="32"/>
          <w:szCs w:val="32"/>
          <w:highlight w:val="none"/>
          <w:lang w:eastAsia="zh-CN"/>
        </w:rPr>
        <w:t>二</w:t>
      </w: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eastAsia="zh-CN"/>
        </w:rPr>
        <w:t>四</w:t>
      </w:r>
      <w:r>
        <w:rPr>
          <w:rFonts w:hint="eastAsia" w:ascii="宋体" w:hAnsi="宋体" w:cs="宋体"/>
          <w:b/>
          <w:color w:val="auto"/>
          <w:sz w:val="32"/>
          <w:szCs w:val="32"/>
          <w:highlight w:val="none"/>
        </w:rPr>
        <w:t>日</w:t>
      </w:r>
    </w:p>
    <w:p>
      <w:pPr>
        <w:pStyle w:val="5"/>
        <w:rPr>
          <w:rFonts w:hAnsi="宋体" w:cs="宋体"/>
          <w:color w:val="auto"/>
          <w:highlight w:val="none"/>
        </w:rPr>
      </w:pPr>
    </w:p>
    <w:p>
      <w:pPr>
        <w:pStyle w:val="63"/>
        <w:rPr>
          <w:rFonts w:hAnsi="宋体" w:cs="宋体"/>
          <w:color w:val="auto"/>
          <w:highlight w:val="none"/>
        </w:rPr>
      </w:pPr>
    </w:p>
    <w:p>
      <w:pPr>
        <w:pStyle w:val="53"/>
        <w:rPr>
          <w:rFonts w:ascii="宋体" w:hAnsi="宋体" w:cs="宋体"/>
          <w:color w:val="auto"/>
          <w:highlight w:val="none"/>
        </w:rPr>
      </w:pPr>
    </w:p>
    <w:p>
      <w:pPr>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交易公告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响应人须知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交易需求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交易办法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728647"/>
      <w:bookmarkEnd w:id="3"/>
      <w:bookmarkStart w:id="4" w:name="_Hlt74729822"/>
      <w:bookmarkEnd w:id="4"/>
      <w:bookmarkStart w:id="5" w:name="_Hlt74649545"/>
      <w:bookmarkEnd w:id="5"/>
      <w:bookmarkStart w:id="6" w:name="_Hlt74707423"/>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交易公告</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一、基本情况</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交易编号：</w:t>
      </w:r>
      <w:r>
        <w:rPr>
          <w:rFonts w:hint="eastAsia" w:ascii="宋体" w:hAnsi="宋体" w:cs="宋体"/>
          <w:bCs/>
          <w:color w:val="auto"/>
          <w:sz w:val="24"/>
          <w:highlight w:val="none"/>
        </w:rPr>
        <w:t>BWZBDL2024-067</w:t>
      </w:r>
    </w:p>
    <w:p>
      <w:pPr>
        <w:spacing w:line="360" w:lineRule="auto"/>
        <w:ind w:firstLine="482" w:firstLineChars="200"/>
        <w:rPr>
          <w:rFonts w:ascii="宋体" w:hAnsi="宋体" w:cs="宋体"/>
          <w:bCs/>
          <w:color w:val="auto"/>
          <w:spacing w:val="-6"/>
          <w:sz w:val="24"/>
          <w:highlight w:val="none"/>
        </w:rPr>
      </w:pPr>
      <w:r>
        <w:rPr>
          <w:rFonts w:hint="eastAsia" w:ascii="宋体" w:hAnsi="宋体" w:cs="宋体"/>
          <w:b/>
          <w:color w:val="auto"/>
          <w:sz w:val="24"/>
          <w:highlight w:val="none"/>
        </w:rPr>
        <w:t>交易名称：</w:t>
      </w:r>
      <w:r>
        <w:rPr>
          <w:rFonts w:hint="eastAsia" w:ascii="宋体" w:hAnsi="宋体" w:cs="宋体"/>
          <w:bCs/>
          <w:color w:val="auto"/>
          <w:spacing w:val="-6"/>
          <w:sz w:val="24"/>
          <w:highlight w:val="none"/>
        </w:rPr>
        <w:t>杭州市萧山区第三人民医院数据库维保及医保基金综合管理系统采购项目</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预算金额：</w:t>
      </w:r>
      <w:r>
        <w:rPr>
          <w:rFonts w:hint="eastAsia" w:ascii="宋体" w:hAnsi="宋体" w:cs="宋体"/>
          <w:bCs/>
          <w:color w:val="auto"/>
          <w:sz w:val="24"/>
          <w:highlight w:val="none"/>
        </w:rPr>
        <w:t>标项1：</w:t>
      </w:r>
      <w:r>
        <w:rPr>
          <w:rFonts w:hint="eastAsia" w:ascii="宋体" w:hAnsi="宋体" w:cs="宋体"/>
          <w:bCs/>
          <w:color w:val="auto"/>
          <w:spacing w:val="-6"/>
          <w:sz w:val="24"/>
          <w:highlight w:val="none"/>
        </w:rPr>
        <w:t>数据库维保</w:t>
      </w:r>
      <w:r>
        <w:rPr>
          <w:rFonts w:hint="eastAsia" w:ascii="宋体" w:hAnsi="宋体" w:cs="宋体"/>
          <w:bCs/>
          <w:color w:val="auto"/>
          <w:sz w:val="24"/>
          <w:highlight w:val="none"/>
        </w:rPr>
        <w:t>：14.00万元；</w:t>
      </w:r>
    </w:p>
    <w:p>
      <w:pPr>
        <w:spacing w:line="360" w:lineRule="auto"/>
        <w:ind w:firstLine="1680" w:firstLineChars="700"/>
        <w:rPr>
          <w:rFonts w:ascii="宋体" w:hAnsi="宋体" w:cs="宋体"/>
          <w:bCs/>
          <w:color w:val="auto"/>
          <w:sz w:val="24"/>
          <w:highlight w:val="none"/>
        </w:rPr>
      </w:pPr>
      <w:r>
        <w:rPr>
          <w:rFonts w:hint="eastAsia" w:ascii="宋体" w:hAnsi="宋体" w:cs="宋体"/>
          <w:bCs/>
          <w:color w:val="auto"/>
          <w:sz w:val="24"/>
          <w:highlight w:val="none"/>
        </w:rPr>
        <w:t>标项2：医保基金综合管理系统：9.80万元。</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最高限价：</w:t>
      </w:r>
      <w:r>
        <w:rPr>
          <w:rFonts w:hint="eastAsia" w:ascii="宋体" w:hAnsi="宋体" w:cs="宋体"/>
          <w:bCs/>
          <w:color w:val="auto"/>
          <w:sz w:val="24"/>
          <w:highlight w:val="none"/>
        </w:rPr>
        <w:t>标项1：</w:t>
      </w:r>
      <w:r>
        <w:rPr>
          <w:rFonts w:hint="eastAsia" w:ascii="宋体" w:hAnsi="宋体" w:cs="宋体"/>
          <w:bCs/>
          <w:color w:val="auto"/>
          <w:spacing w:val="-6"/>
          <w:sz w:val="24"/>
          <w:highlight w:val="none"/>
        </w:rPr>
        <w:t>数据库维保</w:t>
      </w:r>
      <w:r>
        <w:rPr>
          <w:rFonts w:hint="eastAsia" w:ascii="宋体" w:hAnsi="宋体" w:cs="宋体"/>
          <w:bCs/>
          <w:color w:val="auto"/>
          <w:sz w:val="24"/>
          <w:highlight w:val="none"/>
        </w:rPr>
        <w:t>：14.00万元；</w:t>
      </w:r>
    </w:p>
    <w:p>
      <w:pPr>
        <w:spacing w:line="360" w:lineRule="auto"/>
        <w:ind w:firstLine="1680" w:firstLineChars="700"/>
        <w:rPr>
          <w:rFonts w:ascii="宋体" w:hAnsi="宋体" w:cs="宋体"/>
          <w:bCs/>
          <w:color w:val="auto"/>
          <w:sz w:val="24"/>
          <w:highlight w:val="none"/>
        </w:rPr>
      </w:pPr>
      <w:r>
        <w:rPr>
          <w:rFonts w:hint="eastAsia" w:ascii="宋体" w:hAnsi="宋体" w:cs="宋体"/>
          <w:bCs/>
          <w:color w:val="auto"/>
          <w:sz w:val="24"/>
          <w:highlight w:val="none"/>
        </w:rPr>
        <w:t>标项2：医保基金综合管理系统：9.80万元。</w:t>
      </w:r>
    </w:p>
    <w:p>
      <w:pPr>
        <w:pStyle w:val="19"/>
        <w:spacing w:line="360" w:lineRule="auto"/>
        <w:ind w:firstLine="482" w:firstLineChars="200"/>
        <w:rPr>
          <w:rFonts w:hAnsi="宋体" w:cs="宋体"/>
          <w:bCs/>
          <w:color w:val="auto"/>
          <w:sz w:val="24"/>
          <w:highlight w:val="none"/>
        </w:rPr>
      </w:pPr>
      <w:r>
        <w:rPr>
          <w:rFonts w:hint="eastAsia" w:hAnsi="宋体" w:cs="宋体"/>
          <w:b/>
          <w:color w:val="auto"/>
          <w:sz w:val="24"/>
          <w:highlight w:val="none"/>
        </w:rPr>
        <w:t>交易需求：</w:t>
      </w:r>
      <w:r>
        <w:rPr>
          <w:rFonts w:hint="eastAsia" w:hAnsi="宋体" w:cs="宋体"/>
          <w:bCs/>
          <w:color w:val="auto"/>
          <w:sz w:val="24"/>
          <w:highlight w:val="none"/>
        </w:rPr>
        <w:t>标项1：</w:t>
      </w:r>
      <w:r>
        <w:rPr>
          <w:rFonts w:hint="eastAsia" w:hAnsi="宋体" w:cs="宋体"/>
          <w:bCs/>
          <w:color w:val="auto"/>
          <w:spacing w:val="-6"/>
          <w:sz w:val="24"/>
          <w:highlight w:val="none"/>
        </w:rPr>
        <w:t>数据库维保</w:t>
      </w:r>
      <w:r>
        <w:rPr>
          <w:rFonts w:hint="eastAsia" w:hAnsi="宋体" w:cs="宋体"/>
          <w:bCs/>
          <w:color w:val="auto"/>
          <w:sz w:val="24"/>
          <w:highlight w:val="none"/>
        </w:rPr>
        <w:t>，2年；标项2：医保基金综合管理系统,1年。详见交易需求。</w:t>
      </w:r>
    </w:p>
    <w:p>
      <w:pPr>
        <w:pStyle w:val="19"/>
        <w:spacing w:line="360" w:lineRule="auto"/>
        <w:ind w:firstLine="482" w:firstLineChars="200"/>
        <w:rPr>
          <w:rFonts w:hAnsi="宋体" w:cs="宋体"/>
          <w:color w:val="auto"/>
          <w:highlight w:val="none"/>
        </w:rPr>
      </w:pPr>
      <w:r>
        <w:rPr>
          <w:rFonts w:hint="eastAsia" w:hAnsi="宋体" w:cs="宋体"/>
          <w:b/>
          <w:color w:val="auto"/>
          <w:sz w:val="24"/>
          <w:szCs w:val="18"/>
          <w:highlight w:val="none"/>
        </w:rPr>
        <w:t>合同履约期限：</w:t>
      </w:r>
      <w:r>
        <w:rPr>
          <w:rFonts w:hint="eastAsia" w:hAnsi="宋体" w:cs="宋体"/>
          <w:color w:val="auto"/>
          <w:sz w:val="24"/>
          <w:szCs w:val="28"/>
          <w:highlight w:val="none"/>
        </w:rPr>
        <w:t>详见公开竞争文件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本项目接受联合体投标：</w:t>
      </w:r>
      <w:r>
        <w:rPr>
          <w:rFonts w:hint="eastAsia" w:ascii="宋体" w:hAnsi="宋体" w:cs="宋体"/>
          <w:bCs/>
          <w:color w:val="auto"/>
          <w:sz w:val="24"/>
          <w:highlight w:val="none"/>
        </w:rPr>
        <w:t>（  ）是；（√）否。</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5、参加交易活动前三年内，在经营活动中没有重大违法记录；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6、法律、行政法规规定的其他条件；</w:t>
      </w:r>
    </w:p>
    <w:p>
      <w:pPr>
        <w:pStyle w:val="63"/>
        <w:ind w:firstLineChars="175"/>
        <w:rPr>
          <w:rFonts w:hAnsi="宋体" w:cs="宋体"/>
          <w:color w:val="auto"/>
          <w:highlight w:val="none"/>
          <w:lang w:val="en-US"/>
        </w:rPr>
      </w:pPr>
      <w:r>
        <w:rPr>
          <w:rFonts w:hint="eastAsia" w:hAnsi="宋体" w:cs="宋体"/>
          <w:color w:val="auto"/>
          <w:highlight w:val="none"/>
        </w:rPr>
        <w:t>7、本项目的特定资格要求：无</w:t>
      </w:r>
      <w:r>
        <w:rPr>
          <w:rFonts w:hint="eastAsia" w:hAnsi="宋体" w:cs="宋体"/>
          <w:color w:val="auto"/>
          <w:highlight w:val="none"/>
          <w:lang w:val="en-US"/>
        </w:rPr>
        <w:t>；</w:t>
      </w:r>
    </w:p>
    <w:p>
      <w:pPr>
        <w:pStyle w:val="63"/>
        <w:ind w:firstLine="480" w:firstLineChars="200"/>
        <w:rPr>
          <w:rFonts w:hAnsi="宋体" w:cs="宋体"/>
          <w:color w:val="auto"/>
          <w:highlight w:val="none"/>
          <w:lang w:val="en-US"/>
        </w:rPr>
      </w:pPr>
      <w:r>
        <w:rPr>
          <w:rFonts w:hint="eastAsia" w:hAnsi="宋体" w:cs="宋体"/>
          <w:color w:val="auto"/>
          <w:highlight w:val="none"/>
          <w:lang w:val="en-US"/>
        </w:rPr>
        <w:t>8、</w:t>
      </w:r>
      <w:r>
        <w:rPr>
          <w:rFonts w:hint="eastAsia" w:hAnsi="宋体" w:cs="宋体"/>
          <w:color w:val="auto"/>
          <w:highlight w:val="none"/>
        </w:rPr>
        <w:t>本项目不接受联合体参与（潜在响应人能独立完成本项目）。</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三、获取公开竞争文件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日14:00</w:t>
      </w:r>
      <w:r>
        <w:rPr>
          <w:rFonts w:hint="eastAsia" w:ascii="宋体" w:hAnsi="宋体" w:cs="宋体"/>
          <w:color w:val="auto"/>
          <w:sz w:val="24"/>
          <w:highlight w:val="none"/>
        </w:rPr>
        <w:t>，每天上午00:00至12:00 ，下午12:00至23:59（北京时间，线上获取法定节假日均可）</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响应人登录政采云平台https://www.zcygov.cn/在线申请获取公开竞争文件（进入“项目采购”应用，在获取采购文件菜单中选择项目，申请获取公开竞争文件）。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四、提交响应文件截止时间、交易时间和地点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提交响应文件截止时间：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日14点00分</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交易时间：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日14点00分</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响应人认为公开竞争文件使自己的权益受到损害的，可以自获取公开竞争文件之日起3天内，以书面形式向交易发起人和代理机构提出异议。异议响应人对交易发起人、代理机构的答复不满意或者交易发起人、代理机构未在规定的时间内作出答复的，可以在答复期满后10日内向基层交易监督机构提出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其他事项：电子招投标的说明：①电子招投标：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公开竞争文件的获取：使用账号登录或者使用CA登录政采云平台；进入“项目采购”应用，在获取采购文件菜单中选择项目，获取公开竞争文件；④响应文件的制作：在“政采云电子交易客户端”中完成“填写基本信息”“导入响应文件”“标书关联”“标书检查”“电子签名”“生成电子标书”等操作；⑤交易发起人、代理机构将依托政采云平台完成本项目的电子交易活动，平台不接受未按上述方式获取公开竞争文件的响应人进行投标活动； ⑥对未按上述方式获取公开竞争文件的响应人对该文件提出的异议，交易发起人或代理机构将不予处理；⑦不提供公开竞争文件纸质版；⑧响应文件的传输递交：响应人在响应截止时间前将加密的响应文件上传至政府采购云平台；⑨响应文件的解密：响应人按照平台提示和公开竞争文件的规定在半小时内完成在线解密。通过“政府采购云平台”上传递交的响应文件无法按时解密，视为响应文件撤回；⑩具体操作指南：详见政采云平台“服务中心-帮助文档-项目采购-操作流程-电子招投标-政府采购项目电子交易管理操作指南-供应商”。</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六、对本次交易提出异议、投诉，请按以下方式联系</w:t>
      </w:r>
    </w:p>
    <w:p>
      <w:pPr>
        <w:widowControl/>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szCs w:val="28"/>
          <w:highlight w:val="none"/>
        </w:rPr>
        <w:t>1、交易发起人信息</w:t>
      </w:r>
    </w:p>
    <w:p>
      <w:pPr>
        <w:spacing w:line="360" w:lineRule="auto"/>
        <w:ind w:firstLine="480" w:firstLineChars="200"/>
        <w:jc w:val="left"/>
        <w:rPr>
          <w:rFonts w:ascii="宋体" w:hAnsi="宋体" w:cs="宋体"/>
          <w:color w:val="auto"/>
          <w:sz w:val="24"/>
          <w:highlight w:val="none"/>
        </w:rPr>
      </w:pPr>
      <w:bookmarkStart w:id="10" w:name="_Toc28359086"/>
      <w:bookmarkStart w:id="11" w:name="_Toc28359009"/>
      <w:r>
        <w:rPr>
          <w:rFonts w:hint="eastAsia" w:ascii="宋体" w:hAnsi="宋体" w:cs="宋体"/>
          <w:color w:val="auto"/>
          <w:sz w:val="24"/>
          <w:highlight w:val="none"/>
        </w:rPr>
        <w:t>名称：杭州市萧山区第三人民医院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地址：浙江省杭州市萧山区临浦镇峙山北路152号</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项目联系人（询问）：周利江</w:t>
      </w:r>
    </w:p>
    <w:p>
      <w:pPr>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highlight w:val="none"/>
        </w:rPr>
        <w:t>项目联系方式（询问）：0571-82489335</w:t>
      </w:r>
    </w:p>
    <w:p>
      <w:pPr>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szCs w:val="28"/>
          <w:highlight w:val="none"/>
        </w:rPr>
        <w:t>2</w:t>
      </w:r>
      <w:bookmarkEnd w:id="10"/>
      <w:bookmarkEnd w:id="11"/>
      <w:r>
        <w:rPr>
          <w:rFonts w:hint="eastAsia" w:ascii="宋体" w:hAnsi="宋体" w:cs="宋体"/>
          <w:color w:val="auto"/>
          <w:sz w:val="24"/>
          <w:szCs w:val="28"/>
          <w:highlight w:val="none"/>
        </w:rPr>
        <w:t>、代理机构信息</w:t>
      </w:r>
    </w:p>
    <w:p>
      <w:pPr>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szCs w:val="28"/>
          <w:highlight w:val="none"/>
        </w:rPr>
        <w:t>名称：杭州博望建设工程招标投标代理有限公司</w:t>
      </w:r>
    </w:p>
    <w:p>
      <w:pPr>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szCs w:val="28"/>
          <w:highlight w:val="none"/>
        </w:rPr>
        <w:t>地址：杭州市萧山区金城路433号天汇园一幢A座5楼</w:t>
      </w:r>
    </w:p>
    <w:p>
      <w:pPr>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szCs w:val="28"/>
          <w:highlight w:val="none"/>
        </w:rPr>
        <w:t>项目联系人（询问）：高华萍</w:t>
      </w:r>
    </w:p>
    <w:p>
      <w:pPr>
        <w:spacing w:line="360" w:lineRule="auto"/>
        <w:ind w:firstLine="480" w:firstLineChars="200"/>
        <w:jc w:val="left"/>
        <w:rPr>
          <w:rFonts w:ascii="宋体" w:hAnsi="宋体" w:cs="宋体"/>
          <w:color w:val="auto"/>
          <w:sz w:val="24"/>
          <w:szCs w:val="28"/>
          <w:highlight w:val="none"/>
        </w:rPr>
      </w:pPr>
      <w:r>
        <w:rPr>
          <w:rFonts w:hint="eastAsia" w:ascii="宋体" w:hAnsi="宋体" w:cs="宋体"/>
          <w:color w:val="auto"/>
          <w:sz w:val="24"/>
          <w:szCs w:val="28"/>
          <w:highlight w:val="none"/>
        </w:rPr>
        <w:t>项目联系方式（询问）：0571-83881218</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pStyle w:val="7"/>
        <w:rPr>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响应人须知</w:t>
      </w:r>
      <w:bookmarkEnd w:id="8"/>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5"/>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r>
              <w:rPr>
                <w:rFonts w:hint="eastAsia" w:ascii="宋体" w:hAnsi="宋体" w:cs="宋体"/>
                <w:bCs/>
                <w:color w:val="auto"/>
                <w:sz w:val="24"/>
                <w:highlight w:val="none"/>
              </w:rPr>
              <w:t>（ ）</w:t>
            </w:r>
            <w:r>
              <w:rPr>
                <w:rFonts w:hint="eastAsia" w:ascii="宋体" w:hAnsi="宋体" w:cs="宋体"/>
                <w:color w:val="auto"/>
                <w:kern w:val="0"/>
                <w:sz w:val="24"/>
                <w:highlight w:val="none"/>
              </w:rPr>
              <w:t>A货物类</w:t>
            </w:r>
            <w:r>
              <w:rPr>
                <w:rFonts w:hint="eastAsia" w:ascii="宋体" w:hAnsi="宋体" w:cs="宋体"/>
                <w:color w:val="auto"/>
                <w:sz w:val="24"/>
                <w:highlight w:val="none"/>
              </w:rPr>
              <w:t>。</w:t>
            </w:r>
          </w:p>
          <w:p>
            <w:pPr>
              <w:rPr>
                <w:rFonts w:ascii="宋体" w:hAnsi="宋体" w:cs="宋体"/>
                <w:color w:val="auto"/>
                <w:sz w:val="24"/>
                <w:highlight w:val="none"/>
              </w:rPr>
            </w:pPr>
            <w:r>
              <w:rPr>
                <w:rFonts w:hint="eastAsia" w:ascii="宋体" w:hAnsi="宋体" w:cs="宋体"/>
                <w:bCs/>
                <w:color w:val="auto"/>
                <w:sz w:val="24"/>
                <w:highlight w:val="none"/>
              </w:rPr>
              <w:t>（√）</w:t>
            </w:r>
            <w:r>
              <w:rPr>
                <w:rFonts w:hint="eastAsia" w:ascii="宋体" w:hAnsi="宋体" w:cs="宋体"/>
                <w:color w:val="auto"/>
                <w:kern w:val="0"/>
                <w:sz w:val="24"/>
                <w:highlight w:val="none"/>
              </w:rPr>
              <w:t>B服务类</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采购标的对应的中小企业划分标准所属行业</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r>
              <w:rPr>
                <w:rFonts w:hint="eastAsia" w:ascii="宋体" w:hAnsi="宋体" w:cs="宋体"/>
                <w:bCs/>
                <w:color w:val="auto"/>
                <w:sz w:val="24"/>
                <w:highlight w:val="none"/>
              </w:rPr>
              <w:t>（  ）</w:t>
            </w:r>
            <w:r>
              <w:rPr>
                <w:rFonts w:hint="eastAsia" w:ascii="宋体" w:hAnsi="宋体" w:cs="宋体"/>
                <w:color w:val="auto"/>
                <w:kern w:val="0"/>
                <w:sz w:val="24"/>
                <w:highlight w:val="none"/>
              </w:rPr>
              <w:t>A适用</w:t>
            </w:r>
            <w:r>
              <w:rPr>
                <w:rFonts w:hint="eastAsia" w:ascii="宋体" w:hAnsi="宋体" w:cs="宋体"/>
                <w:color w:val="auto"/>
                <w:sz w:val="24"/>
                <w:highlight w:val="none"/>
              </w:rPr>
              <w:t>。</w:t>
            </w:r>
          </w:p>
          <w:p>
            <w:pPr>
              <w:rPr>
                <w:rFonts w:ascii="宋体" w:hAnsi="宋体" w:cs="宋体"/>
                <w:color w:val="auto"/>
                <w:kern w:val="0"/>
                <w:sz w:val="24"/>
                <w:highlight w:val="none"/>
              </w:rPr>
            </w:pPr>
            <w:r>
              <w:rPr>
                <w:rFonts w:hint="eastAsia" w:ascii="宋体" w:hAnsi="宋体" w:cs="宋体"/>
                <w:bCs/>
                <w:color w:val="auto"/>
                <w:sz w:val="24"/>
                <w:highlight w:val="none"/>
              </w:rPr>
              <w:t>（√）</w:t>
            </w:r>
            <w:r>
              <w:rPr>
                <w:rFonts w:hint="eastAsia" w:ascii="宋体" w:hAnsi="宋体" w:cs="宋体"/>
                <w:color w:val="auto"/>
                <w:kern w:val="0"/>
                <w:sz w:val="24"/>
                <w:highlight w:val="none"/>
              </w:rPr>
              <w:t>B不适用</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highlight w:val="none"/>
              </w:rPr>
            </w:pPr>
            <w:r>
              <w:rPr>
                <w:rFonts w:hint="eastAsia" w:ascii="宋体" w:hAnsi="宋体" w:cs="宋体"/>
                <w:bCs/>
                <w:color w:val="auto"/>
                <w:sz w:val="24"/>
                <w:highlight w:val="none"/>
              </w:rPr>
              <w:t>（√）</w:t>
            </w:r>
            <w:r>
              <w:rPr>
                <w:rFonts w:hint="eastAsia" w:ascii="宋体" w:hAnsi="宋体" w:cs="宋体"/>
                <w:color w:val="auto"/>
                <w:sz w:val="24"/>
                <w:szCs w:val="32"/>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kern w:val="0"/>
                <w:sz w:val="24"/>
                <w:highlight w:val="none"/>
              </w:rPr>
              <w:t>B</w:t>
            </w:r>
            <w:r>
              <w:rPr>
                <w:rFonts w:hint="eastAsia" w:ascii="宋体" w:hAnsi="宋体" w:cs="宋体"/>
                <w:bCs/>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bCs/>
                <w:color w:val="auto"/>
                <w:sz w:val="24"/>
                <w:szCs w:val="20"/>
                <w:highlight w:val="none"/>
              </w:rPr>
            </w:pPr>
            <w:r>
              <w:rPr>
                <w:rFonts w:hint="eastAsia" w:ascii="宋体" w:hAnsi="宋体" w:cs="宋体"/>
                <w:bCs/>
                <w:color w:val="auto"/>
                <w:sz w:val="24"/>
                <w:highlight w:val="none"/>
              </w:rPr>
              <w:t>（√）</w:t>
            </w:r>
            <w:r>
              <w:rPr>
                <w:rFonts w:hint="eastAsia" w:ascii="宋体" w:hAnsi="宋体" w:cs="宋体"/>
                <w:bCs/>
                <w:color w:val="auto"/>
                <w:kern w:val="0"/>
                <w:sz w:val="24"/>
                <w:highlight w:val="none"/>
              </w:rPr>
              <w:t>A</w:t>
            </w:r>
            <w:r>
              <w:rPr>
                <w:rFonts w:hint="eastAsia" w:ascii="宋体" w:hAnsi="宋体" w:cs="宋体"/>
                <w:bCs/>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bCs/>
                <w:color w:val="auto"/>
                <w:sz w:val="24"/>
                <w:highlight w:val="none"/>
              </w:rPr>
            </w:pPr>
            <w:r>
              <w:rPr>
                <w:rFonts w:hint="eastAsia" w:ascii="宋体" w:hAnsi="宋体" w:cs="宋体"/>
                <w:bCs/>
                <w:color w:val="auto"/>
                <w:sz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宋体" w:hAnsi="宋体" w:eastAsia="宋体" w:cs="宋体"/>
                <w:color w:val="auto"/>
                <w:highlight w:val="none"/>
                <w:lang w:eastAsia="zh-CN"/>
              </w:rPr>
            </w:pPr>
            <w:r>
              <w:rPr>
                <w:rFonts w:hint="eastAsia" w:ascii="宋体" w:hAnsi="宋体" w:eastAsia="宋体" w:cs="宋体"/>
                <w:b/>
                <w:bCs/>
                <w:color w:val="auto"/>
                <w:highlight w:val="none"/>
              </w:rPr>
              <w:t>现场</w:t>
            </w:r>
            <w:r>
              <w:rPr>
                <w:rFonts w:hint="eastAsia" w:ascii="宋体" w:hAnsi="宋体" w:eastAsia="宋体" w:cs="宋体"/>
                <w:b/>
                <w:bCs/>
                <w:color w:val="auto"/>
                <w:highlight w:val="none"/>
                <w:lang w:eastAsia="zh-CN"/>
              </w:rPr>
              <w:t>演示</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标项</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不组织。</w:t>
            </w:r>
          </w:p>
          <w:p>
            <w:pPr>
              <w:snapToGrid w:val="0"/>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标项</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组织。</w:t>
            </w:r>
          </w:p>
          <w:p>
            <w:pPr>
              <w:spacing w:line="4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1、演示要求：在评标时安排供应商演示人员演示，演示时间</w:t>
            </w:r>
            <w:r>
              <w:rPr>
                <w:rFonts w:hint="eastAsia" w:ascii="宋体" w:hAnsi="宋体" w:eastAsia="宋体" w:cs="宋体"/>
                <w:color w:val="auto"/>
                <w:kern w:val="0"/>
                <w:sz w:val="24"/>
                <w:highlight w:val="none"/>
              </w:rPr>
              <w:t>不超过</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分钟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rPr>
              <w:t>演示人员不超过2人。演示人员如为法定代表人签到时须提供身份证原件、营业执照复印件；演示人员如为授权代表签到时须提供身份证原件、软件演示授权委托书原件（详见招标文件格式范例附件</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rPr>
              <w:t>），否则不予签到，视为放弃演示。按标书解密时间从早到晚的顺序进行演示，演示结束后，评标委员会若有提问的需做解答。</w:t>
            </w:r>
          </w:p>
          <w:p>
            <w:pPr>
              <w:spacing w:line="4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2、签到时间：</w:t>
            </w:r>
            <w:r>
              <w:rPr>
                <w:rFonts w:hint="eastAsia" w:ascii="宋体" w:hAnsi="宋体" w:eastAsia="宋体" w:cs="宋体"/>
                <w:color w:val="auto"/>
                <w:kern w:val="0"/>
                <w:sz w:val="24"/>
                <w:highlight w:val="none"/>
              </w:rPr>
              <w:t>2024年05月</w:t>
            </w:r>
            <w:r>
              <w:rPr>
                <w:rFonts w:hint="eastAsia" w:ascii="宋体" w:hAnsi="宋体" w:eastAsia="宋体" w:cs="宋体"/>
                <w:color w:val="auto"/>
                <w:kern w:val="0"/>
                <w:sz w:val="24"/>
                <w:highlight w:val="none"/>
                <w:lang w:val="en-US" w:eastAsia="zh-CN"/>
              </w:rPr>
              <w:t>07</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13:</w:t>
            </w:r>
            <w:r>
              <w:rPr>
                <w:rFonts w:hint="eastAsia" w:ascii="宋体" w:hAnsi="宋体" w:eastAsia="宋体" w:cs="宋体"/>
                <w:color w:val="auto"/>
                <w:kern w:val="0"/>
                <w:sz w:val="24"/>
                <w:highlight w:val="none"/>
              </w:rPr>
              <w:t>30-</w:t>
            </w:r>
            <w:r>
              <w:rPr>
                <w:rFonts w:hint="eastAsia" w:ascii="宋体" w:hAnsi="宋体" w:eastAsia="宋体" w:cs="宋体"/>
                <w:color w:val="auto"/>
                <w:kern w:val="0"/>
                <w:sz w:val="24"/>
                <w:highlight w:val="none"/>
                <w:lang w:val="en-US" w:eastAsia="zh-CN"/>
              </w:rPr>
              <w:t>14:00</w:t>
            </w:r>
            <w:r>
              <w:rPr>
                <w:rFonts w:hint="eastAsia" w:ascii="宋体" w:hAnsi="宋体" w:eastAsia="宋体" w:cs="宋体"/>
                <w:color w:val="auto"/>
                <w:kern w:val="0"/>
                <w:sz w:val="24"/>
                <w:highlight w:val="none"/>
              </w:rPr>
              <w:t>止</w:t>
            </w:r>
            <w:r>
              <w:rPr>
                <w:rFonts w:hint="eastAsia" w:ascii="宋体" w:hAnsi="宋体" w:eastAsia="宋体" w:cs="宋体"/>
                <w:color w:val="auto"/>
                <w:kern w:val="0"/>
                <w:sz w:val="24"/>
                <w:highlight w:val="none"/>
              </w:rPr>
              <w:t>，签到截止时间同提交投标文件截止时间（开标时间），逾期签到视为放弃演示。</w:t>
            </w:r>
          </w:p>
          <w:p>
            <w:pPr>
              <w:spacing w:line="40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3、签到</w:t>
            </w:r>
            <w:r>
              <w:rPr>
                <w:rFonts w:hint="eastAsia" w:ascii="宋体" w:hAnsi="宋体" w:eastAsia="宋体" w:cs="宋体"/>
                <w:color w:val="auto"/>
                <w:kern w:val="0"/>
                <w:sz w:val="24"/>
                <w:highlight w:val="none"/>
              </w:rPr>
              <w:t>地点：杭州市萧山区金城路433号天汇园一幢A座5楼杭州博望建设工程招标投标代理有限公司开标室。</w:t>
            </w:r>
          </w:p>
          <w:p>
            <w:pPr>
              <w:snapToGrid w:val="0"/>
              <w:spacing w:line="400" w:lineRule="exact"/>
              <w:rPr>
                <w:rFonts w:hint="eastAsia" w:ascii="宋体" w:hAnsi="宋体" w:eastAsia="宋体" w:cs="宋体"/>
                <w:color w:val="auto"/>
                <w:highlight w:val="none"/>
              </w:rPr>
            </w:pPr>
            <w:r>
              <w:rPr>
                <w:rFonts w:hint="eastAsia" w:ascii="宋体" w:hAnsi="宋体" w:eastAsia="宋体" w:cs="宋体"/>
                <w:color w:val="auto"/>
                <w:kern w:val="0"/>
                <w:sz w:val="24"/>
                <w:highlight w:val="none"/>
              </w:rPr>
              <w:t>4、演示所需设备等由供应商自备。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tcBorders>
              <w:top w:val="single" w:color="000000" w:sz="8" w:space="0"/>
              <w:left w:val="single" w:color="auto" w:sz="4"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响应人应当提供的资格证明文件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r>
              <w:rPr>
                <w:rFonts w:hint="eastAsia" w:ascii="宋体" w:hAnsi="宋体" w:cs="宋体"/>
                <w:color w:val="auto"/>
                <w:sz w:val="24"/>
                <w:highlight w:val="none"/>
              </w:rPr>
              <w:t>（1）资格证明文件：见公开竞争文件第二部分10.1。</w:t>
            </w:r>
          </w:p>
          <w:p>
            <w:pPr>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响应人未提供有效的资格证明文件的，视为响应人不具备公开竞争文件中规定的资格要求，交易无效。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auto" w:sz="4" w:space="0"/>
              <w:right w:val="single" w:color="000000" w:sz="8" w:space="0"/>
            </w:tcBorders>
            <w:vAlign w:val="center"/>
          </w:tcPr>
          <w:p>
            <w:pPr>
              <w:snapToGrid w:val="0"/>
              <w:jc w:val="center"/>
              <w:rPr>
                <w:rFonts w:ascii="宋体" w:hAnsi="宋体" w:cs="宋体"/>
                <w:bCs/>
                <w:color w:val="auto"/>
                <w:sz w:val="24"/>
                <w:highlight w:val="none"/>
              </w:rPr>
            </w:pPr>
            <w:r>
              <w:rPr>
                <w:rFonts w:hint="eastAsia" w:ascii="宋体" w:hAnsi="宋体" w:cs="宋体"/>
                <w:b/>
                <w:color w:val="auto"/>
                <w:sz w:val="24"/>
                <w:highlight w:val="none"/>
              </w:rPr>
              <w:t>报价要求</w:t>
            </w:r>
          </w:p>
        </w:tc>
        <w:tc>
          <w:tcPr>
            <w:tcW w:w="6706"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有关本项目实施所需的所有费用（含税费）均计入报价。</w:t>
            </w:r>
            <w:r>
              <w:rPr>
                <w:rFonts w:hint="eastAsia" w:ascii="宋体" w:hAnsi="宋体" w:cs="宋体"/>
                <w:bCs/>
                <w:color w:val="auto"/>
                <w:kern w:val="0"/>
                <w:sz w:val="24"/>
                <w:highlight w:val="none"/>
              </w:rPr>
              <w:t>交易一览表（报价表）是报价的唯一载体</w:t>
            </w:r>
            <w:r>
              <w:rPr>
                <w:rFonts w:hint="eastAsia" w:ascii="宋体" w:hAnsi="宋体" w:cs="宋体"/>
                <w:bCs/>
                <w:color w:val="auto"/>
                <w:kern w:val="0"/>
                <w:sz w:val="24"/>
                <w:highlight w:val="none"/>
                <w:lang w:val="zh-CN"/>
              </w:rPr>
              <w:t>。响应文件中价格全部采用人民币报价。公开竞争文件未列明，而响应人认为必需的费用也需列入报价。</w:t>
            </w:r>
          </w:p>
          <w:p>
            <w:pPr>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交易报价出现下列情形的，交易无效：</w:t>
            </w:r>
          </w:p>
          <w:p>
            <w:pPr>
              <w:ind w:firstLine="480" w:firstLineChars="20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响应文件出现不是唯一的、有选择性交易报价的；</w:t>
            </w:r>
          </w:p>
          <w:p>
            <w:pPr>
              <w:ind w:firstLine="480" w:firstLineChars="20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交易报价超过公开竞争文件中规定的预算金额或者最高限价的；</w:t>
            </w:r>
          </w:p>
          <w:p>
            <w:pPr>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报价明显低于其他通过符合性审查响应人的报价，有可能影响产品质量或者不能诚信履约的，未能按要求提供书面说明或者提交相关证明材料证明其报价合理性的；</w:t>
            </w:r>
          </w:p>
          <w:p>
            <w:pPr>
              <w:ind w:firstLine="480" w:firstLineChars="200"/>
              <w:rPr>
                <w:rFonts w:ascii="宋体" w:hAnsi="宋体" w:cs="宋体"/>
                <w:color w:val="auto"/>
                <w:kern w:val="0"/>
                <w:sz w:val="24"/>
                <w:highlight w:val="none"/>
                <w:lang w:val="zh-CN"/>
              </w:rPr>
            </w:pPr>
            <w:r>
              <w:rPr>
                <w:rFonts w:hint="eastAsia" w:ascii="宋体" w:hAnsi="宋体" w:cs="宋体"/>
                <w:bCs/>
                <w:color w:val="auto"/>
                <w:kern w:val="0"/>
                <w:sz w:val="24"/>
                <w:highlight w:val="none"/>
              </w:rPr>
              <w:t>响应人对根据修正原则修正后的报价不确认的。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备份响应文件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pStyle w:val="35"/>
              <w:ind w:hanging="4"/>
              <w:rPr>
                <w:rFonts w:hAnsi="宋体" w:cs="宋体"/>
                <w:color w:val="auto"/>
                <w:kern w:val="28"/>
                <w:sz w:val="24"/>
                <w:szCs w:val="24"/>
                <w:highlight w:val="none"/>
              </w:rPr>
            </w:pPr>
            <w:r>
              <w:rPr>
                <w:rFonts w:hint="eastAsia" w:hAnsi="宋体" w:cs="宋体"/>
                <w:color w:val="auto"/>
                <w:kern w:val="28"/>
                <w:sz w:val="24"/>
                <w:szCs w:val="24"/>
                <w:highlight w:val="none"/>
              </w:rPr>
              <w:t>备份文件是否收取：不收取。</w:t>
            </w:r>
          </w:p>
          <w:p>
            <w:pPr>
              <w:pStyle w:val="35"/>
              <w:ind w:hanging="4"/>
              <w:rPr>
                <w:rFonts w:hAnsi="宋体" w:cs="宋体"/>
                <w:color w:val="auto"/>
                <w:kern w:val="28"/>
                <w:sz w:val="24"/>
                <w:szCs w:val="24"/>
                <w:highlight w:val="none"/>
              </w:rPr>
            </w:pPr>
            <w:r>
              <w:rPr>
                <w:rFonts w:hint="eastAsia" w:hAnsi="宋体" w:cs="宋体"/>
                <w:b/>
                <w:color w:val="auto"/>
                <w:sz w:val="24"/>
                <w:highlight w:val="none"/>
              </w:rPr>
              <w:t>成交单位在成交后提供纸质响应文件一正二副。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代理机构代理费用</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本项目采购代理费由</w:t>
            </w:r>
            <w:r>
              <w:rPr>
                <w:rFonts w:hint="eastAsia" w:ascii="宋体" w:hAnsi="宋体" w:cs="宋体"/>
                <w:bCs/>
                <w:color w:val="auto"/>
                <w:kern w:val="0"/>
                <w:sz w:val="24"/>
                <w:highlight w:val="none"/>
              </w:rPr>
              <w:t>各标项</w:t>
            </w:r>
            <w:r>
              <w:rPr>
                <w:rFonts w:hint="eastAsia" w:ascii="宋体" w:hAnsi="宋体" w:cs="宋体"/>
                <w:bCs/>
                <w:color w:val="auto"/>
                <w:kern w:val="0"/>
                <w:sz w:val="24"/>
                <w:highlight w:val="none"/>
                <w:lang w:val="zh-CN"/>
              </w:rPr>
              <w:t>成交人支付。本次招标委托代理费按国家发展计划委员会的计价格[2002]1980号文件服务类收费标准下浮</w:t>
            </w:r>
            <w:r>
              <w:rPr>
                <w:rFonts w:hint="eastAsia" w:ascii="宋体" w:hAnsi="宋体" w:cs="宋体"/>
                <w:bCs/>
                <w:color w:val="auto"/>
                <w:kern w:val="0"/>
                <w:sz w:val="24"/>
                <w:highlight w:val="none"/>
              </w:rPr>
              <w:t>50</w:t>
            </w:r>
            <w:r>
              <w:rPr>
                <w:rFonts w:hint="eastAsia" w:ascii="宋体" w:hAnsi="宋体" w:cs="宋体"/>
                <w:bCs/>
                <w:color w:val="auto"/>
                <w:kern w:val="0"/>
                <w:sz w:val="24"/>
                <w:highlight w:val="none"/>
                <w:lang w:val="zh-CN"/>
              </w:rPr>
              <w:t>%结算收取（不足</w:t>
            </w:r>
            <w:r>
              <w:rPr>
                <w:rFonts w:hint="eastAsia" w:ascii="宋体" w:hAnsi="宋体" w:cs="宋体"/>
                <w:bCs/>
                <w:color w:val="auto"/>
                <w:kern w:val="0"/>
                <w:sz w:val="24"/>
                <w:highlight w:val="none"/>
              </w:rPr>
              <w:t>2000按2000元）</w:t>
            </w:r>
            <w:r>
              <w:rPr>
                <w:rFonts w:hint="eastAsia" w:ascii="宋体" w:hAnsi="宋体" w:cs="宋体"/>
                <w:bCs/>
                <w:color w:val="auto"/>
                <w:kern w:val="0"/>
                <w:sz w:val="24"/>
                <w:highlight w:val="none"/>
                <w:lang w:val="zh-CN"/>
              </w:rPr>
              <w:t>。</w:t>
            </w:r>
          </w:p>
          <w:p>
            <w:pPr>
              <w:snapToGrid w:val="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服务费缴纳账号：</w:t>
            </w:r>
          </w:p>
          <w:p>
            <w:pPr>
              <w:snapToGrid w:val="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开户银行：上海浦东发展银行萧山支行</w:t>
            </w:r>
          </w:p>
          <w:p>
            <w:pPr>
              <w:snapToGrid w:val="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帐户名称：杭州博望建设工程招标投标代理有限公司</w:t>
            </w:r>
          </w:p>
          <w:p>
            <w:pPr>
              <w:snapToGrid w:val="0"/>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银行帐号：95070154740001005</w:t>
            </w:r>
          </w:p>
          <w:p>
            <w:pPr>
              <w:snapToGrid w:val="0"/>
              <w:rPr>
                <w:rFonts w:ascii="宋体" w:hAnsi="宋体" w:cs="宋体"/>
                <w:bCs/>
                <w:color w:val="auto"/>
                <w:kern w:val="0"/>
                <w:sz w:val="24"/>
                <w:highlight w:val="none"/>
              </w:rPr>
            </w:pPr>
            <w:r>
              <w:rPr>
                <w:rFonts w:hint="eastAsia" w:ascii="宋体" w:hAnsi="宋体" w:cs="宋体"/>
                <w:bCs/>
                <w:color w:val="auto"/>
                <w:kern w:val="0"/>
                <w:sz w:val="24"/>
                <w:highlight w:val="none"/>
                <w:lang w:val="zh-CN"/>
              </w:rPr>
              <w:t>联系电话：0571-82373980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
                <w:color w:val="auto"/>
                <w:sz w:val="24"/>
                <w:highlight w:val="none"/>
              </w:rPr>
            </w:pPr>
            <w:r>
              <w:rPr>
                <w:rFonts w:hint="eastAsia" w:ascii="宋体" w:hAnsi="宋体" w:cs="宋体"/>
                <w:bCs/>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履约保证金</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bCs/>
                <w:color w:val="auto"/>
                <w:kern w:val="0"/>
                <w:sz w:val="24"/>
                <w:highlight w:val="none"/>
              </w:rPr>
            </w:pPr>
            <w:r>
              <w:rPr>
                <w:rFonts w:hint="eastAsia" w:ascii="宋体" w:hAnsi="宋体" w:cs="宋体"/>
                <w:bCs/>
                <w:color w:val="auto"/>
                <w:kern w:val="0"/>
                <w:sz w:val="24"/>
                <w:highlight w:val="none"/>
              </w:rPr>
              <w:t>履约保证金：不收取。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资格审查和信用信息审查</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bCs/>
                <w:color w:val="auto"/>
                <w:kern w:val="0"/>
                <w:sz w:val="24"/>
                <w:highlight w:val="none"/>
              </w:rPr>
            </w:pPr>
            <w:r>
              <w:rPr>
                <w:rFonts w:hint="eastAsia" w:ascii="宋体" w:hAnsi="宋体" w:cs="宋体"/>
                <w:bCs/>
                <w:color w:val="auto"/>
                <w:kern w:val="0"/>
                <w:sz w:val="24"/>
                <w:highlight w:val="none"/>
              </w:rPr>
              <w:t>本项目由交易发起人进行资格文件及信用信息查询。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2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Cs/>
                <w:color w:val="auto"/>
                <w:sz w:val="24"/>
                <w:highlight w:val="none"/>
              </w:rPr>
            </w:pPr>
            <w:r>
              <w:rPr>
                <w:rFonts w:hint="eastAsia" w:ascii="宋体" w:hAnsi="宋体" w:cs="宋体"/>
                <w:bCs/>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异议接收人及答复</w:t>
            </w:r>
          </w:p>
        </w:tc>
        <w:tc>
          <w:tcPr>
            <w:tcW w:w="6706" w:type="dxa"/>
            <w:tcBorders>
              <w:top w:val="single" w:color="000000" w:sz="8" w:space="0"/>
              <w:left w:val="single" w:color="000000" w:sz="2" w:space="0"/>
              <w:bottom w:val="single" w:color="000000" w:sz="8" w:space="0"/>
              <w:right w:val="single" w:color="000000" w:sz="8" w:space="0"/>
            </w:tcBorders>
            <w:vAlign w:val="center"/>
          </w:tcPr>
          <w:p>
            <w:pPr>
              <w:snapToGrid w:val="0"/>
              <w:spacing w:line="500" w:lineRule="exact"/>
              <w:rPr>
                <w:rFonts w:ascii="宋体" w:hAnsi="宋体" w:cs="宋体"/>
                <w:color w:val="auto"/>
                <w:sz w:val="24"/>
                <w:highlight w:val="none"/>
              </w:rPr>
            </w:pPr>
            <w:r>
              <w:rPr>
                <w:rFonts w:hint="eastAsia" w:ascii="宋体" w:hAnsi="宋体" w:cs="宋体"/>
                <w:color w:val="auto"/>
                <w:sz w:val="24"/>
                <w:highlight w:val="none"/>
              </w:rPr>
              <w:t>代理机构异议接收人：</w:t>
            </w:r>
            <w:r>
              <w:rPr>
                <w:rFonts w:hint="eastAsia" w:ascii="宋体" w:hAnsi="宋体" w:cs="宋体"/>
                <w:color w:val="auto"/>
                <w:sz w:val="24"/>
                <w:highlight w:val="none"/>
                <w:u w:val="single"/>
              </w:rPr>
              <w:t>范梦迪</w:t>
            </w:r>
            <w:r>
              <w:rPr>
                <w:rFonts w:hint="eastAsia" w:ascii="宋体" w:hAnsi="宋体" w:cs="宋体"/>
                <w:color w:val="auto"/>
                <w:sz w:val="24"/>
                <w:highlight w:val="none"/>
              </w:rPr>
              <w:t xml:space="preserve"> 联系方式：</w:t>
            </w:r>
            <w:r>
              <w:rPr>
                <w:rFonts w:hint="eastAsia" w:ascii="宋体" w:hAnsi="宋体" w:cs="宋体"/>
                <w:color w:val="auto"/>
                <w:sz w:val="24"/>
                <w:highlight w:val="none"/>
                <w:u w:val="single"/>
              </w:rPr>
              <w:t>0571-83881208</w:t>
            </w:r>
          </w:p>
          <w:p>
            <w:pPr>
              <w:snapToGrid w:val="0"/>
              <w:spacing w:line="500" w:lineRule="exact"/>
              <w:rPr>
                <w:rFonts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rPr>
              <w:t>杭州市萧山区金城路433号天汇园一幢A座5楼</w:t>
            </w:r>
          </w:p>
          <w:p>
            <w:pPr>
              <w:snapToGrid w:val="0"/>
              <w:spacing w:line="500" w:lineRule="exact"/>
              <w:rPr>
                <w:rFonts w:ascii="宋体" w:hAnsi="宋体" w:cs="宋体"/>
                <w:color w:val="auto"/>
                <w:sz w:val="24"/>
                <w:highlight w:val="none"/>
              </w:rPr>
            </w:pPr>
            <w:r>
              <w:rPr>
                <w:rFonts w:hint="eastAsia" w:ascii="宋体" w:hAnsi="宋体" w:cs="宋体"/>
                <w:color w:val="auto"/>
                <w:sz w:val="24"/>
                <w:highlight w:val="none"/>
              </w:rPr>
              <w:t>邮箱：</w:t>
            </w:r>
            <w:r>
              <w:rPr>
                <w:color w:val="auto"/>
                <w:highlight w:val="none"/>
              </w:rPr>
              <w:fldChar w:fldCharType="begin"/>
            </w:r>
            <w:r>
              <w:rPr>
                <w:color w:val="auto"/>
                <w:highlight w:val="none"/>
              </w:rPr>
              <w:instrText xml:space="preserve"> HYPERLINK "mailto:382733636@qq.com" </w:instrText>
            </w:r>
            <w:r>
              <w:rPr>
                <w:color w:val="auto"/>
                <w:highlight w:val="none"/>
              </w:rPr>
              <w:fldChar w:fldCharType="separate"/>
            </w:r>
            <w:r>
              <w:rPr>
                <w:rFonts w:hint="eastAsia" w:ascii="仿宋" w:hAnsi="仿宋" w:eastAsia="仿宋" w:cs="仿宋"/>
                <w:color w:val="auto"/>
                <w:sz w:val="24"/>
                <w:highlight w:val="none"/>
                <w:u w:val="single"/>
              </w:rPr>
              <w:t>492477800@qq.com</w:t>
            </w:r>
            <w:r>
              <w:rPr>
                <w:rFonts w:hint="eastAsia" w:ascii="仿宋" w:hAnsi="仿宋" w:eastAsia="仿宋" w:cs="仿宋"/>
                <w:color w:val="auto"/>
                <w:sz w:val="24"/>
                <w:highlight w:val="none"/>
                <w:u w:val="single"/>
              </w:rPr>
              <w:fldChar w:fldCharType="end"/>
            </w:r>
          </w:p>
          <w:p>
            <w:pPr>
              <w:snapToGrid w:val="0"/>
              <w:spacing w:line="400" w:lineRule="exact"/>
              <w:rPr>
                <w:rFonts w:ascii="宋体" w:hAnsi="宋体" w:cs="宋体"/>
                <w:b/>
                <w:color w:val="auto"/>
                <w:sz w:val="24"/>
                <w:highlight w:val="none"/>
              </w:rPr>
            </w:pPr>
            <w:r>
              <w:rPr>
                <w:rFonts w:hint="eastAsia" w:ascii="宋体" w:hAnsi="宋体" w:cs="宋体"/>
                <w:b/>
                <w:color w:val="auto"/>
                <w:sz w:val="24"/>
                <w:highlight w:val="none"/>
              </w:rPr>
              <w:t>如通过邮箱方式发送异议，须提交符合法规及公开竞争文件要求的异议文件（参考附件1），盖章扫描后发送，异议的受理按答复主体划分以交易发起人或代理机构邮箱回复确认受理为准。</w:t>
            </w:r>
          </w:p>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本项目涉及资格条件、交易需求、评分办法及交易过程中有关现场考察或开标前答疑会事项由交易发起人进行答复。</w:t>
            </w:r>
          </w:p>
          <w:p>
            <w:pPr>
              <w:pStyle w:val="35"/>
              <w:spacing w:line="400" w:lineRule="exact"/>
              <w:ind w:hanging="4"/>
              <w:rPr>
                <w:rFonts w:hAnsi="宋体" w:cs="宋体"/>
                <w:color w:val="auto"/>
                <w:sz w:val="24"/>
                <w:highlight w:val="none"/>
              </w:rPr>
            </w:pPr>
            <w:r>
              <w:rPr>
                <w:rFonts w:hint="eastAsia" w:hAnsi="宋体" w:cs="宋体"/>
                <w:color w:val="auto"/>
                <w:sz w:val="24"/>
                <w:highlight w:val="none"/>
              </w:rPr>
              <w:t>涉及流程组织等相关事项，由代理机构进行答复。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特别说明</w:t>
            </w:r>
          </w:p>
        </w:tc>
        <w:tc>
          <w:tcPr>
            <w:tcW w:w="6706"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auto"/>
                <w:kern w:val="28"/>
                <w:sz w:val="24"/>
                <w:highlight w:val="none"/>
              </w:rPr>
            </w:pPr>
            <w:r>
              <w:rPr>
                <w:rFonts w:hint="eastAsia" w:ascii="宋体" w:hAnsi="宋体" w:cs="宋体"/>
                <w:b/>
                <w:color w:val="auto"/>
                <w:sz w:val="24"/>
                <w:highlight w:val="none"/>
              </w:rPr>
              <w:t>本项目通用总则条款与前附表等专用特别规定有冲突之处，以专用条款（特别规定）为准。</w:t>
            </w:r>
          </w:p>
        </w:tc>
      </w:tr>
      <w:bookmarkEnd w:id="9"/>
    </w:tbl>
    <w:p>
      <w:pPr>
        <w:rPr>
          <w:rFonts w:ascii="宋体" w:hAnsi="宋体" w:cs="宋体"/>
          <w:b/>
          <w:color w:val="auto"/>
          <w:sz w:val="32"/>
          <w:szCs w:val="20"/>
          <w:highlight w:val="none"/>
        </w:rPr>
      </w:pPr>
      <w:bookmarkStart w:id="12" w:name="第三部分"/>
      <w:bookmarkStart w:id="13" w:name="_Toc164416483"/>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460" w:lineRule="exact"/>
        <w:jc w:val="left"/>
        <w:outlineLvl w:val="1"/>
        <w:rPr>
          <w:rFonts w:ascii="宋体" w:hAnsi="宋体" w:cs="宋体"/>
          <w:b/>
          <w:color w:val="auto"/>
          <w:sz w:val="24"/>
          <w:highlight w:val="none"/>
        </w:rPr>
      </w:pPr>
      <w:r>
        <w:rPr>
          <w:rFonts w:hint="eastAsia" w:ascii="宋体" w:hAnsi="宋体" w:cs="宋体"/>
          <w:b/>
          <w:color w:val="auto"/>
          <w:sz w:val="24"/>
          <w:highlight w:val="none"/>
        </w:rPr>
        <w:t>1.适用范围</w:t>
      </w:r>
    </w:p>
    <w:p>
      <w:pPr>
        <w:snapToGrid w:val="0"/>
        <w:spacing w:line="460" w:lineRule="exact"/>
        <w:ind w:firstLine="420" w:firstLineChars="175"/>
        <w:jc w:val="left"/>
        <w:rPr>
          <w:rFonts w:ascii="宋体" w:hAnsi="宋体" w:cs="宋体"/>
          <w:color w:val="auto"/>
          <w:sz w:val="24"/>
          <w:highlight w:val="none"/>
        </w:rPr>
      </w:pPr>
      <w:r>
        <w:rPr>
          <w:rFonts w:hint="eastAsia" w:ascii="宋体" w:hAnsi="宋体" w:cs="宋体"/>
          <w:color w:val="auto"/>
          <w:sz w:val="24"/>
          <w:highlight w:val="none"/>
        </w:rPr>
        <w:t>本公开竞争文件适用于该项目的交易、响应、评审、资格审查及信用信息查询、评审、定标、合同、验收等行为（法律、法规另有规定的，从其规定）。</w:t>
      </w:r>
    </w:p>
    <w:p>
      <w:pPr>
        <w:adjustRightInd/>
        <w:spacing w:line="460" w:lineRule="exact"/>
        <w:outlineLvl w:val="0"/>
        <w:rPr>
          <w:rFonts w:ascii="宋体" w:hAnsi="宋体" w:cs="宋体"/>
          <w:b/>
          <w:color w:val="auto"/>
          <w:sz w:val="24"/>
          <w:highlight w:val="none"/>
        </w:rPr>
      </w:pPr>
      <w:r>
        <w:rPr>
          <w:rFonts w:hint="eastAsia" w:ascii="宋体" w:hAnsi="宋体" w:cs="宋体"/>
          <w:b/>
          <w:color w:val="auto"/>
          <w:sz w:val="24"/>
          <w:highlight w:val="none"/>
        </w:rPr>
        <w:t>2.定义</w:t>
      </w:r>
    </w:p>
    <w:p>
      <w:pPr>
        <w:spacing w:line="46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2.1“交易发起人”系指交易公告中载明的本项目的交易发起人。</w:t>
      </w:r>
    </w:p>
    <w:p>
      <w:pPr>
        <w:spacing w:line="46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2.2“代理机构”系指交易公告中载明的本项目的代理机构。</w:t>
      </w:r>
    </w:p>
    <w:p>
      <w:pPr>
        <w:spacing w:line="46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2.3“响应人”系指响应招标、参加投标竞争的法人、其他组织或者自然人。</w:t>
      </w:r>
    </w:p>
    <w:p>
      <w:pPr>
        <w:spacing w:line="46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2.4“负责人”系指法人企业的法定负责人，或其他组织为法律、行政法规规定代表单位行使职权的主要负责人，或自然人本人。</w:t>
      </w:r>
    </w:p>
    <w:p>
      <w:pPr>
        <w:spacing w:line="46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响应人电子签名指响应人电子公章；“公章”系指单位法定名称章。因特殊原因需要使用冠以法定名称的业务专用章的，响应时须提供《业务专用章使用说明函》（附件3）。</w:t>
      </w:r>
    </w:p>
    <w:p>
      <w:pPr>
        <w:spacing w:line="460" w:lineRule="exact"/>
        <w:ind w:firstLine="420" w:firstLineChars="175"/>
        <w:jc w:val="left"/>
        <w:rPr>
          <w:rFonts w:ascii="宋体" w:hAnsi="宋体" w:cs="宋体"/>
          <w:color w:val="auto"/>
          <w:sz w:val="24"/>
          <w:highlight w:val="none"/>
        </w:rPr>
      </w:pPr>
      <w:r>
        <w:rPr>
          <w:rFonts w:hint="eastAsia" w:ascii="宋体" w:hAnsi="宋体" w:cs="宋体"/>
          <w:color w:val="auto"/>
          <w:sz w:val="24"/>
          <w:highlight w:val="none"/>
        </w:rPr>
        <w:t>2.6“电子交易平台”是指本项目交易活动所依托的政府采购云平台（https://www.zcygov.cn/）。</w:t>
      </w:r>
    </w:p>
    <w:p>
      <w:pPr>
        <w:spacing w:line="460" w:lineRule="exact"/>
        <w:ind w:firstLine="420" w:firstLineChars="175"/>
        <w:rPr>
          <w:rFonts w:ascii="宋体" w:hAnsi="宋体" w:cs="宋体"/>
          <w:color w:val="auto"/>
          <w:sz w:val="24"/>
          <w:highlight w:val="none"/>
        </w:rPr>
      </w:pPr>
      <w:r>
        <w:rPr>
          <w:rFonts w:hint="eastAsia" w:ascii="宋体" w:hAnsi="宋体" w:cs="宋体"/>
          <w:color w:val="auto"/>
          <w:sz w:val="24"/>
          <w:highlight w:val="none"/>
        </w:rPr>
        <w:t>2.7“▲” 系指实质性要求条款，“（</w:t>
      </w:r>
      <w:r>
        <w:rPr>
          <w:rFonts w:hint="eastAsia" w:ascii="宋体" w:hAnsi="宋体" w:cs="宋体"/>
          <w:bCs/>
          <w:color w:val="auto"/>
          <w:sz w:val="24"/>
          <w:highlight w:val="none"/>
        </w:rPr>
        <w:t>√</w:t>
      </w:r>
      <w:r>
        <w:rPr>
          <w:rFonts w:hint="eastAsia" w:ascii="宋体" w:hAnsi="宋体" w:cs="宋体"/>
          <w:color w:val="auto"/>
          <w:sz w:val="24"/>
          <w:highlight w:val="none"/>
        </w:rPr>
        <w:t>）” 系指适用本项目的要求，“（  ）”系指不适用本项目的要求。</w:t>
      </w:r>
    </w:p>
    <w:p>
      <w:pPr>
        <w:spacing w:line="460" w:lineRule="exact"/>
        <w:rPr>
          <w:rFonts w:ascii="宋体" w:hAnsi="宋体" w:cs="宋体"/>
          <w:b/>
          <w:color w:val="auto"/>
          <w:sz w:val="24"/>
          <w:highlight w:val="none"/>
        </w:rPr>
      </w:pPr>
      <w:r>
        <w:rPr>
          <w:rFonts w:hint="eastAsia" w:ascii="宋体" w:hAnsi="宋体" w:cs="宋体"/>
          <w:b/>
          <w:color w:val="auto"/>
          <w:sz w:val="24"/>
          <w:highlight w:val="none"/>
        </w:rPr>
        <w:t>3.异议、投诉</w:t>
      </w:r>
    </w:p>
    <w:p>
      <w:pPr>
        <w:autoSpaceDE w:val="0"/>
        <w:autoSpaceDN w:val="0"/>
        <w:spacing w:line="460" w:lineRule="exact"/>
        <w:ind w:firstLine="420" w:firstLineChars="175"/>
        <w:jc w:val="left"/>
        <w:rPr>
          <w:rFonts w:ascii="宋体" w:hAnsi="宋体" w:cs="宋体"/>
          <w:color w:val="auto"/>
          <w:kern w:val="0"/>
          <w:sz w:val="24"/>
          <w:highlight w:val="none"/>
          <w:lang w:val="zh-CN"/>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val="zh-CN"/>
        </w:rPr>
        <w:t>.1响应人异议</w:t>
      </w:r>
    </w:p>
    <w:p>
      <w:pPr>
        <w:autoSpaceDE w:val="0"/>
        <w:autoSpaceDN w:val="0"/>
        <w:spacing w:line="460" w:lineRule="exact"/>
        <w:ind w:firstLine="420" w:firstLineChars="175"/>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响应人对</w:t>
      </w:r>
      <w:r>
        <w:rPr>
          <w:rFonts w:hint="eastAsia" w:ascii="宋体" w:hAnsi="宋体" w:cs="宋体"/>
          <w:color w:val="auto"/>
          <w:kern w:val="0"/>
          <w:sz w:val="24"/>
          <w:highlight w:val="none"/>
        </w:rPr>
        <w:t>交易</w:t>
      </w:r>
      <w:r>
        <w:rPr>
          <w:rFonts w:hint="eastAsia" w:ascii="宋体" w:hAnsi="宋体" w:cs="宋体"/>
          <w:color w:val="auto"/>
          <w:kern w:val="0"/>
          <w:sz w:val="24"/>
          <w:highlight w:val="none"/>
          <w:lang w:val="zh-CN"/>
        </w:rPr>
        <w:t>活动事项有疑问的，可以提出异议，交易发起人或者代理机构应当在3日内对响应人依法提出的询问作出答复，但答复的内容不得涉及商业秘密。响应人提出的询问超出交易发起人对代理机构委托授权范围的，代理机构应当告知响应人向交易发起人提出。</w:t>
      </w:r>
    </w:p>
    <w:p>
      <w:pPr>
        <w:autoSpaceDE w:val="0"/>
        <w:autoSpaceDN w:val="0"/>
        <w:spacing w:line="460" w:lineRule="exact"/>
        <w:ind w:firstLine="420" w:firstLineChars="175"/>
        <w:jc w:val="left"/>
        <w:rPr>
          <w:rFonts w:ascii="宋体" w:hAnsi="宋体" w:cs="宋体"/>
          <w:color w:val="auto"/>
          <w:kern w:val="0"/>
          <w:sz w:val="24"/>
          <w:highlight w:val="none"/>
          <w:lang w:val="zh-CN"/>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val="zh-CN"/>
        </w:rPr>
        <w:t>.2响应人异议</w:t>
      </w:r>
    </w:p>
    <w:p>
      <w:pPr>
        <w:pStyle w:val="35"/>
        <w:spacing w:line="460" w:lineRule="exact"/>
        <w:ind w:firstLine="420" w:firstLineChars="175"/>
        <w:rPr>
          <w:rFonts w:hAnsi="宋体" w:cs="宋体"/>
          <w:color w:val="auto"/>
          <w:sz w:val="24"/>
          <w:highlight w:val="none"/>
        </w:rPr>
      </w:pPr>
      <w:r>
        <w:rPr>
          <w:rFonts w:hint="eastAsia" w:hAnsi="宋体" w:cs="宋体"/>
          <w:color w:val="auto"/>
          <w:kern w:val="0"/>
          <w:sz w:val="24"/>
          <w:highlight w:val="none"/>
        </w:rPr>
        <w:t>3</w:t>
      </w:r>
      <w:r>
        <w:rPr>
          <w:rFonts w:hint="eastAsia" w:hAnsi="宋体" w:cs="宋体"/>
          <w:color w:val="auto"/>
          <w:kern w:val="0"/>
          <w:sz w:val="24"/>
          <w:highlight w:val="none"/>
          <w:lang w:val="zh-CN"/>
        </w:rPr>
        <w:t>.2</w:t>
      </w:r>
      <w:r>
        <w:rPr>
          <w:rFonts w:hint="eastAsia" w:hAnsi="宋体" w:cs="宋体"/>
          <w:color w:val="auto"/>
          <w:sz w:val="24"/>
          <w:highlight w:val="none"/>
        </w:rPr>
        <w:t>.1提出</w:t>
      </w:r>
      <w:r>
        <w:rPr>
          <w:rFonts w:hint="eastAsia" w:hAnsi="宋体" w:cs="宋体"/>
          <w:color w:val="auto"/>
          <w:kern w:val="0"/>
          <w:sz w:val="24"/>
          <w:highlight w:val="none"/>
          <w:lang w:val="zh-CN"/>
        </w:rPr>
        <w:t>异议</w:t>
      </w:r>
      <w:r>
        <w:rPr>
          <w:rFonts w:hint="eastAsia" w:hAnsi="宋体" w:cs="宋体"/>
          <w:color w:val="auto"/>
          <w:sz w:val="24"/>
          <w:highlight w:val="none"/>
        </w:rPr>
        <w:t>的响应人应当是参与所质</w:t>
      </w:r>
      <w:r>
        <w:rPr>
          <w:rFonts w:hint="eastAsia" w:hAnsi="宋体" w:cs="宋体"/>
          <w:color w:val="auto"/>
          <w:kern w:val="0"/>
          <w:sz w:val="24"/>
          <w:highlight w:val="none"/>
          <w:lang w:val="zh-CN"/>
        </w:rPr>
        <w:t>异议</w:t>
      </w:r>
      <w:r>
        <w:rPr>
          <w:rFonts w:hint="eastAsia" w:hAnsi="宋体" w:cs="宋体"/>
          <w:color w:val="auto"/>
          <w:sz w:val="24"/>
          <w:highlight w:val="none"/>
        </w:rPr>
        <w:t>项目交易活动的响应人。潜在响应人已依法获取其可</w:t>
      </w:r>
      <w:r>
        <w:rPr>
          <w:rFonts w:hint="eastAsia" w:hAnsi="宋体" w:cs="宋体"/>
          <w:color w:val="auto"/>
          <w:kern w:val="0"/>
          <w:sz w:val="24"/>
          <w:highlight w:val="none"/>
          <w:lang w:val="zh-CN"/>
        </w:rPr>
        <w:t>异议</w:t>
      </w:r>
      <w:r>
        <w:rPr>
          <w:rFonts w:hint="eastAsia" w:hAnsi="宋体" w:cs="宋体"/>
          <w:color w:val="auto"/>
          <w:sz w:val="24"/>
          <w:highlight w:val="none"/>
        </w:rPr>
        <w:t>的公开竞争文件的，可以对该文件提出</w:t>
      </w:r>
      <w:r>
        <w:rPr>
          <w:rFonts w:hint="eastAsia" w:hAnsi="宋体" w:cs="宋体"/>
          <w:color w:val="auto"/>
          <w:kern w:val="0"/>
          <w:sz w:val="24"/>
          <w:highlight w:val="none"/>
          <w:lang w:val="zh-CN"/>
        </w:rPr>
        <w:t>异议</w:t>
      </w:r>
      <w:r>
        <w:rPr>
          <w:rFonts w:hint="eastAsia" w:hAnsi="宋体" w:cs="宋体"/>
          <w:color w:val="auto"/>
          <w:sz w:val="24"/>
          <w:highlight w:val="none"/>
        </w:rPr>
        <w:t>。</w:t>
      </w:r>
    </w:p>
    <w:p>
      <w:pPr>
        <w:pStyle w:val="35"/>
        <w:spacing w:line="460" w:lineRule="exact"/>
        <w:ind w:firstLine="420" w:firstLineChars="175"/>
        <w:rPr>
          <w:rFonts w:hAnsi="宋体" w:cs="宋体"/>
          <w:color w:val="auto"/>
          <w:sz w:val="24"/>
          <w:highlight w:val="none"/>
        </w:rPr>
      </w:pPr>
      <w:r>
        <w:rPr>
          <w:rFonts w:hint="eastAsia" w:hAnsi="宋体" w:cs="宋体"/>
          <w:color w:val="auto"/>
          <w:kern w:val="0"/>
          <w:sz w:val="24"/>
          <w:highlight w:val="none"/>
        </w:rPr>
        <w:t>3</w:t>
      </w:r>
      <w:r>
        <w:rPr>
          <w:rFonts w:hint="eastAsia" w:hAnsi="宋体" w:cs="宋体"/>
          <w:color w:val="auto"/>
          <w:kern w:val="0"/>
          <w:sz w:val="24"/>
          <w:highlight w:val="none"/>
          <w:lang w:val="zh-CN"/>
        </w:rPr>
        <w:t>.2</w:t>
      </w:r>
      <w:r>
        <w:rPr>
          <w:rFonts w:hint="eastAsia" w:hAnsi="宋体" w:cs="宋体"/>
          <w:color w:val="auto"/>
          <w:sz w:val="24"/>
          <w:highlight w:val="none"/>
        </w:rPr>
        <w:t>.2响应人认为公开竞争文件、交易过程和成交结果使自己的权益受到损害的，可以在知道或者应知其权益受到损害之日起3日内，以书面形式向交易发起人或者代理机构提出</w:t>
      </w:r>
      <w:r>
        <w:rPr>
          <w:rFonts w:hint="eastAsia" w:hAnsi="宋体" w:cs="宋体"/>
          <w:color w:val="auto"/>
          <w:kern w:val="0"/>
          <w:sz w:val="24"/>
          <w:highlight w:val="none"/>
          <w:lang w:val="zh-CN"/>
        </w:rPr>
        <w:t>异议</w:t>
      </w:r>
      <w:r>
        <w:rPr>
          <w:rFonts w:hint="eastAsia" w:hAnsi="宋体" w:cs="宋体"/>
          <w:color w:val="auto"/>
          <w:sz w:val="24"/>
          <w:highlight w:val="none"/>
        </w:rPr>
        <w:t>，否则，交易发起人或者代理机构不予受理：</w:t>
      </w:r>
    </w:p>
    <w:p>
      <w:pPr>
        <w:pStyle w:val="35"/>
        <w:spacing w:line="460" w:lineRule="exact"/>
        <w:ind w:firstLine="420" w:firstLineChars="175"/>
        <w:rPr>
          <w:rFonts w:hAnsi="宋体" w:cs="宋体"/>
          <w:color w:val="auto"/>
          <w:sz w:val="24"/>
          <w:highlight w:val="none"/>
        </w:rPr>
      </w:pPr>
      <w:r>
        <w:rPr>
          <w:rFonts w:hint="eastAsia" w:hAnsi="宋体" w:cs="宋体"/>
          <w:color w:val="auto"/>
          <w:sz w:val="24"/>
          <w:highlight w:val="none"/>
        </w:rPr>
        <w:t>3.2.2.1对交易过程提出</w:t>
      </w:r>
      <w:r>
        <w:rPr>
          <w:rFonts w:hint="eastAsia" w:hAnsi="宋体" w:cs="宋体"/>
          <w:color w:val="auto"/>
          <w:kern w:val="0"/>
          <w:sz w:val="24"/>
          <w:highlight w:val="none"/>
          <w:lang w:val="zh-CN"/>
        </w:rPr>
        <w:t>异议</w:t>
      </w:r>
      <w:r>
        <w:rPr>
          <w:rFonts w:hint="eastAsia" w:hAnsi="宋体" w:cs="宋体"/>
          <w:color w:val="auto"/>
          <w:sz w:val="24"/>
          <w:highlight w:val="none"/>
        </w:rPr>
        <w:t>的，</w:t>
      </w:r>
      <w:r>
        <w:rPr>
          <w:rFonts w:hint="eastAsia" w:hAnsi="宋体" w:cs="宋体"/>
          <w:color w:val="auto"/>
          <w:kern w:val="0"/>
          <w:sz w:val="24"/>
          <w:highlight w:val="none"/>
          <w:lang w:val="zh-CN"/>
        </w:rPr>
        <w:t>异议</w:t>
      </w:r>
      <w:r>
        <w:rPr>
          <w:rFonts w:hint="eastAsia" w:hAnsi="宋体" w:cs="宋体"/>
          <w:color w:val="auto"/>
          <w:sz w:val="24"/>
          <w:highlight w:val="none"/>
        </w:rPr>
        <w:t>期限为各交易程序环节结束之日起计算。对同一交易程序环节的</w:t>
      </w:r>
      <w:r>
        <w:rPr>
          <w:rFonts w:hint="eastAsia" w:hAnsi="宋体" w:cs="宋体"/>
          <w:color w:val="auto"/>
          <w:kern w:val="0"/>
          <w:sz w:val="24"/>
          <w:highlight w:val="none"/>
          <w:lang w:val="zh-CN"/>
        </w:rPr>
        <w:t>异议</w:t>
      </w:r>
      <w:r>
        <w:rPr>
          <w:rFonts w:hint="eastAsia" w:hAnsi="宋体" w:cs="宋体"/>
          <w:color w:val="auto"/>
          <w:sz w:val="24"/>
          <w:highlight w:val="none"/>
        </w:rPr>
        <w:t>，响应人须一次性提出。</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w:t>
      </w:r>
      <w:r>
        <w:rPr>
          <w:rFonts w:hint="eastAsia" w:hAnsi="宋体" w:cs="宋体"/>
          <w:color w:val="auto"/>
          <w:sz w:val="24"/>
          <w:highlight w:val="none"/>
        </w:rPr>
        <w:t>响应人提出</w:t>
      </w:r>
      <w:r>
        <w:rPr>
          <w:rFonts w:hint="eastAsia" w:hAnsi="宋体" w:cs="宋体"/>
          <w:color w:val="auto"/>
          <w:kern w:val="0"/>
          <w:sz w:val="24"/>
          <w:highlight w:val="none"/>
          <w:lang w:val="zh-CN"/>
        </w:rPr>
        <w:t>异议</w:t>
      </w:r>
      <w:r>
        <w:rPr>
          <w:rFonts w:hint="eastAsia" w:hAnsi="宋体" w:cs="宋体"/>
          <w:color w:val="auto"/>
          <w:sz w:val="24"/>
          <w:highlight w:val="none"/>
        </w:rPr>
        <w:t>应当提交</w:t>
      </w:r>
      <w:r>
        <w:rPr>
          <w:rFonts w:hint="eastAsia" w:hAnsi="宋体" w:cs="宋体"/>
          <w:color w:val="auto"/>
          <w:kern w:val="0"/>
          <w:sz w:val="24"/>
          <w:highlight w:val="none"/>
          <w:lang w:val="zh-CN"/>
        </w:rPr>
        <w:t>异议</w:t>
      </w:r>
      <w:r>
        <w:rPr>
          <w:rFonts w:hint="eastAsia" w:hAnsi="宋体" w:cs="宋体"/>
          <w:color w:val="auto"/>
          <w:sz w:val="24"/>
          <w:highlight w:val="none"/>
        </w:rPr>
        <w:t>函和必要的证明材料。</w:t>
      </w:r>
      <w:r>
        <w:rPr>
          <w:rFonts w:hint="eastAsia" w:hAnsi="宋体" w:cs="宋体"/>
          <w:color w:val="auto"/>
          <w:kern w:val="0"/>
          <w:sz w:val="24"/>
          <w:highlight w:val="none"/>
          <w:lang w:val="zh-CN"/>
        </w:rPr>
        <w:t>异议</w:t>
      </w:r>
      <w:r>
        <w:rPr>
          <w:rFonts w:hint="eastAsia" w:hAnsi="宋体" w:cs="宋体"/>
          <w:color w:val="auto"/>
          <w:sz w:val="24"/>
          <w:highlight w:val="none"/>
        </w:rPr>
        <w:t>函应当包括下列内容：</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.2.3.1响应人的姓名或者名称、地址、邮编、联系人及联系电话；</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.2.3.2异议项目的名称、编号；</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.2.3.3具体、明确的异议事项和与异议事项相关的请求；</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.2.3.4事实依据；</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.2.3.5必要的法律依据；</w:t>
      </w:r>
    </w:p>
    <w:p>
      <w:pPr>
        <w:pStyle w:val="35"/>
        <w:spacing w:line="460" w:lineRule="exact"/>
        <w:ind w:firstLine="420" w:firstLineChars="175"/>
        <w:rPr>
          <w:rFonts w:hAnsi="宋体" w:cs="宋体"/>
          <w:color w:val="auto"/>
          <w:kern w:val="0"/>
          <w:sz w:val="24"/>
          <w:highlight w:val="none"/>
          <w:lang w:val="zh-CN"/>
        </w:rPr>
      </w:pPr>
      <w:r>
        <w:rPr>
          <w:rFonts w:hint="eastAsia" w:hAnsi="宋体" w:cs="宋体"/>
          <w:color w:val="auto"/>
          <w:kern w:val="0"/>
          <w:sz w:val="24"/>
          <w:highlight w:val="none"/>
        </w:rPr>
        <w:t>3</w:t>
      </w:r>
      <w:r>
        <w:rPr>
          <w:rFonts w:hint="eastAsia" w:hAnsi="宋体" w:cs="宋体"/>
          <w:color w:val="auto"/>
          <w:kern w:val="0"/>
          <w:sz w:val="24"/>
          <w:highlight w:val="none"/>
          <w:lang w:val="zh-CN"/>
        </w:rPr>
        <w:t>.2.3.6提出异议的日期。</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响应人提交的</w:t>
      </w:r>
      <w:r>
        <w:rPr>
          <w:rFonts w:hint="eastAsia"/>
          <w:color w:val="auto"/>
          <w:highlight w:val="none"/>
          <w:lang w:val="zh-CN"/>
        </w:rPr>
        <w:t>异议</w:t>
      </w:r>
      <w:r>
        <w:rPr>
          <w:rFonts w:hint="eastAsia"/>
          <w:color w:val="auto"/>
          <w:highlight w:val="none"/>
        </w:rPr>
        <w:t>函需一式三份。响应人为自然人的，应当由本人签字；响应人为法人或者其他组织的，应当由法定代表人、主要负责人，或者其授权代表签字或者盖章，并加盖公章。</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lang w:val="zh-CN"/>
        </w:rPr>
        <w:t>异议</w:t>
      </w:r>
      <w:r>
        <w:rPr>
          <w:rFonts w:hint="eastAsia"/>
          <w:color w:val="auto"/>
          <w:highlight w:val="none"/>
        </w:rPr>
        <w:t>函范本及制作说明详见附件1。</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3</w:t>
      </w:r>
      <w:r>
        <w:rPr>
          <w:rFonts w:hint="eastAsia"/>
          <w:color w:val="auto"/>
          <w:highlight w:val="none"/>
          <w:lang w:val="zh-CN"/>
        </w:rPr>
        <w:t>.2</w:t>
      </w:r>
      <w:r>
        <w:rPr>
          <w:rFonts w:hint="eastAsia"/>
          <w:color w:val="auto"/>
          <w:highlight w:val="none"/>
        </w:rPr>
        <w:t>.4交易发起人或者代理机构应当在收到响应人的书面异议后3日内作出答复，并以书面形式通知异议响应人和其他与异议处理结果有利害关系的交易当事人，但答复的内容不得涉及商业秘密。</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3</w:t>
      </w:r>
      <w:r>
        <w:rPr>
          <w:rFonts w:hint="eastAsia"/>
          <w:color w:val="auto"/>
          <w:highlight w:val="none"/>
          <w:lang w:val="zh-CN"/>
        </w:rPr>
        <w:t>.2</w:t>
      </w:r>
      <w:r>
        <w:rPr>
          <w:rFonts w:hint="eastAsia"/>
          <w:color w:val="auto"/>
          <w:highlight w:val="none"/>
        </w:rPr>
        <w:t>.5询问或者异议事项可能影响交易结果的，交易发起人应当暂停签订合同，已经签订合同的，应当中止履行合同。</w:t>
      </w:r>
    </w:p>
    <w:p>
      <w:pPr>
        <w:pStyle w:val="892"/>
        <w:shd w:val="clear" w:color="auto" w:fill="FFFFFF"/>
        <w:snapToGrid w:val="0"/>
        <w:spacing w:after="240" w:afterAutospacing="0" w:line="460" w:lineRule="exact"/>
        <w:ind w:firstLine="420" w:firstLineChars="175"/>
        <w:contextualSpacing/>
        <w:rPr>
          <w:color w:val="auto"/>
          <w:highlight w:val="none"/>
          <w:lang w:val="zh-CN"/>
        </w:rPr>
      </w:pPr>
      <w:r>
        <w:rPr>
          <w:rFonts w:hint="eastAsia"/>
          <w:color w:val="auto"/>
          <w:highlight w:val="none"/>
        </w:rPr>
        <w:t>3</w:t>
      </w:r>
      <w:r>
        <w:rPr>
          <w:rFonts w:hint="eastAsia"/>
          <w:color w:val="auto"/>
          <w:highlight w:val="none"/>
          <w:lang w:val="zh-CN"/>
        </w:rPr>
        <w:t>.3响应人投诉</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3.3.1</w:t>
      </w:r>
      <w:r>
        <w:rPr>
          <w:rFonts w:hint="eastAsia"/>
          <w:color w:val="auto"/>
          <w:highlight w:val="none"/>
          <w:lang w:val="zh-CN"/>
        </w:rPr>
        <w:t>异议</w:t>
      </w:r>
      <w:r>
        <w:rPr>
          <w:rFonts w:hint="eastAsia"/>
          <w:color w:val="auto"/>
          <w:highlight w:val="none"/>
        </w:rPr>
        <w:t>响应人对交易发起人、代理机构的答复不满意或者交易发起人、代理机构未在规定的时间内作出答复的，可以在答复期满后10日内向基层监督机构部门提出投诉。</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3.3.</w:t>
      </w:r>
      <w:r>
        <w:rPr>
          <w:rFonts w:hint="eastAsia"/>
          <w:color w:val="auto"/>
          <w:highlight w:val="none"/>
          <w:lang w:val="zh-CN"/>
        </w:rPr>
        <w:t>2</w:t>
      </w:r>
      <w:r>
        <w:rPr>
          <w:rFonts w:hint="eastAsia"/>
          <w:color w:val="auto"/>
          <w:highlight w:val="none"/>
        </w:rPr>
        <w:t>响应人投诉的事项不得超出已</w:t>
      </w:r>
      <w:r>
        <w:rPr>
          <w:rFonts w:hint="eastAsia"/>
          <w:color w:val="auto"/>
          <w:highlight w:val="none"/>
          <w:lang w:val="zh-CN"/>
        </w:rPr>
        <w:t>异议</w:t>
      </w:r>
      <w:r>
        <w:rPr>
          <w:rFonts w:hint="eastAsia"/>
          <w:color w:val="auto"/>
          <w:highlight w:val="none"/>
        </w:rPr>
        <w:t>事项的范围，基于</w:t>
      </w:r>
      <w:r>
        <w:rPr>
          <w:rFonts w:hint="eastAsia"/>
          <w:color w:val="auto"/>
          <w:highlight w:val="none"/>
          <w:lang w:val="zh-CN"/>
        </w:rPr>
        <w:t>异议</w:t>
      </w:r>
      <w:r>
        <w:rPr>
          <w:rFonts w:hint="eastAsia"/>
          <w:color w:val="auto"/>
          <w:highlight w:val="none"/>
        </w:rPr>
        <w:t>答复内容提出的投诉事项除外。</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3.3.3响应人投诉应当有明确的请求和必要的证明材料。</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3.3.4以联合体形式参加交易活动的，其投诉应当由组成联合体的所有响应人共同提出。</w:t>
      </w:r>
    </w:p>
    <w:p>
      <w:pPr>
        <w:pStyle w:val="892"/>
        <w:shd w:val="clear" w:color="auto" w:fill="FFFFFF"/>
        <w:snapToGrid w:val="0"/>
        <w:spacing w:after="240" w:afterAutospacing="0" w:line="460" w:lineRule="exact"/>
        <w:ind w:firstLine="420" w:firstLineChars="175"/>
        <w:contextualSpacing/>
        <w:rPr>
          <w:color w:val="auto"/>
          <w:highlight w:val="none"/>
        </w:rPr>
      </w:pPr>
      <w:r>
        <w:rPr>
          <w:rFonts w:hint="eastAsia"/>
          <w:color w:val="auto"/>
          <w:highlight w:val="none"/>
        </w:rPr>
        <w:t>投诉书范本及制作说明详见附件2。</w:t>
      </w:r>
    </w:p>
    <w:p>
      <w:pPr>
        <w:pStyle w:val="136"/>
        <w:snapToGrid w:val="0"/>
        <w:spacing w:before="0" w:line="460" w:lineRule="exact"/>
        <w:ind w:firstLine="360"/>
        <w:rPr>
          <w:rFonts w:ascii="宋体" w:hAnsi="宋体" w:cs="宋体"/>
          <w:color w:val="auto"/>
          <w:sz w:val="18"/>
          <w:szCs w:val="18"/>
          <w:highlight w:val="none"/>
        </w:rPr>
      </w:pPr>
    </w:p>
    <w:p>
      <w:pPr>
        <w:adjustRightInd/>
        <w:spacing w:line="460" w:lineRule="exact"/>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二、公开竞争文件的构成、澄清、修改</w:t>
      </w:r>
    </w:p>
    <w:p>
      <w:pPr>
        <w:pStyle w:val="35"/>
        <w:spacing w:line="460" w:lineRule="exact"/>
        <w:rPr>
          <w:rFonts w:hAnsi="宋体" w:cs="宋体"/>
          <w:b/>
          <w:color w:val="auto"/>
          <w:sz w:val="24"/>
          <w:szCs w:val="24"/>
          <w:highlight w:val="none"/>
        </w:rPr>
      </w:pPr>
      <w:r>
        <w:rPr>
          <w:rFonts w:hint="eastAsia" w:hAnsi="宋体" w:cs="宋体"/>
          <w:b/>
          <w:color w:val="auto"/>
          <w:sz w:val="24"/>
          <w:szCs w:val="24"/>
          <w:highlight w:val="none"/>
        </w:rPr>
        <w:t>4．公开竞争文件的构成</w:t>
      </w:r>
    </w:p>
    <w:p>
      <w:pPr>
        <w:pStyle w:val="35"/>
        <w:spacing w:line="4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4.1公开竞争文件包括下列文件及附件：</w:t>
      </w:r>
    </w:p>
    <w:p>
      <w:pPr>
        <w:pStyle w:val="35"/>
        <w:tabs>
          <w:tab w:val="left" w:pos="840"/>
        </w:tabs>
        <w:spacing w:line="460" w:lineRule="exact"/>
        <w:ind w:firstLine="960" w:firstLineChars="400"/>
        <w:rPr>
          <w:rFonts w:hAnsi="宋体" w:cs="宋体"/>
          <w:color w:val="auto"/>
          <w:sz w:val="24"/>
          <w:szCs w:val="24"/>
          <w:highlight w:val="none"/>
        </w:rPr>
      </w:pPr>
      <w:r>
        <w:rPr>
          <w:rFonts w:hint="eastAsia" w:hAnsi="宋体" w:cs="宋体"/>
          <w:color w:val="auto"/>
          <w:sz w:val="24"/>
          <w:szCs w:val="24"/>
          <w:highlight w:val="none"/>
        </w:rPr>
        <w:t>4.1.1交易公告；</w:t>
      </w:r>
    </w:p>
    <w:p>
      <w:pPr>
        <w:pStyle w:val="35"/>
        <w:tabs>
          <w:tab w:val="left" w:pos="840"/>
        </w:tabs>
        <w:spacing w:line="460" w:lineRule="exact"/>
        <w:ind w:firstLine="960" w:firstLineChars="400"/>
        <w:rPr>
          <w:rFonts w:hAnsi="宋体" w:cs="宋体"/>
          <w:color w:val="auto"/>
          <w:sz w:val="24"/>
          <w:szCs w:val="24"/>
          <w:highlight w:val="none"/>
        </w:rPr>
      </w:pPr>
      <w:r>
        <w:rPr>
          <w:rFonts w:hint="eastAsia" w:hAnsi="宋体" w:cs="宋体"/>
          <w:color w:val="auto"/>
          <w:sz w:val="24"/>
          <w:szCs w:val="24"/>
          <w:highlight w:val="none"/>
        </w:rPr>
        <w:t>4.1.2响应人须知；</w:t>
      </w:r>
    </w:p>
    <w:p>
      <w:pPr>
        <w:pStyle w:val="35"/>
        <w:tabs>
          <w:tab w:val="left" w:pos="840"/>
        </w:tabs>
        <w:spacing w:line="460" w:lineRule="exact"/>
        <w:ind w:firstLine="960" w:firstLineChars="400"/>
        <w:rPr>
          <w:rFonts w:hAnsi="宋体" w:cs="宋体"/>
          <w:color w:val="auto"/>
          <w:sz w:val="24"/>
          <w:szCs w:val="24"/>
          <w:highlight w:val="none"/>
        </w:rPr>
      </w:pPr>
      <w:r>
        <w:rPr>
          <w:rFonts w:hint="eastAsia" w:hAnsi="宋体" w:cs="宋体"/>
          <w:color w:val="auto"/>
          <w:sz w:val="24"/>
          <w:szCs w:val="24"/>
          <w:highlight w:val="none"/>
        </w:rPr>
        <w:t>4.1.3交易需求；</w:t>
      </w:r>
    </w:p>
    <w:p>
      <w:pPr>
        <w:pStyle w:val="35"/>
        <w:tabs>
          <w:tab w:val="left" w:pos="840"/>
        </w:tabs>
        <w:spacing w:line="460" w:lineRule="exact"/>
        <w:ind w:firstLine="960" w:firstLineChars="400"/>
        <w:rPr>
          <w:rFonts w:hAnsi="宋体" w:cs="宋体"/>
          <w:color w:val="auto"/>
          <w:sz w:val="24"/>
          <w:szCs w:val="24"/>
          <w:highlight w:val="none"/>
        </w:rPr>
      </w:pPr>
      <w:r>
        <w:rPr>
          <w:rFonts w:hint="eastAsia" w:hAnsi="宋体" w:cs="宋体"/>
          <w:color w:val="auto"/>
          <w:sz w:val="24"/>
          <w:szCs w:val="24"/>
          <w:highlight w:val="none"/>
        </w:rPr>
        <w:t>4.1.4交易办法；</w:t>
      </w:r>
    </w:p>
    <w:p>
      <w:pPr>
        <w:pStyle w:val="35"/>
        <w:tabs>
          <w:tab w:val="left" w:pos="840"/>
        </w:tabs>
        <w:spacing w:line="460" w:lineRule="exact"/>
        <w:ind w:firstLine="960" w:firstLineChars="400"/>
        <w:rPr>
          <w:rFonts w:hAnsi="宋体" w:cs="宋体"/>
          <w:color w:val="auto"/>
          <w:sz w:val="24"/>
          <w:szCs w:val="24"/>
          <w:highlight w:val="none"/>
        </w:rPr>
      </w:pPr>
      <w:r>
        <w:rPr>
          <w:rFonts w:hint="eastAsia" w:hAnsi="宋体" w:cs="宋体"/>
          <w:color w:val="auto"/>
          <w:sz w:val="24"/>
          <w:szCs w:val="24"/>
          <w:highlight w:val="none"/>
        </w:rPr>
        <w:t>4.1.5拟签订的合同文本；</w:t>
      </w:r>
    </w:p>
    <w:p>
      <w:pPr>
        <w:pStyle w:val="35"/>
        <w:tabs>
          <w:tab w:val="left" w:pos="840"/>
        </w:tabs>
        <w:spacing w:line="460" w:lineRule="exact"/>
        <w:ind w:firstLine="960" w:firstLineChars="400"/>
        <w:rPr>
          <w:rFonts w:hAnsi="宋体" w:cs="宋体"/>
          <w:color w:val="auto"/>
          <w:sz w:val="24"/>
          <w:szCs w:val="24"/>
          <w:highlight w:val="none"/>
        </w:rPr>
      </w:pPr>
      <w:r>
        <w:rPr>
          <w:rFonts w:hint="eastAsia" w:hAnsi="宋体" w:cs="宋体"/>
          <w:color w:val="auto"/>
          <w:sz w:val="24"/>
          <w:highlight w:val="none"/>
        </w:rPr>
        <w:t>4.1.6</w:t>
      </w:r>
      <w:r>
        <w:rPr>
          <w:rFonts w:hint="eastAsia" w:hAnsi="宋体" w:cs="宋体"/>
          <w:color w:val="auto"/>
          <w:sz w:val="24"/>
          <w:szCs w:val="24"/>
          <w:highlight w:val="none"/>
        </w:rPr>
        <w:t>应提交的有关格式范例。</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4.2与本项目有关的</w:t>
      </w:r>
      <w:r>
        <w:rPr>
          <w:rFonts w:hint="eastAsia" w:ascii="宋体" w:hAnsi="宋体" w:cs="宋体"/>
          <w:bCs/>
          <w:color w:val="auto"/>
          <w:sz w:val="24"/>
          <w:highlight w:val="none"/>
        </w:rPr>
        <w:t>澄清或者修改的内容为公开竞争文件的组成部分</w:t>
      </w:r>
      <w:r>
        <w:rPr>
          <w:rFonts w:hint="eastAsia" w:ascii="宋体" w:hAnsi="宋体" w:cs="宋体"/>
          <w:color w:val="auto"/>
          <w:sz w:val="24"/>
          <w:highlight w:val="none"/>
        </w:rPr>
        <w:t>。</w:t>
      </w:r>
    </w:p>
    <w:p>
      <w:pPr>
        <w:pStyle w:val="35"/>
        <w:spacing w:line="460" w:lineRule="exact"/>
        <w:rPr>
          <w:rFonts w:hAnsi="宋体" w:cs="宋体"/>
          <w:b/>
          <w:color w:val="auto"/>
          <w:sz w:val="24"/>
          <w:szCs w:val="24"/>
          <w:highlight w:val="none"/>
        </w:rPr>
      </w:pPr>
      <w:r>
        <w:rPr>
          <w:rFonts w:hint="eastAsia" w:hAnsi="宋体" w:cs="宋体"/>
          <w:b/>
          <w:color w:val="auto"/>
          <w:sz w:val="24"/>
          <w:szCs w:val="24"/>
          <w:highlight w:val="none"/>
        </w:rPr>
        <w:t>5.公开竞争文件的澄清、修改</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5.1已获取公开竞争文件的潜在响应人，若有问题需要澄清，应于响应截止时间前，以书面形式向代理机构提出。</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5.2 代理机构对公开竞争文件进行澄清或修改的，将同时通过电子交易平台通知已获取公开竞争文件的潜在响应人。依法应当公告的，将按规定公告，同时视情况延长响应截止时间和交易时间。该澄清或者修改的内容为公开竞争文件的组成部分。</w:t>
      </w:r>
    </w:p>
    <w:p>
      <w:pPr>
        <w:adjustRightInd/>
        <w:spacing w:line="460" w:lineRule="exact"/>
        <w:jc w:val="center"/>
        <w:outlineLvl w:val="0"/>
        <w:rPr>
          <w:rFonts w:ascii="宋体" w:hAnsi="宋体" w:cs="宋体"/>
          <w:b/>
          <w:color w:val="auto"/>
          <w:sz w:val="30"/>
          <w:szCs w:val="20"/>
          <w:highlight w:val="none"/>
        </w:rPr>
      </w:pPr>
    </w:p>
    <w:p>
      <w:pPr>
        <w:adjustRightInd/>
        <w:spacing w:line="460" w:lineRule="exact"/>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三、响应</w:t>
      </w:r>
    </w:p>
    <w:p>
      <w:pPr>
        <w:pStyle w:val="35"/>
        <w:spacing w:line="460" w:lineRule="exact"/>
        <w:rPr>
          <w:rFonts w:hAnsi="宋体" w:cs="宋体"/>
          <w:b/>
          <w:color w:val="auto"/>
          <w:sz w:val="24"/>
          <w:szCs w:val="24"/>
          <w:highlight w:val="none"/>
        </w:rPr>
      </w:pPr>
      <w:r>
        <w:rPr>
          <w:rFonts w:hint="eastAsia" w:hAnsi="宋体" w:cs="宋体"/>
          <w:b/>
          <w:color w:val="auto"/>
          <w:sz w:val="24"/>
          <w:szCs w:val="24"/>
          <w:highlight w:val="none"/>
        </w:rPr>
        <w:t>6.公开竞争文件的获取</w:t>
      </w:r>
    </w:p>
    <w:p>
      <w:pPr>
        <w:spacing w:line="460" w:lineRule="exact"/>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详见交易公告中获取公开竞争文件的时间期限、地点、方式及公开竞争文件售价。</w:t>
      </w:r>
    </w:p>
    <w:p>
      <w:pPr>
        <w:pStyle w:val="35"/>
        <w:spacing w:line="460" w:lineRule="exact"/>
        <w:rPr>
          <w:rFonts w:hAnsi="宋体" w:cs="宋体"/>
          <w:b/>
          <w:color w:val="auto"/>
          <w:sz w:val="24"/>
          <w:szCs w:val="24"/>
          <w:highlight w:val="none"/>
        </w:rPr>
      </w:pPr>
      <w:r>
        <w:rPr>
          <w:rFonts w:hint="eastAsia" w:hAnsi="宋体" w:cs="宋体"/>
          <w:b/>
          <w:color w:val="auto"/>
          <w:sz w:val="24"/>
          <w:szCs w:val="24"/>
          <w:highlight w:val="none"/>
        </w:rPr>
        <w:t>7.交易前答疑会或现场考察</w:t>
      </w:r>
    </w:p>
    <w:p>
      <w:pPr>
        <w:pStyle w:val="35"/>
        <w:spacing w:line="4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交易发起人组织潜在响应人现场考察或者召开交易前答疑会的，潜在响应人按第二部分响应人须知前附表的规定参加现场考察或者开标前答疑会。</w:t>
      </w:r>
    </w:p>
    <w:p>
      <w:pPr>
        <w:pStyle w:val="35"/>
        <w:spacing w:line="460" w:lineRule="exact"/>
        <w:rPr>
          <w:rFonts w:hAnsi="宋体" w:cs="宋体"/>
          <w:b/>
          <w:color w:val="auto"/>
          <w:szCs w:val="24"/>
          <w:highlight w:val="none"/>
        </w:rPr>
      </w:pPr>
      <w:r>
        <w:rPr>
          <w:rFonts w:hint="eastAsia" w:hAnsi="宋体" w:cs="宋体"/>
          <w:b/>
          <w:color w:val="auto"/>
          <w:kern w:val="28"/>
          <w:sz w:val="24"/>
          <w:szCs w:val="24"/>
          <w:highlight w:val="none"/>
        </w:rPr>
        <w:t>8.交易保证金</w:t>
      </w:r>
    </w:p>
    <w:p>
      <w:pPr>
        <w:pStyle w:val="19"/>
        <w:spacing w:line="460" w:lineRule="exact"/>
        <w:ind w:firstLine="470" w:firstLineChars="196"/>
        <w:rPr>
          <w:rFonts w:hAnsi="宋体" w:cs="宋体"/>
          <w:color w:val="auto"/>
          <w:sz w:val="24"/>
          <w:highlight w:val="none"/>
        </w:rPr>
      </w:pPr>
      <w:r>
        <w:rPr>
          <w:rFonts w:hint="eastAsia" w:hAnsi="宋体" w:cs="宋体"/>
          <w:color w:val="auto"/>
          <w:sz w:val="24"/>
          <w:highlight w:val="none"/>
        </w:rPr>
        <w:t>本项目不需缴纳交易保证金。</w:t>
      </w:r>
    </w:p>
    <w:p>
      <w:pPr>
        <w:pStyle w:val="35"/>
        <w:spacing w:line="460" w:lineRule="exact"/>
        <w:rPr>
          <w:rFonts w:hAnsi="宋体" w:cs="宋体"/>
          <w:b/>
          <w:color w:val="auto"/>
          <w:sz w:val="24"/>
          <w:szCs w:val="24"/>
          <w:highlight w:val="none"/>
        </w:rPr>
      </w:pPr>
      <w:r>
        <w:rPr>
          <w:rFonts w:hint="eastAsia" w:hAnsi="宋体" w:cs="宋体"/>
          <w:b/>
          <w:color w:val="auto"/>
          <w:sz w:val="24"/>
          <w:szCs w:val="24"/>
          <w:highlight w:val="none"/>
        </w:rPr>
        <w:t>9.响应文件的语言</w:t>
      </w:r>
    </w:p>
    <w:p>
      <w:pPr>
        <w:autoSpaceDE w:val="0"/>
        <w:autoSpaceDN w:val="0"/>
        <w:spacing w:line="46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响应文件及响应人与交易有关的来往通知、函件和文件均应使用中文。</w:t>
      </w:r>
    </w:p>
    <w:p>
      <w:pPr>
        <w:pStyle w:val="35"/>
        <w:spacing w:line="460" w:lineRule="exact"/>
        <w:rPr>
          <w:rFonts w:hAnsi="宋体" w:cs="宋体"/>
          <w:b/>
          <w:color w:val="auto"/>
          <w:sz w:val="24"/>
          <w:szCs w:val="24"/>
          <w:highlight w:val="none"/>
        </w:rPr>
      </w:pPr>
      <w:r>
        <w:rPr>
          <w:rFonts w:hint="eastAsia" w:hAnsi="宋体" w:cs="宋体"/>
          <w:b/>
          <w:color w:val="auto"/>
          <w:sz w:val="24"/>
          <w:szCs w:val="24"/>
          <w:highlight w:val="none"/>
        </w:rPr>
        <w:t>10.响应文件的组成</w:t>
      </w:r>
    </w:p>
    <w:p>
      <w:pPr>
        <w:snapToGrid w:val="0"/>
        <w:spacing w:line="4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10.1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10.1.1符合参加交易活动应当具备的一般条件的承诺函；</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10.1.2本项目的特定资格要求：无。</w:t>
      </w:r>
    </w:p>
    <w:p>
      <w:pPr>
        <w:snapToGrid w:val="0"/>
        <w:spacing w:line="460" w:lineRule="exact"/>
        <w:ind w:firstLine="482" w:firstLineChars="200"/>
        <w:rPr>
          <w:rFonts w:ascii="宋体" w:hAnsi="宋体" w:cs="宋体"/>
          <w:b/>
          <w:bCs/>
          <w:color w:val="auto"/>
          <w:sz w:val="24"/>
          <w:highlight w:val="none"/>
          <w:lang w:val="zh-CN"/>
        </w:rPr>
      </w:pPr>
      <w:r>
        <w:rPr>
          <w:rFonts w:hint="eastAsia" w:ascii="宋体" w:hAnsi="宋体" w:cs="宋体"/>
          <w:b/>
          <w:bCs/>
          <w:color w:val="auto"/>
          <w:sz w:val="24"/>
          <w:highlight w:val="none"/>
          <w:lang w:val="zh-CN"/>
        </w:rPr>
        <w:t>1</w:t>
      </w:r>
      <w:r>
        <w:rPr>
          <w:rFonts w:hint="eastAsia" w:ascii="宋体" w:hAnsi="宋体" w:cs="宋体"/>
          <w:b/>
          <w:bCs/>
          <w:color w:val="auto"/>
          <w:sz w:val="24"/>
          <w:highlight w:val="none"/>
        </w:rPr>
        <w:t>0</w:t>
      </w:r>
      <w:r>
        <w:rPr>
          <w:rFonts w:hint="eastAsia" w:ascii="宋体" w:hAnsi="宋体" w:cs="宋体"/>
          <w:b/>
          <w:bCs/>
          <w:color w:val="auto"/>
          <w:sz w:val="24"/>
          <w:highlight w:val="none"/>
          <w:lang w:val="zh-CN"/>
        </w:rPr>
        <w:t>.</w:t>
      </w:r>
      <w:r>
        <w:rPr>
          <w:rFonts w:hint="eastAsia" w:ascii="宋体" w:hAnsi="宋体" w:cs="宋体"/>
          <w:b/>
          <w:bCs/>
          <w:color w:val="auto"/>
          <w:sz w:val="24"/>
          <w:highlight w:val="none"/>
        </w:rPr>
        <w:t>2商务技术</w:t>
      </w:r>
      <w:r>
        <w:rPr>
          <w:rFonts w:hint="eastAsia" w:ascii="宋体" w:hAnsi="宋体" w:cs="宋体"/>
          <w:b/>
          <w:bCs/>
          <w:color w:val="auto"/>
          <w:sz w:val="24"/>
          <w:highlight w:val="none"/>
          <w:lang w:val="zh-CN"/>
        </w:rPr>
        <w:t>文件：</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10.2.1交易函；</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10.2.2授权委托书或法定代表人（单位负责人、自然人本人）身份证明；</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10.2.3营业执照；</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10.2.4符合性审查资料；</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10.2.5评审标准相应的商务技术资料；</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10.2.6商务技术偏离表；</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10.2.7</w:t>
      </w:r>
      <w:r>
        <w:rPr>
          <w:rFonts w:hint="eastAsia" w:ascii="宋体" w:hAnsi="宋体" w:cs="宋体"/>
          <w:color w:val="auto"/>
          <w:sz w:val="24"/>
          <w:highlight w:val="none"/>
          <w:lang w:val="zh-CN"/>
        </w:rPr>
        <w:t>响应人廉洁自律承诺书。</w:t>
      </w:r>
    </w:p>
    <w:p>
      <w:pPr>
        <w:snapToGrid w:val="0"/>
        <w:spacing w:line="460" w:lineRule="exact"/>
        <w:ind w:firstLine="482" w:firstLineChars="200"/>
        <w:rPr>
          <w:rFonts w:ascii="宋体" w:hAnsi="宋体" w:cs="宋体"/>
          <w:b/>
          <w:bCs/>
          <w:color w:val="auto"/>
          <w:sz w:val="24"/>
          <w:highlight w:val="none"/>
          <w:u w:val="single"/>
          <w:lang w:val="zh-CN"/>
        </w:rPr>
      </w:pPr>
      <w:r>
        <w:rPr>
          <w:rFonts w:hint="eastAsia" w:ascii="宋体" w:hAnsi="宋体" w:cs="宋体"/>
          <w:b/>
          <w:bCs/>
          <w:color w:val="auto"/>
          <w:kern w:val="0"/>
          <w:sz w:val="24"/>
          <w:highlight w:val="none"/>
          <w:lang w:val="zh-CN"/>
        </w:rPr>
        <w:t>1</w:t>
      </w:r>
      <w:r>
        <w:rPr>
          <w:rFonts w:hint="eastAsia" w:ascii="宋体" w:hAnsi="宋体" w:cs="宋体"/>
          <w:b/>
          <w:bCs/>
          <w:color w:val="auto"/>
          <w:kern w:val="0"/>
          <w:sz w:val="24"/>
          <w:highlight w:val="none"/>
        </w:rPr>
        <w:t>0</w:t>
      </w:r>
      <w:r>
        <w:rPr>
          <w:rFonts w:hint="eastAsia" w:ascii="宋体" w:hAnsi="宋体" w:cs="宋体"/>
          <w:b/>
          <w:bCs/>
          <w:color w:val="auto"/>
          <w:kern w:val="0"/>
          <w:sz w:val="24"/>
          <w:highlight w:val="none"/>
          <w:lang w:val="zh-CN"/>
        </w:rPr>
        <w:t>.</w:t>
      </w:r>
      <w:r>
        <w:rPr>
          <w:rFonts w:hint="eastAsia" w:ascii="宋体" w:hAnsi="宋体" w:cs="宋体"/>
          <w:b/>
          <w:bCs/>
          <w:color w:val="auto"/>
          <w:kern w:val="0"/>
          <w:sz w:val="24"/>
          <w:highlight w:val="none"/>
        </w:rPr>
        <w:t>3</w:t>
      </w:r>
      <w:r>
        <w:rPr>
          <w:rFonts w:hint="eastAsia" w:ascii="宋体" w:hAnsi="宋体" w:cs="宋体"/>
          <w:b/>
          <w:bCs/>
          <w:color w:val="auto"/>
          <w:sz w:val="24"/>
          <w:highlight w:val="none"/>
        </w:rPr>
        <w:t>报价文件：</w:t>
      </w:r>
    </w:p>
    <w:p>
      <w:pPr>
        <w:snapToGrid w:val="0"/>
        <w:spacing w:line="46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10.3.1交易一览表（报价表）。</w:t>
      </w:r>
    </w:p>
    <w:p>
      <w:pPr>
        <w:spacing w:line="460" w:lineRule="exact"/>
        <w:ind w:firstLine="723" w:firstLineChars="300"/>
        <w:rPr>
          <w:rFonts w:ascii="宋体" w:hAnsi="宋体" w:cs="宋体"/>
          <w:b/>
          <w:color w:val="auto"/>
          <w:sz w:val="24"/>
          <w:highlight w:val="none"/>
        </w:rPr>
      </w:pPr>
      <w:r>
        <w:rPr>
          <w:rFonts w:hint="eastAsia" w:ascii="宋体" w:hAnsi="宋体" w:cs="宋体"/>
          <w:b/>
          <w:color w:val="auto"/>
          <w:sz w:val="24"/>
          <w:highlight w:val="none"/>
        </w:rPr>
        <w:t>响应文件含有交易发起人不能接受的附加条件的，交易无效；</w:t>
      </w:r>
    </w:p>
    <w:p>
      <w:pPr>
        <w:spacing w:line="460" w:lineRule="exact"/>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响应人提供虚假材料投标的，交易无效。</w:t>
      </w:r>
    </w:p>
    <w:p>
      <w:pPr>
        <w:pStyle w:val="136"/>
        <w:snapToGrid w:val="0"/>
        <w:spacing w:before="0" w:line="460" w:lineRule="exact"/>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11</w:t>
      </w:r>
      <w:r>
        <w:rPr>
          <w:rFonts w:hint="eastAsia" w:ascii="宋体" w:hAnsi="宋体" w:cs="宋体"/>
          <w:b/>
          <w:color w:val="auto"/>
          <w:kern w:val="0"/>
          <w:szCs w:val="24"/>
          <w:highlight w:val="none"/>
          <w:lang w:val="zh-CN"/>
        </w:rPr>
        <w:t>.</w:t>
      </w:r>
      <w:r>
        <w:rPr>
          <w:rFonts w:hint="eastAsia" w:ascii="宋体" w:hAnsi="宋体" w:cs="宋体"/>
          <w:b/>
          <w:color w:val="auto"/>
          <w:szCs w:val="24"/>
          <w:highlight w:val="none"/>
        </w:rPr>
        <w:t>响应文件的编制</w:t>
      </w:r>
    </w:p>
    <w:p>
      <w:pPr>
        <w:spacing w:line="460" w:lineRule="exact"/>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1响应文件分为资格文件、商务技术文件、报价文件三部分。各响应人在编制响应文件时请按照公开竞争文件第六部分规定的格式进行，混乱的编排导致响应文件被误读或评审委员会查找不到有效文件是响应人的风险。</w:t>
      </w:r>
    </w:p>
    <w:p>
      <w:pPr>
        <w:spacing w:line="46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.2响应人进行电子投标应安装客户端软件—“政采云电子交易客户端”，并按照公开竞争文件和电子交易平台的要求编制并加密响应文件。响应人未按规定加密的响应文件，电子交易平台将拒收并提示。</w:t>
      </w:r>
    </w:p>
    <w:p>
      <w:pPr>
        <w:spacing w:line="46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snapToGrid w:val="0"/>
        <w:spacing w:line="460" w:lineRule="exact"/>
        <w:rPr>
          <w:rFonts w:ascii="宋体" w:hAnsi="宋体" w:cs="宋体"/>
          <w:b/>
          <w:color w:val="auto"/>
          <w:sz w:val="24"/>
          <w:highlight w:val="none"/>
        </w:rPr>
      </w:pPr>
      <w:r>
        <w:rPr>
          <w:rFonts w:hint="eastAsia" w:ascii="宋体" w:hAnsi="宋体" w:cs="宋体"/>
          <w:b/>
          <w:color w:val="auto"/>
          <w:sz w:val="24"/>
          <w:highlight w:val="none"/>
        </w:rPr>
        <w:t>12.响应文件的签署、盖章</w:t>
      </w:r>
    </w:p>
    <w:p>
      <w:pPr>
        <w:pStyle w:val="136"/>
        <w:snapToGrid w:val="0"/>
        <w:spacing w:before="0" w:line="460" w:lineRule="exact"/>
        <w:ind w:firstLine="480"/>
        <w:rPr>
          <w:rFonts w:ascii="宋体" w:hAnsi="宋体" w:cs="宋体"/>
          <w:b/>
          <w:color w:val="auto"/>
          <w:highlight w:val="none"/>
        </w:rPr>
      </w:pPr>
      <w:r>
        <w:rPr>
          <w:rFonts w:hint="eastAsia" w:ascii="宋体" w:hAnsi="宋体" w:cs="宋体"/>
          <w:color w:val="auto"/>
          <w:szCs w:val="24"/>
          <w:highlight w:val="none"/>
        </w:rPr>
        <w:t>12.1响应文件按照公开竞争文件第六部分格式要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▲响应人的响应文件未按照公开竞争文件要求签署、盖章的，其交易无效</w:t>
      </w:r>
      <w:r>
        <w:rPr>
          <w:rFonts w:hint="eastAsia" w:ascii="宋体" w:hAnsi="宋体" w:cs="宋体"/>
          <w:color w:val="auto"/>
          <w:szCs w:val="24"/>
          <w:highlight w:val="none"/>
        </w:rPr>
        <w:t>。</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12.2为确保网上操作合法、有效和安全，响应人应当在响应截止时间前完成在“政府采购云平台”的身份认证，确保在电子投标过程中能够对相关数据电文进行加密和使用电子签名。</w:t>
      </w:r>
    </w:p>
    <w:p>
      <w:pPr>
        <w:pStyle w:val="136"/>
        <w:snapToGrid w:val="0"/>
        <w:spacing w:before="0" w:line="460" w:lineRule="exact"/>
        <w:ind w:firstLine="480"/>
        <w:rPr>
          <w:rFonts w:ascii="宋体" w:hAnsi="宋体" w:cs="宋体"/>
          <w:color w:val="auto"/>
          <w:szCs w:val="24"/>
          <w:highlight w:val="none"/>
        </w:rPr>
      </w:pPr>
      <w:r>
        <w:rPr>
          <w:rFonts w:hint="eastAsia" w:ascii="宋体" w:hAnsi="宋体" w:cs="宋体"/>
          <w:color w:val="auto"/>
          <w:highlight w:val="none"/>
        </w:rPr>
        <w:t>12.3公开竞争文件对响应文件签署、盖章的要求适用于电子签名。</w:t>
      </w:r>
    </w:p>
    <w:p>
      <w:pPr>
        <w:pStyle w:val="136"/>
        <w:spacing w:before="0" w:line="46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13.响应文件的提交、补充、修改、撤回</w:t>
      </w:r>
    </w:p>
    <w:p>
      <w:pPr>
        <w:pStyle w:val="136"/>
        <w:spacing w:line="460" w:lineRule="exact"/>
        <w:ind w:firstLine="480"/>
        <w:rPr>
          <w:rFonts w:ascii="宋体" w:hAnsi="宋体" w:cs="宋体"/>
          <w:color w:val="auto"/>
          <w:szCs w:val="24"/>
          <w:highlight w:val="none"/>
        </w:rPr>
      </w:pPr>
      <w:r>
        <w:rPr>
          <w:rFonts w:hint="eastAsia" w:ascii="宋体" w:hAnsi="宋体" w:cs="宋体"/>
          <w:color w:val="auto"/>
          <w:szCs w:val="24"/>
          <w:highlight w:val="none"/>
        </w:rPr>
        <w:t>13.1响应人应当在响应截止时间前完成响应文件的传输递交，并可以补充、修改或者撤回响应文件。补充或者修改响应文件的，应当先行撤回原文件，补充、修改后重新传输递交。投标截止时间前未完成传输的，视为撤回响应文件。响应截止时间后递交的响应文件，电子交易平台将拒收。</w:t>
      </w:r>
    </w:p>
    <w:p>
      <w:pPr>
        <w:pStyle w:val="136"/>
        <w:spacing w:before="0" w:line="460" w:lineRule="exact"/>
        <w:ind w:firstLine="480"/>
        <w:rPr>
          <w:rFonts w:ascii="宋体" w:hAnsi="宋体" w:cs="宋体"/>
          <w:color w:val="auto"/>
          <w:szCs w:val="24"/>
          <w:highlight w:val="none"/>
        </w:rPr>
      </w:pPr>
      <w:r>
        <w:rPr>
          <w:rFonts w:hint="eastAsia" w:ascii="宋体" w:hAnsi="宋体" w:cs="宋体"/>
          <w:color w:val="auto"/>
          <w:szCs w:val="24"/>
          <w:highlight w:val="none"/>
        </w:rPr>
        <w:t>13.2电子交易平台收到响应文件，将妥善保存并即时向响应人发出确认回执通知。在响应截止时间前，除响应人补充、修改或者撤回响应文件外，任何单位和个人不得解密或提取响应文件。</w:t>
      </w:r>
    </w:p>
    <w:p>
      <w:pPr>
        <w:pStyle w:val="136"/>
        <w:spacing w:before="0" w:line="460" w:lineRule="exact"/>
        <w:ind w:firstLine="480"/>
        <w:rPr>
          <w:rFonts w:ascii="宋体" w:hAnsi="宋体" w:cs="宋体"/>
          <w:color w:val="auto"/>
          <w:szCs w:val="24"/>
          <w:highlight w:val="none"/>
        </w:rPr>
      </w:pPr>
      <w:r>
        <w:rPr>
          <w:rFonts w:hint="eastAsia" w:ascii="宋体" w:hAnsi="宋体" w:cs="宋体"/>
          <w:color w:val="auto"/>
          <w:szCs w:val="24"/>
          <w:highlight w:val="none"/>
        </w:rPr>
        <w:t>13.3交易发起人、代理机构可以视情况延长响应文件提交的截止时间。在上述情况下，代理机构与响应人以前在投标截止期方面的全部权利、责任和义务，将适用于延长至新的投标截止期。</w:t>
      </w:r>
    </w:p>
    <w:p>
      <w:pPr>
        <w:pStyle w:val="35"/>
        <w:numPr>
          <w:ilvl w:val="0"/>
          <w:numId w:val="1"/>
        </w:numPr>
        <w:spacing w:line="460" w:lineRule="exact"/>
        <w:rPr>
          <w:rFonts w:hAnsi="宋体" w:cs="宋体"/>
          <w:b/>
          <w:color w:val="auto"/>
          <w:sz w:val="24"/>
          <w:szCs w:val="24"/>
          <w:highlight w:val="none"/>
        </w:rPr>
      </w:pPr>
      <w:r>
        <w:rPr>
          <w:rFonts w:hint="eastAsia" w:hAnsi="宋体" w:cs="宋体"/>
          <w:b/>
          <w:color w:val="auto"/>
          <w:sz w:val="24"/>
          <w:szCs w:val="24"/>
          <w:highlight w:val="none"/>
        </w:rPr>
        <w:t>备份响应文件</w:t>
      </w:r>
    </w:p>
    <w:p>
      <w:pPr>
        <w:pStyle w:val="35"/>
        <w:spacing w:line="460" w:lineRule="exact"/>
        <w:ind w:firstLine="480" w:firstLineChars="200"/>
        <w:rPr>
          <w:rFonts w:hAnsi="宋体" w:cs="宋体"/>
          <w:b/>
          <w:color w:val="auto"/>
          <w:sz w:val="24"/>
          <w:szCs w:val="24"/>
          <w:highlight w:val="none"/>
        </w:rPr>
      </w:pPr>
      <w:r>
        <w:rPr>
          <w:rFonts w:hint="eastAsia" w:hAnsi="宋体" w:cs="宋体"/>
          <w:color w:val="auto"/>
          <w:kern w:val="28"/>
          <w:sz w:val="24"/>
          <w:szCs w:val="24"/>
          <w:highlight w:val="none"/>
        </w:rPr>
        <w:t>不收取备份响应文件。</w:t>
      </w:r>
    </w:p>
    <w:p>
      <w:pPr>
        <w:pStyle w:val="136"/>
        <w:spacing w:before="0" w:line="46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15.响应文件的无效处理</w:t>
      </w:r>
    </w:p>
    <w:p>
      <w:pPr>
        <w:pStyle w:val="27"/>
        <w:spacing w:line="460" w:lineRule="exact"/>
        <w:rPr>
          <w:rFonts w:cs="宋体"/>
          <w:color w:val="auto"/>
          <w:szCs w:val="21"/>
          <w:highlight w:val="none"/>
        </w:rPr>
      </w:pPr>
      <w:r>
        <w:rPr>
          <w:rFonts w:hint="eastAsia" w:cs="宋体"/>
          <w:color w:val="auto"/>
          <w:szCs w:val="21"/>
          <w:highlight w:val="none"/>
        </w:rPr>
        <w:t>有公开竞争文件第四部分</w:t>
      </w:r>
      <w:r>
        <w:rPr>
          <w:rFonts w:hint="eastAsia" w:cs="宋体"/>
          <w:color w:val="auto"/>
          <w:highlight w:val="none"/>
        </w:rPr>
        <w:t>4.2规定</w:t>
      </w:r>
      <w:r>
        <w:rPr>
          <w:rFonts w:hint="eastAsia" w:cs="宋体"/>
          <w:color w:val="auto"/>
          <w:szCs w:val="21"/>
          <w:highlight w:val="none"/>
        </w:rPr>
        <w:t>的情形之一的，交易无效：</w:t>
      </w:r>
    </w:p>
    <w:p>
      <w:pPr>
        <w:pStyle w:val="136"/>
        <w:spacing w:before="0" w:line="46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16.交易有效期</w:t>
      </w:r>
    </w:p>
    <w:p>
      <w:pPr>
        <w:spacing w:line="460" w:lineRule="exact"/>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16.1交易有效期为从提交响应文件的截止之日起90天。▲</w:t>
      </w:r>
      <w:r>
        <w:rPr>
          <w:rFonts w:hint="eastAsia" w:ascii="宋体" w:hAnsi="宋体" w:cs="宋体"/>
          <w:b/>
          <w:color w:val="auto"/>
          <w:sz w:val="24"/>
          <w:szCs w:val="20"/>
          <w:highlight w:val="none"/>
        </w:rPr>
        <w:t>响应人的响应文件中承</w:t>
      </w:r>
      <w:r>
        <w:rPr>
          <w:rFonts w:hint="eastAsia" w:ascii="宋体" w:hAnsi="宋体" w:cs="宋体"/>
          <w:b/>
          <w:color w:val="auto"/>
          <w:sz w:val="24"/>
          <w:szCs w:val="21"/>
          <w:highlight w:val="none"/>
        </w:rPr>
        <w:t>诺的交易有效期少于公开竞争文件中载明的交易有效期的，交易无效。</w:t>
      </w:r>
    </w:p>
    <w:p>
      <w:pPr>
        <w:pStyle w:val="136"/>
        <w:spacing w:before="0" w:line="460" w:lineRule="exact"/>
        <w:ind w:firstLine="480"/>
        <w:rPr>
          <w:rFonts w:ascii="宋体" w:hAnsi="宋体" w:cs="宋体"/>
          <w:color w:val="auto"/>
          <w:highlight w:val="none"/>
        </w:rPr>
      </w:pPr>
      <w:r>
        <w:rPr>
          <w:rFonts w:hint="eastAsia" w:ascii="宋体" w:hAnsi="宋体" w:cs="宋体"/>
          <w:color w:val="auto"/>
          <w:highlight w:val="none"/>
        </w:rPr>
        <w:t>16.2响应文件合格投递后，自投标截止日期起，在交易有效期内有效。</w:t>
      </w:r>
    </w:p>
    <w:p>
      <w:pPr>
        <w:pStyle w:val="136"/>
        <w:spacing w:before="0" w:line="460" w:lineRule="exact"/>
        <w:ind w:firstLine="480"/>
        <w:rPr>
          <w:rFonts w:ascii="宋体" w:hAnsi="宋体" w:cs="宋体"/>
          <w:color w:val="auto"/>
          <w:highlight w:val="none"/>
        </w:rPr>
      </w:pPr>
      <w:r>
        <w:rPr>
          <w:rFonts w:hint="eastAsia" w:ascii="宋体" w:hAnsi="宋体" w:cs="宋体"/>
          <w:color w:val="auto"/>
          <w:highlight w:val="none"/>
        </w:rPr>
        <w:t>16.3在原定交易有效期满之前，如果出现特殊情况，代理机构可以以书面形式通知响应人延长交易有效期。响应人同意延长的，不得要求或被允许修改其响应文件，响应人拒绝延长的，其交易无效。</w:t>
      </w:r>
    </w:p>
    <w:p>
      <w:pPr>
        <w:pStyle w:val="136"/>
        <w:spacing w:before="0" w:line="460" w:lineRule="exact"/>
        <w:ind w:firstLine="643"/>
        <w:rPr>
          <w:rFonts w:ascii="宋体" w:hAnsi="宋体" w:cs="宋体"/>
          <w:b/>
          <w:color w:val="auto"/>
          <w:sz w:val="32"/>
          <w:highlight w:val="none"/>
        </w:rPr>
      </w:pPr>
    </w:p>
    <w:p>
      <w:pPr>
        <w:pStyle w:val="136"/>
        <w:spacing w:before="0" w:line="460" w:lineRule="exact"/>
        <w:ind w:firstLine="0" w:firstLineChars="0"/>
        <w:jc w:val="center"/>
        <w:rPr>
          <w:rFonts w:ascii="宋体" w:hAnsi="宋体" w:cs="宋体"/>
          <w:b/>
          <w:color w:val="auto"/>
          <w:sz w:val="32"/>
          <w:highlight w:val="none"/>
        </w:rPr>
      </w:pPr>
      <w:r>
        <w:rPr>
          <w:rFonts w:hint="eastAsia" w:ascii="宋体" w:hAnsi="宋体" w:cs="宋体"/>
          <w:b/>
          <w:color w:val="auto"/>
          <w:sz w:val="32"/>
          <w:highlight w:val="none"/>
        </w:rPr>
        <w:t>四、交易、资格审查</w:t>
      </w:r>
    </w:p>
    <w:p>
      <w:pPr>
        <w:pStyle w:val="560"/>
        <w:spacing w:before="0" w:line="460" w:lineRule="exact"/>
        <w:ind w:left="0" w:firstLine="0"/>
        <w:contextualSpacing/>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 xml:space="preserve">17.交易 </w:t>
      </w:r>
    </w:p>
    <w:p>
      <w:pPr>
        <w:pStyle w:val="560"/>
        <w:spacing w:before="0" w:line="460" w:lineRule="exact"/>
        <w:ind w:left="0" w:firstLine="420" w:firstLineChars="175"/>
        <w:contextualSpacing/>
        <w:rPr>
          <w:rFonts w:ascii="宋体" w:hAnsi="宋体" w:cs="宋体"/>
          <w:color w:val="auto"/>
          <w:sz w:val="24"/>
          <w:highlight w:val="none"/>
        </w:rPr>
      </w:pPr>
      <w:r>
        <w:rPr>
          <w:rFonts w:hint="eastAsia" w:ascii="宋体" w:hAnsi="宋体" w:cs="宋体"/>
          <w:color w:val="auto"/>
          <w:sz w:val="24"/>
          <w:highlight w:val="none"/>
        </w:rPr>
        <w:t>17.1代理机构按照公开竞争文件规定的时间通过电子交易平台组织开标，所有响应人均应当准时在线参加。响应人不足3家的，不得开标。</w:t>
      </w:r>
    </w:p>
    <w:p>
      <w:pPr>
        <w:pStyle w:val="560"/>
        <w:spacing w:before="0" w:line="460" w:lineRule="exact"/>
        <w:ind w:left="0" w:firstLine="420" w:firstLineChars="175"/>
        <w:contextualSpacing/>
        <w:rPr>
          <w:rFonts w:ascii="宋体" w:hAnsi="宋体" w:cs="宋体"/>
          <w:color w:val="auto"/>
          <w:sz w:val="24"/>
          <w:highlight w:val="none"/>
        </w:rPr>
      </w:pPr>
      <w:r>
        <w:rPr>
          <w:rFonts w:hint="eastAsia" w:ascii="宋体" w:hAnsi="宋体" w:cs="宋体"/>
          <w:color w:val="auto"/>
          <w:sz w:val="24"/>
          <w:highlight w:val="none"/>
        </w:rPr>
        <w:t>17.2交易时，电子交易平台按交易时间自动提取所有响应文件。代理机构依托电子交易平台发起开始解密指令，响应人按照平台提示和公开竞争文件的规定在半小时内完成在线解密。</w:t>
      </w:r>
    </w:p>
    <w:p>
      <w:pPr>
        <w:pStyle w:val="560"/>
        <w:spacing w:before="0" w:line="460" w:lineRule="exact"/>
        <w:ind w:left="0" w:firstLine="420" w:firstLineChars="175"/>
        <w:contextualSpacing/>
        <w:rPr>
          <w:rFonts w:ascii="宋体" w:hAnsi="宋体" w:cs="宋体"/>
          <w:color w:val="auto"/>
          <w:sz w:val="24"/>
          <w:highlight w:val="none"/>
        </w:rPr>
      </w:pPr>
      <w:r>
        <w:rPr>
          <w:rFonts w:hint="eastAsia" w:ascii="宋体" w:hAnsi="宋体" w:cs="宋体"/>
          <w:color w:val="auto"/>
          <w:sz w:val="24"/>
          <w:highlight w:val="none"/>
        </w:rPr>
        <w:t>17.3响应文件未按时解密，视为响应文件撤回。</w:t>
      </w:r>
    </w:p>
    <w:p>
      <w:pPr>
        <w:pStyle w:val="27"/>
        <w:spacing w:line="460" w:lineRule="exact"/>
        <w:ind w:left="479" w:hanging="479" w:hangingChars="199"/>
        <w:rPr>
          <w:rFonts w:cs="宋体"/>
          <w:b/>
          <w:color w:val="auto"/>
          <w:highlight w:val="none"/>
        </w:rPr>
      </w:pPr>
      <w:r>
        <w:rPr>
          <w:rFonts w:hint="eastAsia" w:cs="宋体"/>
          <w:b/>
          <w:color w:val="auto"/>
          <w:highlight w:val="none"/>
        </w:rPr>
        <w:t>18、资格审查</w:t>
      </w:r>
    </w:p>
    <w:p>
      <w:pPr>
        <w:pStyle w:val="136"/>
        <w:spacing w:before="0" w:line="46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18.1交易后，交易发起人或代理机构将依法对响应人的资格进行审查。</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18.2</w:t>
      </w:r>
      <w:r>
        <w:rPr>
          <w:rFonts w:hint="eastAsia" w:ascii="宋体" w:hAnsi="宋体" w:cs="宋体"/>
          <w:color w:val="auto"/>
          <w:sz w:val="24"/>
          <w:highlight w:val="none"/>
        </w:rPr>
        <w:t>交易发起人或代理机构依据法律法规和公开竞争文件的规定，对响应人的基本资格条件、特定资格条件进行审查。</w:t>
      </w:r>
    </w:p>
    <w:p>
      <w:pPr>
        <w:pStyle w:val="136"/>
        <w:spacing w:before="0" w:line="460" w:lineRule="exact"/>
        <w:ind w:firstLine="480"/>
        <w:rPr>
          <w:rFonts w:ascii="宋体" w:hAnsi="宋体" w:cs="宋体"/>
          <w:color w:val="auto"/>
          <w:highlight w:val="none"/>
        </w:rPr>
      </w:pPr>
      <w:r>
        <w:rPr>
          <w:rFonts w:hint="eastAsia" w:ascii="宋体" w:hAnsi="宋体" w:cs="宋体"/>
          <w:color w:val="auto"/>
          <w:kern w:val="0"/>
          <w:szCs w:val="24"/>
          <w:highlight w:val="none"/>
        </w:rPr>
        <w:t>18.3响应人未按照公开竞争文件要求提供与</w:t>
      </w:r>
      <w:r>
        <w:rPr>
          <w:rFonts w:hint="eastAsia" w:ascii="宋体" w:hAnsi="宋体" w:cs="宋体"/>
          <w:color w:val="auto"/>
          <w:highlight w:val="none"/>
        </w:rPr>
        <w:t>基本资格条件、特定资格条件相应的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响应人不具备公开竞争文件中规定的资格要求，其交易无效。</w:t>
      </w:r>
    </w:p>
    <w:p>
      <w:pPr>
        <w:pStyle w:val="136"/>
        <w:spacing w:before="0" w:line="460" w:lineRule="exact"/>
        <w:ind w:firstLine="480"/>
        <w:rPr>
          <w:rFonts w:ascii="宋体" w:hAnsi="宋体" w:cs="宋体"/>
          <w:color w:val="auto"/>
          <w:highlight w:val="none"/>
        </w:rPr>
      </w:pPr>
      <w:r>
        <w:rPr>
          <w:rFonts w:hint="eastAsia" w:ascii="宋体" w:hAnsi="宋体" w:cs="宋体"/>
          <w:color w:val="auto"/>
          <w:kern w:val="0"/>
          <w:szCs w:val="24"/>
          <w:highlight w:val="none"/>
        </w:rPr>
        <w:t>18.</w:t>
      </w:r>
      <w:r>
        <w:rPr>
          <w:rFonts w:hint="eastAsia" w:ascii="宋体" w:hAnsi="宋体" w:cs="宋体"/>
          <w:color w:val="auto"/>
          <w:highlight w:val="none"/>
        </w:rPr>
        <w:t>4对未通过资格审查的响应人，交易发起人或代理机构告知其未通过的原因。</w:t>
      </w:r>
    </w:p>
    <w:p>
      <w:pPr>
        <w:pStyle w:val="136"/>
        <w:spacing w:before="0" w:line="460" w:lineRule="exact"/>
        <w:ind w:firstLine="480"/>
        <w:rPr>
          <w:rFonts w:ascii="宋体" w:hAnsi="宋体" w:cs="宋体"/>
          <w:color w:val="auto"/>
          <w:highlight w:val="none"/>
        </w:rPr>
      </w:pPr>
      <w:r>
        <w:rPr>
          <w:rFonts w:hint="eastAsia" w:ascii="宋体" w:hAnsi="宋体" w:cs="宋体"/>
          <w:color w:val="auto"/>
          <w:kern w:val="0"/>
          <w:szCs w:val="24"/>
          <w:highlight w:val="none"/>
        </w:rPr>
        <w:t>18.</w:t>
      </w:r>
      <w:r>
        <w:rPr>
          <w:rFonts w:hint="eastAsia" w:ascii="宋体" w:hAnsi="宋体" w:cs="宋体"/>
          <w:color w:val="auto"/>
          <w:highlight w:val="none"/>
        </w:rPr>
        <w:t>5合格响应人不足3家的，不再评标。</w:t>
      </w:r>
    </w:p>
    <w:p>
      <w:pPr>
        <w:pStyle w:val="136"/>
        <w:spacing w:before="0" w:line="460" w:lineRule="exact"/>
        <w:ind w:firstLine="0" w:firstLineChars="0"/>
        <w:rPr>
          <w:rFonts w:ascii="宋体" w:hAnsi="宋体" w:cs="宋体"/>
          <w:color w:val="auto"/>
          <w:kern w:val="0"/>
          <w:szCs w:val="24"/>
          <w:highlight w:val="none"/>
        </w:rPr>
      </w:pPr>
    </w:p>
    <w:p>
      <w:pPr>
        <w:snapToGrid w:val="0"/>
        <w:spacing w:line="460" w:lineRule="exact"/>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五、评审</w:t>
      </w:r>
    </w:p>
    <w:p>
      <w:pPr>
        <w:spacing w:line="460" w:lineRule="exact"/>
        <w:rPr>
          <w:rFonts w:ascii="宋体" w:hAnsi="宋体" w:cs="宋体"/>
          <w:color w:val="auto"/>
          <w:sz w:val="24"/>
          <w:highlight w:val="none"/>
        </w:rPr>
      </w:pPr>
      <w:bookmarkStart w:id="14" w:name="_Toc91899903"/>
      <w:r>
        <w:rPr>
          <w:rFonts w:hint="eastAsia" w:ascii="宋体" w:hAnsi="宋体" w:cs="宋体"/>
          <w:b/>
          <w:color w:val="auto"/>
          <w:sz w:val="24"/>
          <w:highlight w:val="none"/>
        </w:rPr>
        <w:t>19.</w:t>
      </w:r>
      <w:r>
        <w:rPr>
          <w:rFonts w:hint="eastAsia" w:ascii="宋体" w:hAnsi="宋体" w:cs="宋体"/>
          <w:color w:val="auto"/>
          <w:sz w:val="24"/>
          <w:highlight w:val="none"/>
        </w:rPr>
        <w:t>评审委员会将根据公开竞争文件和有关规定，履行评标工作职责，并按照评标方法及评分标准，全面衡量各响应人对公开竞争文件的响应情况。对实质上响应公开竞争文件的响应人，按照评审因素的量化指标排出推荐成交的响应人的先后顺序，并按顺序提出授标建议。</w:t>
      </w:r>
    </w:p>
    <w:p>
      <w:pPr>
        <w:spacing w:line="460" w:lineRule="exact"/>
        <w:rPr>
          <w:rFonts w:ascii="宋体" w:hAnsi="宋体" w:cs="宋体"/>
          <w:b/>
          <w:color w:val="auto"/>
          <w:sz w:val="24"/>
          <w:highlight w:val="none"/>
        </w:rPr>
      </w:pPr>
      <w:r>
        <w:rPr>
          <w:rFonts w:hint="eastAsia" w:ascii="宋体" w:hAnsi="宋体" w:cs="宋体"/>
          <w:b/>
          <w:color w:val="auto"/>
          <w:sz w:val="24"/>
          <w:highlight w:val="none"/>
        </w:rPr>
        <w:t>详见公开竞争文件第四部分交易办法。</w:t>
      </w:r>
    </w:p>
    <w:p>
      <w:pPr>
        <w:spacing w:line="460" w:lineRule="exact"/>
        <w:rPr>
          <w:rFonts w:ascii="宋体" w:hAnsi="宋体" w:cs="宋体"/>
          <w:b/>
          <w:color w:val="auto"/>
          <w:sz w:val="24"/>
          <w:highlight w:val="none"/>
        </w:rPr>
      </w:pPr>
    </w:p>
    <w:p>
      <w:pPr>
        <w:snapToGrid w:val="0"/>
        <w:spacing w:line="460" w:lineRule="exact"/>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六、定标</w:t>
      </w:r>
    </w:p>
    <w:p>
      <w:pPr>
        <w:pStyle w:val="27"/>
        <w:spacing w:line="460" w:lineRule="exact"/>
        <w:ind w:left="479" w:hanging="479" w:hangingChars="199"/>
        <w:rPr>
          <w:rFonts w:cs="宋体"/>
          <w:b/>
          <w:color w:val="auto"/>
          <w:highlight w:val="none"/>
        </w:rPr>
      </w:pPr>
      <w:r>
        <w:rPr>
          <w:rFonts w:hint="eastAsia" w:cs="宋体"/>
          <w:b/>
          <w:color w:val="auto"/>
          <w:highlight w:val="none"/>
        </w:rPr>
        <w:t>20.确定成交响应人</w:t>
      </w:r>
    </w:p>
    <w:p>
      <w:pPr>
        <w:pStyle w:val="136"/>
        <w:snapToGrid w:val="0"/>
        <w:spacing w:before="0" w:line="460" w:lineRule="exact"/>
        <w:ind w:firstLine="480"/>
        <w:rPr>
          <w:rFonts w:ascii="宋体" w:hAnsi="宋体" w:cs="宋体"/>
          <w:b/>
          <w:color w:val="auto"/>
          <w:szCs w:val="24"/>
          <w:highlight w:val="none"/>
        </w:rPr>
      </w:pPr>
      <w:r>
        <w:rPr>
          <w:rFonts w:hint="eastAsia" w:ascii="宋体" w:hAnsi="宋体" w:cs="宋体"/>
          <w:color w:val="auto"/>
          <w:szCs w:val="24"/>
          <w:highlight w:val="none"/>
        </w:rPr>
        <w:t>交易发起人将自收到评审报告之日起5个工作日内通过电子交易平台在评审报告推荐的成交候选人中按顺序确定成交响应人。</w:t>
      </w:r>
    </w:p>
    <w:p>
      <w:pPr>
        <w:pStyle w:val="136"/>
        <w:snapToGrid w:val="0"/>
        <w:spacing w:before="0" w:line="460" w:lineRule="exact"/>
        <w:ind w:firstLine="0" w:firstLineChars="0"/>
        <w:rPr>
          <w:rFonts w:ascii="宋体" w:hAnsi="宋体" w:cs="宋体"/>
          <w:b/>
          <w:color w:val="auto"/>
          <w:szCs w:val="24"/>
          <w:highlight w:val="none"/>
        </w:rPr>
      </w:pPr>
      <w:r>
        <w:rPr>
          <w:rFonts w:hint="eastAsia" w:ascii="宋体" w:hAnsi="宋体" w:cs="宋体"/>
          <w:b/>
          <w:color w:val="auto"/>
          <w:szCs w:val="24"/>
          <w:highlight w:val="none"/>
        </w:rPr>
        <w:t>21.成交通知与成交结果公告</w:t>
      </w:r>
    </w:p>
    <w:p>
      <w:pPr>
        <w:widowControl/>
        <w:shd w:val="clear" w:color="auto" w:fill="FFFFFF"/>
        <w:spacing w:line="460" w:lineRule="exact"/>
        <w:ind w:firstLine="480"/>
        <w:jc w:val="left"/>
        <w:rPr>
          <w:rFonts w:ascii="宋体" w:hAnsi="宋体" w:cs="宋体"/>
          <w:color w:val="auto"/>
          <w:sz w:val="24"/>
          <w:highlight w:val="none"/>
        </w:rPr>
      </w:pPr>
      <w:r>
        <w:rPr>
          <w:rFonts w:hint="eastAsia" w:ascii="宋体" w:hAnsi="宋体" w:cs="宋体"/>
          <w:color w:val="auto"/>
          <w:sz w:val="24"/>
          <w:highlight w:val="none"/>
        </w:rPr>
        <w:t>21.1自成交人确定之日起3天内，代理机构通过电子交易平台向成交人发出成交通知书，同时编制发布成交结果公告。代理机构也可以以纸质形式进行成交通知。</w:t>
      </w:r>
    </w:p>
    <w:p>
      <w:pPr>
        <w:widowControl/>
        <w:shd w:val="clear" w:color="auto" w:fill="FFFFFF"/>
        <w:spacing w:line="460" w:lineRule="exact"/>
        <w:ind w:firstLine="480"/>
        <w:jc w:val="left"/>
        <w:rPr>
          <w:rFonts w:ascii="宋体" w:hAnsi="宋体" w:cs="宋体"/>
          <w:color w:val="auto"/>
          <w:sz w:val="24"/>
          <w:highlight w:val="none"/>
        </w:rPr>
      </w:pPr>
      <w:r>
        <w:rPr>
          <w:rFonts w:hint="eastAsia" w:ascii="宋体" w:hAnsi="宋体" w:cs="宋体"/>
          <w:color w:val="auto"/>
          <w:sz w:val="24"/>
          <w:highlight w:val="none"/>
        </w:rPr>
        <w:t>21.2成交结果公告内容包括交易发起人及其委托的代理机构的名称、地址、联系方式，项目名称和交易编号，成交人名称、地址和成交金额。</w:t>
      </w:r>
    </w:p>
    <w:p>
      <w:pPr>
        <w:snapToGrid w:val="0"/>
        <w:spacing w:line="460" w:lineRule="exact"/>
        <w:ind w:left="120" w:leftChars="57" w:firstLine="482" w:firstLineChars="150"/>
        <w:jc w:val="center"/>
        <w:rPr>
          <w:rFonts w:ascii="宋体" w:hAnsi="宋体" w:cs="宋体"/>
          <w:b/>
          <w:color w:val="auto"/>
          <w:sz w:val="32"/>
          <w:highlight w:val="none"/>
        </w:rPr>
      </w:pPr>
    </w:p>
    <w:p>
      <w:pPr>
        <w:snapToGrid w:val="0"/>
        <w:spacing w:line="460" w:lineRule="exact"/>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7"/>
        <w:spacing w:line="460" w:lineRule="exact"/>
        <w:ind w:left="479" w:hanging="479" w:hangingChars="199"/>
        <w:rPr>
          <w:rFonts w:cs="宋体"/>
          <w:b/>
          <w:color w:val="auto"/>
          <w:highlight w:val="none"/>
        </w:rPr>
      </w:pPr>
      <w:r>
        <w:rPr>
          <w:rFonts w:hint="eastAsia" w:cs="宋体"/>
          <w:b/>
          <w:color w:val="auto"/>
          <w:highlight w:val="none"/>
        </w:rPr>
        <w:t>22.</w:t>
      </w:r>
      <w:r>
        <w:rPr>
          <w:rFonts w:hint="eastAsia" w:cs="宋体"/>
          <w:color w:val="auto"/>
          <w:highlight w:val="none"/>
        </w:rPr>
        <w:t>合同主要条款详见第五部分拟签订的合同文本。</w:t>
      </w:r>
    </w:p>
    <w:p>
      <w:pPr>
        <w:pStyle w:val="27"/>
        <w:spacing w:line="460" w:lineRule="exact"/>
        <w:ind w:left="479" w:hanging="479" w:hangingChars="199"/>
        <w:rPr>
          <w:rFonts w:cs="宋体"/>
          <w:b/>
          <w:color w:val="auto"/>
          <w:highlight w:val="none"/>
        </w:rPr>
      </w:pPr>
      <w:r>
        <w:rPr>
          <w:rFonts w:hint="eastAsia" w:cs="宋体"/>
          <w:b/>
          <w:color w:val="auto"/>
          <w:highlight w:val="none"/>
        </w:rPr>
        <w:t>23.合同的签订</w:t>
      </w:r>
    </w:p>
    <w:p>
      <w:pPr>
        <w:widowControl/>
        <w:shd w:val="clear" w:color="auto" w:fill="FFFFFF"/>
        <w:spacing w:line="460" w:lineRule="exact"/>
        <w:ind w:firstLine="480"/>
        <w:jc w:val="left"/>
        <w:rPr>
          <w:rFonts w:ascii="宋体" w:hAnsi="宋体" w:cs="宋体"/>
          <w:color w:val="auto"/>
          <w:kern w:val="0"/>
          <w:sz w:val="24"/>
          <w:highlight w:val="none"/>
        </w:rPr>
      </w:pPr>
      <w:r>
        <w:rPr>
          <w:rFonts w:hint="eastAsia" w:ascii="宋体" w:hAnsi="宋体" w:cs="宋体"/>
          <w:color w:val="auto"/>
          <w:sz w:val="24"/>
          <w:highlight w:val="none"/>
        </w:rPr>
        <w:t>23.1</w:t>
      </w:r>
      <w:r>
        <w:rPr>
          <w:rFonts w:hint="eastAsia" w:ascii="宋体" w:hAnsi="宋体" w:cs="宋体"/>
          <w:color w:val="auto"/>
          <w:kern w:val="0"/>
          <w:sz w:val="24"/>
          <w:highlight w:val="none"/>
        </w:rPr>
        <w:t xml:space="preserve"> 交易发起人与成交人应当通过电子交易平台在成交通知书发出之日起三十日内，按照公开竞争文件确定的事项签订书面合同。</w:t>
      </w:r>
    </w:p>
    <w:p>
      <w:pPr>
        <w:pStyle w:val="136"/>
        <w:snapToGrid w:val="0"/>
        <w:spacing w:before="0" w:line="460" w:lineRule="exact"/>
        <w:ind w:firstLine="480"/>
        <w:rPr>
          <w:rFonts w:ascii="宋体" w:hAnsi="宋体" w:cs="宋体"/>
          <w:color w:val="auto"/>
          <w:kern w:val="0"/>
          <w:highlight w:val="none"/>
        </w:rPr>
      </w:pPr>
      <w:r>
        <w:rPr>
          <w:rFonts w:hint="eastAsia" w:ascii="宋体" w:hAnsi="宋体" w:cs="宋体"/>
          <w:color w:val="auto"/>
          <w:kern w:val="0"/>
          <w:highlight w:val="none"/>
          <w:lang w:val="zh-CN"/>
        </w:rPr>
        <w:t>2</w:t>
      </w:r>
      <w:r>
        <w:rPr>
          <w:rFonts w:hint="eastAsia" w:ascii="宋体" w:hAnsi="宋体" w:cs="宋体"/>
          <w:color w:val="auto"/>
          <w:kern w:val="0"/>
          <w:highlight w:val="none"/>
        </w:rPr>
        <w:t>3</w:t>
      </w:r>
      <w:r>
        <w:rPr>
          <w:rFonts w:hint="eastAsia" w:ascii="宋体" w:hAnsi="宋体" w:cs="宋体"/>
          <w:color w:val="auto"/>
          <w:kern w:val="0"/>
          <w:highlight w:val="none"/>
          <w:lang w:val="zh-CN"/>
        </w:rPr>
        <w:t>.2成交人按规定的日期、时间、地点，由法定代表人或其授权代表与交易发起人代表签订合同。如成交人为联合体的，由联合体成员各方法定代表人或其授权代表与交易发起人代表签订合同。</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23.3如签订合同并生效后，响应人无故拒绝或延期，除按照合同条款处理外，列入不良行为记录一次，并给予通报。</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23.4成交响应人拒绝与交易发起人签订合同的，交易发起人可以按照评审报告推荐的</w:t>
      </w:r>
      <w:r>
        <w:rPr>
          <w:rFonts w:hint="eastAsia" w:ascii="宋体" w:hAnsi="宋体" w:cs="宋体"/>
          <w:color w:val="auto"/>
          <w:kern w:val="0"/>
          <w:highlight w:val="none"/>
        </w:rPr>
        <w:t>成交</w:t>
      </w:r>
      <w:r>
        <w:rPr>
          <w:rFonts w:hint="eastAsia" w:ascii="宋体" w:hAnsi="宋体" w:cs="宋体"/>
          <w:color w:val="auto"/>
          <w:highlight w:val="none"/>
        </w:rPr>
        <w:t>或者成交候选人名单排序，确定下一候选人为成交响应人，也可以重新开展交易活动。</w:t>
      </w:r>
    </w:p>
    <w:p>
      <w:pPr>
        <w:pStyle w:val="136"/>
        <w:snapToGrid w:val="0"/>
        <w:spacing w:before="0" w:after="120" w:line="460" w:lineRule="exact"/>
        <w:ind w:firstLine="480"/>
        <w:rPr>
          <w:rFonts w:ascii="宋体" w:hAnsi="宋体" w:cs="宋体"/>
          <w:color w:val="auto"/>
          <w:highlight w:val="none"/>
        </w:rPr>
      </w:pPr>
      <w:r>
        <w:rPr>
          <w:rFonts w:hint="eastAsia" w:ascii="宋体" w:hAnsi="宋体" w:cs="宋体"/>
          <w:color w:val="auto"/>
          <w:highlight w:val="none"/>
        </w:rPr>
        <w:t>23.5书面合同由交易发起人与成交响应人根据公开竞争文件、响应文件等内容签订合同。</w:t>
      </w:r>
    </w:p>
    <w:p>
      <w:pPr>
        <w:pStyle w:val="27"/>
        <w:spacing w:line="460" w:lineRule="exact"/>
        <w:ind w:left="479" w:hanging="479" w:hangingChars="199"/>
        <w:rPr>
          <w:rFonts w:cs="宋体"/>
          <w:b/>
          <w:color w:val="auto"/>
          <w:highlight w:val="none"/>
        </w:rPr>
      </w:pPr>
      <w:r>
        <w:rPr>
          <w:rFonts w:hint="eastAsia" w:cs="宋体"/>
          <w:b/>
          <w:color w:val="auto"/>
          <w:highlight w:val="none"/>
        </w:rPr>
        <w:t>24.履约保证金：</w:t>
      </w:r>
      <w:r>
        <w:rPr>
          <w:rFonts w:hint="eastAsia" w:cs="宋体"/>
          <w:bCs/>
          <w:color w:val="auto"/>
          <w:highlight w:val="none"/>
        </w:rPr>
        <w:t>不收取。</w:t>
      </w:r>
    </w:p>
    <w:p>
      <w:pPr>
        <w:snapToGrid w:val="0"/>
        <w:spacing w:line="460" w:lineRule="exact"/>
        <w:ind w:firstLine="3357" w:firstLineChars="1045"/>
        <w:rPr>
          <w:rFonts w:ascii="宋体" w:hAnsi="宋体" w:cs="宋体"/>
          <w:b/>
          <w:color w:val="auto"/>
          <w:sz w:val="32"/>
          <w:highlight w:val="none"/>
        </w:rPr>
      </w:pPr>
    </w:p>
    <w:p>
      <w:pPr>
        <w:snapToGrid w:val="0"/>
        <w:spacing w:line="460" w:lineRule="exact"/>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6"/>
        <w:snapToGrid w:val="0"/>
        <w:spacing w:before="0" w:line="460" w:lineRule="exact"/>
        <w:ind w:firstLine="0" w:firstLineChars="0"/>
        <w:rPr>
          <w:rFonts w:ascii="宋体" w:hAnsi="宋体" w:cs="宋体"/>
          <w:color w:val="auto"/>
          <w:highlight w:val="none"/>
        </w:rPr>
      </w:pPr>
      <w:r>
        <w:rPr>
          <w:rFonts w:hint="eastAsia" w:ascii="宋体" w:hAnsi="宋体" w:cs="宋体"/>
          <w:b/>
          <w:bCs/>
          <w:color w:val="auto"/>
          <w:highlight w:val="none"/>
        </w:rPr>
        <w:t>2</w:t>
      </w:r>
      <w:r>
        <w:rPr>
          <w:rFonts w:hint="eastAsia" w:ascii="宋体" w:hAnsi="宋体" w:cs="宋体"/>
          <w:b/>
          <w:color w:val="auto"/>
          <w:szCs w:val="24"/>
          <w:highlight w:val="none"/>
        </w:rPr>
        <w:t>5.电子交易活动的中止。</w:t>
      </w:r>
      <w:r>
        <w:rPr>
          <w:rFonts w:hint="eastAsia" w:ascii="宋体" w:hAnsi="宋体" w:cs="宋体"/>
          <w:bCs/>
          <w:color w:val="auto"/>
          <w:szCs w:val="24"/>
          <w:highlight w:val="none"/>
        </w:rPr>
        <w:t>交易</w:t>
      </w:r>
      <w:r>
        <w:rPr>
          <w:rFonts w:hint="eastAsia" w:ascii="宋体" w:hAnsi="宋体" w:cs="宋体"/>
          <w:color w:val="auto"/>
          <w:highlight w:val="none"/>
        </w:rPr>
        <w:t>过程中出现以下情形，导致电子交易平台无法正常运行，或者无法保证电子交易的公平、公正和安全时，代理机构可中止电子交易活动：</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 xml:space="preserve">25.1电子交易平台发生故障而无法登录访问的； </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25.2电子交易平台应用或数据库出现错误，不能进行正常操作的；</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25.3电子交易平台发现严重安全漏洞，有潜在泄密危险的；</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 xml:space="preserve">25.4病毒发作导致不能进行正常操作的； </w:t>
      </w:r>
    </w:p>
    <w:p>
      <w:pPr>
        <w:pStyle w:val="136"/>
        <w:snapToGrid w:val="0"/>
        <w:spacing w:before="0" w:line="460" w:lineRule="exact"/>
        <w:ind w:firstLine="480"/>
        <w:rPr>
          <w:rFonts w:ascii="宋体" w:hAnsi="宋体" w:cs="宋体"/>
          <w:color w:val="auto"/>
          <w:highlight w:val="none"/>
        </w:rPr>
      </w:pPr>
      <w:r>
        <w:rPr>
          <w:rFonts w:hint="eastAsia" w:ascii="宋体" w:hAnsi="宋体" w:cs="宋体"/>
          <w:color w:val="auto"/>
          <w:highlight w:val="none"/>
        </w:rPr>
        <w:t>25.5其他无法保证电子交易的公平、公正和安全的情况。</w:t>
      </w:r>
    </w:p>
    <w:p>
      <w:pPr>
        <w:pStyle w:val="136"/>
        <w:snapToGrid w:val="0"/>
        <w:spacing w:before="0" w:line="460" w:lineRule="exact"/>
        <w:ind w:firstLine="0" w:firstLineChars="0"/>
        <w:rPr>
          <w:rFonts w:ascii="宋体" w:hAnsi="宋体" w:cs="宋体"/>
          <w:color w:val="auto"/>
          <w:highlight w:val="none"/>
        </w:rPr>
      </w:pPr>
      <w:r>
        <w:rPr>
          <w:rFonts w:hint="eastAsia" w:ascii="宋体" w:hAnsi="宋体" w:cs="宋体"/>
          <w:b/>
          <w:bCs/>
          <w:color w:val="auto"/>
          <w:highlight w:val="none"/>
        </w:rPr>
        <w:t>26.</w:t>
      </w:r>
      <w:r>
        <w:rPr>
          <w:rFonts w:hint="eastAsia" w:ascii="宋体" w:hAnsi="宋体" w:cs="宋体"/>
          <w:color w:val="auto"/>
          <w:highlight w:val="none"/>
        </w:rPr>
        <w:t>出现以上情形，不影响交易公平、公正性的，代理机构可以待上述情形消除后继续组织电子交易活动，也可以决定某些环节以纸质形式进行；影响或可能影响交易公平、公正性的，应当重新交易。</w:t>
      </w:r>
    </w:p>
    <w:p>
      <w:pPr>
        <w:snapToGrid w:val="0"/>
        <w:spacing w:line="460" w:lineRule="exact"/>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7"/>
        <w:spacing w:line="460" w:lineRule="exact"/>
        <w:ind w:firstLine="0" w:firstLineChars="0"/>
        <w:rPr>
          <w:rFonts w:cs="宋体"/>
          <w:b/>
          <w:color w:val="auto"/>
          <w:highlight w:val="none"/>
        </w:rPr>
      </w:pPr>
      <w:r>
        <w:rPr>
          <w:rFonts w:hint="eastAsia" w:cs="宋体"/>
          <w:b/>
          <w:color w:val="auto"/>
          <w:highlight w:val="none"/>
        </w:rPr>
        <w:t>27.验收</w:t>
      </w:r>
    </w:p>
    <w:p>
      <w:pPr>
        <w:tabs>
          <w:tab w:val="left" w:pos="0"/>
        </w:tabs>
        <w:spacing w:line="46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27.1交易发起人应当组织对响应人履约的验收。</w:t>
      </w:r>
    </w:p>
    <w:bookmarkEnd w:id="12"/>
    <w:bookmarkEnd w:id="13"/>
    <w:bookmarkEnd w:id="14"/>
    <w:p>
      <w:pPr>
        <w:rPr>
          <w:rFonts w:ascii="宋体" w:hAnsi="宋体" w:cs="宋体"/>
          <w:b/>
          <w:color w:val="auto"/>
          <w:sz w:val="36"/>
          <w:szCs w:val="36"/>
          <w:highlight w:val="none"/>
        </w:rPr>
      </w:pPr>
      <w:bookmarkStart w:id="15" w:name="第四部分"/>
      <w:r>
        <w:rPr>
          <w:rFonts w:hint="eastAsia" w:ascii="宋体" w:hAnsi="宋体" w:cs="宋体"/>
          <w:b/>
          <w:color w:val="auto"/>
          <w:sz w:val="36"/>
          <w:szCs w:val="36"/>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第三部分   交易需求</w:t>
      </w: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属于实质性要求条款的，请用符号“▲”标明，否则属于非实质性要求。</w:t>
      </w:r>
    </w:p>
    <w:p>
      <w:pPr>
        <w:numPr>
          <w:ilvl w:val="0"/>
          <w:numId w:val="2"/>
        </w:num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交易一览表</w:t>
      </w:r>
    </w:p>
    <w:tbl>
      <w:tblPr>
        <w:tblStyle w:val="65"/>
        <w:tblpPr w:leftFromText="180" w:rightFromText="180" w:vertAnchor="text" w:horzAnchor="margin" w:tblpY="6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2639"/>
        <w:gridCol w:w="708"/>
        <w:gridCol w:w="732"/>
        <w:gridCol w:w="1392"/>
        <w:gridCol w:w="1752"/>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 w:hRule="atLeast"/>
        </w:trPr>
        <w:tc>
          <w:tcPr>
            <w:tcW w:w="717"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标项</w:t>
            </w:r>
          </w:p>
        </w:tc>
        <w:tc>
          <w:tcPr>
            <w:tcW w:w="2639"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名称</w:t>
            </w:r>
          </w:p>
        </w:tc>
        <w:tc>
          <w:tcPr>
            <w:tcW w:w="708"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数量</w:t>
            </w:r>
          </w:p>
        </w:tc>
        <w:tc>
          <w:tcPr>
            <w:tcW w:w="732"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单位</w:t>
            </w:r>
          </w:p>
        </w:tc>
        <w:tc>
          <w:tcPr>
            <w:tcW w:w="1392"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预算（元）</w:t>
            </w:r>
          </w:p>
        </w:tc>
        <w:tc>
          <w:tcPr>
            <w:tcW w:w="1752"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规格及技术要求</w:t>
            </w:r>
          </w:p>
        </w:tc>
        <w:tc>
          <w:tcPr>
            <w:tcW w:w="1524"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9" w:hRule="atLeast"/>
        </w:trPr>
        <w:tc>
          <w:tcPr>
            <w:tcW w:w="717"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639"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pacing w:val="-6"/>
                <w:sz w:val="24"/>
                <w:highlight w:val="none"/>
              </w:rPr>
              <w:t>数据库维保</w:t>
            </w:r>
          </w:p>
        </w:tc>
        <w:tc>
          <w:tcPr>
            <w:tcW w:w="708"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732"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年</w:t>
            </w:r>
          </w:p>
        </w:tc>
        <w:tc>
          <w:tcPr>
            <w:tcW w:w="1392"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140000.00</w:t>
            </w:r>
          </w:p>
        </w:tc>
        <w:tc>
          <w:tcPr>
            <w:tcW w:w="1752"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详见交易需求</w:t>
            </w:r>
          </w:p>
        </w:tc>
        <w:tc>
          <w:tcPr>
            <w:tcW w:w="1524"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9" w:hRule="atLeast"/>
        </w:trPr>
        <w:tc>
          <w:tcPr>
            <w:tcW w:w="717"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639"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医保基金综合管理系统</w:t>
            </w:r>
          </w:p>
        </w:tc>
        <w:tc>
          <w:tcPr>
            <w:tcW w:w="708"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732" w:type="dxa"/>
            <w:tcMar>
              <w:top w:w="15" w:type="dxa"/>
              <w:left w:w="15" w:type="dxa"/>
              <w:bottom w:w="0" w:type="dxa"/>
              <w:right w:w="15" w:type="dxa"/>
            </w:tcMar>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年</w:t>
            </w:r>
          </w:p>
        </w:tc>
        <w:tc>
          <w:tcPr>
            <w:tcW w:w="1392"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98000.00</w:t>
            </w:r>
          </w:p>
        </w:tc>
        <w:tc>
          <w:tcPr>
            <w:tcW w:w="1752"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详见交易需求</w:t>
            </w:r>
          </w:p>
        </w:tc>
        <w:tc>
          <w:tcPr>
            <w:tcW w:w="1524" w:type="dxa"/>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98000.00</w:t>
            </w:r>
          </w:p>
        </w:tc>
      </w:tr>
    </w:tbl>
    <w:p>
      <w:pPr>
        <w:pStyle w:val="82"/>
        <w:rPr>
          <w:color w:val="auto"/>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4"/>
          <w:highlight w:val="none"/>
        </w:rPr>
        <w:t>二、交易需求</w:t>
      </w:r>
    </w:p>
    <w:p>
      <w:pPr>
        <w:rPr>
          <w:rFonts w:ascii="宋体" w:hAnsi="宋体" w:cs="宋体"/>
          <w:b/>
          <w:bCs/>
          <w:color w:val="auto"/>
          <w:sz w:val="24"/>
          <w:highlight w:val="none"/>
        </w:rPr>
      </w:pPr>
      <w:r>
        <w:rPr>
          <w:rFonts w:hint="eastAsia" w:ascii="宋体" w:hAnsi="宋体" w:cs="宋体"/>
          <w:b/>
          <w:bCs/>
          <w:color w:val="auto"/>
          <w:sz w:val="24"/>
          <w:highlight w:val="none"/>
        </w:rPr>
        <w:t>1、技术需求</w:t>
      </w:r>
    </w:p>
    <w:p>
      <w:pPr>
        <w:spacing w:line="360" w:lineRule="auto"/>
        <w:jc w:val="center"/>
        <w:rPr>
          <w:rFonts w:ascii="宋体" w:hAnsi="宋体"/>
          <w:b/>
          <w:color w:val="auto"/>
          <w:szCs w:val="21"/>
          <w:highlight w:val="none"/>
        </w:rPr>
      </w:pPr>
      <w:bookmarkStart w:id="16" w:name="_Toc458886103"/>
      <w:r>
        <w:rPr>
          <w:rFonts w:hint="eastAsia" w:ascii="宋体" w:hAnsi="宋体" w:cs="宋体"/>
          <w:b/>
          <w:color w:val="auto"/>
          <w:sz w:val="24"/>
          <w:highlight w:val="none"/>
        </w:rPr>
        <w:t>标项1：数据库维保</w:t>
      </w:r>
    </w:p>
    <w:bookmarkEnd w:id="16"/>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我院信息化建设经过多年的发展和完善，已经建立众多成熟的生产业务系统包括HIS、LIS、PACS、电子病历等医院ORACLE和SQL SERVER数据库系统，这些业务系统运行的后台数据库均为ORACLE和SQL SERVER数据库；伴随着医院信息化的发展，将对各业务系统以及业务系统数据库依赖逐步增减，同时在业务发展的同时，对于数据库的运维要求也同步提高，但是IT中心在历史的数据库维护中发现，现有的数据库维护手段已经不能满足业务发展需要。</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为了保障我院各业务系统数据库的正常稳定运行，及时处理出现的各类故障，应对灾难发生，保障核心数据的安全，拟对上述系统的维保服务进行采购。</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维保范围：HIS、LIS、PACS、电子病历等医院ORACLE和SQL SERVER数据库系统</w:t>
      </w:r>
    </w:p>
    <w:p>
      <w:pPr>
        <w:spacing w:line="50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维保时间要求：</w:t>
      </w:r>
      <w:r>
        <w:rPr>
          <w:rFonts w:hint="eastAsia" w:ascii="宋体" w:hAnsi="宋体" w:cs="宋体"/>
          <w:b/>
          <w:bCs/>
          <w:color w:val="auto"/>
          <w:sz w:val="24"/>
          <w:highlight w:val="none"/>
        </w:rPr>
        <w:t>两年</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响应时间要求：7*24小时响应。</w:t>
      </w:r>
    </w:p>
    <w:tbl>
      <w:tblPr>
        <w:tblStyle w:val="65"/>
        <w:tblW w:w="8617" w:type="dxa"/>
        <w:tblInd w:w="124" w:type="dxa"/>
        <w:tblLayout w:type="fixed"/>
        <w:tblCellMar>
          <w:top w:w="0" w:type="dxa"/>
          <w:left w:w="0" w:type="dxa"/>
          <w:bottom w:w="0" w:type="dxa"/>
          <w:right w:w="0" w:type="dxa"/>
        </w:tblCellMar>
      </w:tblPr>
      <w:tblGrid>
        <w:gridCol w:w="992"/>
        <w:gridCol w:w="6161"/>
        <w:gridCol w:w="1464"/>
      </w:tblGrid>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61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技术服务内容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服务期限</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（一）</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HIS、LIS、PACS、电子病历等8个数据库系统技术支援服务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两年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7*24小时远程咨询和应急响应支持服务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两年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现场应急响应保障支持服务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2人天/年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数据库日常巡检服务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4次/年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协助完善系统日常运维服务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两年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1.5</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hint="eastAsia" w:ascii="宋体" w:hAnsi="宋体" w:cs="宋体"/>
                <w:color w:val="auto"/>
                <w:sz w:val="24"/>
                <w:highlight w:val="none"/>
              </w:rPr>
            </w:pPr>
            <w:r>
              <w:rPr>
                <w:rFonts w:hint="eastAsia" w:ascii="宋体" w:hAnsi="宋体" w:cs="宋体"/>
                <w:color w:val="auto"/>
                <w:sz w:val="24"/>
                <w:highlight w:val="none"/>
              </w:rPr>
              <w:t>数据库容灾演练服务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hint="eastAsia" w:ascii="宋体" w:hAnsi="宋体" w:cs="宋体"/>
                <w:color w:val="auto"/>
                <w:sz w:val="24"/>
                <w:highlight w:val="none"/>
              </w:rPr>
            </w:pPr>
            <w:r>
              <w:rPr>
                <w:rFonts w:hint="eastAsia" w:ascii="宋体" w:hAnsi="宋体" w:cs="宋体"/>
                <w:color w:val="auto"/>
                <w:sz w:val="24"/>
                <w:highlight w:val="none"/>
              </w:rPr>
              <w:t>1次/年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（二）</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数据库性能优化服务</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2人天/年</w:t>
            </w:r>
          </w:p>
        </w:tc>
      </w:tr>
      <w:tr>
        <w:tblPrEx>
          <w:tblCellMar>
            <w:top w:w="0" w:type="dxa"/>
            <w:left w:w="0" w:type="dxa"/>
            <w:bottom w:w="0" w:type="dxa"/>
            <w:right w:w="0" w:type="dxa"/>
          </w:tblCellMar>
        </w:tblPrEx>
        <w:trPr>
          <w:cantSplit/>
          <w:trHeight w:val="454"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（三）</w:t>
            </w:r>
          </w:p>
        </w:tc>
        <w:tc>
          <w:tcPr>
            <w:tcW w:w="6161"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jc w:val="left"/>
              <w:rPr>
                <w:rFonts w:ascii="宋体" w:hAnsi="宋体" w:cs="宋体"/>
                <w:color w:val="auto"/>
                <w:sz w:val="24"/>
                <w:highlight w:val="none"/>
              </w:rPr>
            </w:pPr>
            <w:r>
              <w:rPr>
                <w:rFonts w:hint="eastAsia" w:ascii="宋体" w:hAnsi="宋体" w:cs="宋体"/>
                <w:color w:val="auto"/>
                <w:sz w:val="24"/>
                <w:highlight w:val="none"/>
              </w:rPr>
              <w:t>客户管理</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两年</w:t>
            </w:r>
          </w:p>
        </w:tc>
      </w:tr>
    </w:tbl>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一、技术服务要求</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 7*24小时远程咨询和应急响应支持服务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数据库系统故障或与数据库系统相关联的系统故障，提供7*24小时不间断非现场(可以是400电话、e-mail、VPN、QQ等形式)支持服务，通过以上方式直接联络服务商的技术工程师，寻求问题的解决方案、技术文档以及技术指导，提供故障处理案例。</w:t>
      </w:r>
    </w:p>
    <w:p>
      <w:pPr>
        <w:spacing w:line="500" w:lineRule="exact"/>
        <w:rPr>
          <w:rFonts w:ascii="宋体" w:hAnsi="宋体" w:cs="宋体"/>
          <w:color w:val="auto"/>
          <w:sz w:val="24"/>
          <w:highlight w:val="none"/>
        </w:rPr>
      </w:pPr>
      <w:r>
        <w:rPr>
          <w:rFonts w:hint="eastAsia" w:ascii="宋体" w:hAnsi="宋体" w:cs="宋体"/>
          <w:color w:val="auto"/>
          <w:sz w:val="24"/>
          <w:highlight w:val="none"/>
        </w:rPr>
        <w:t>在接到我院故障申告后应于5分钟内响应，如故障未能在15分钟内通过远程支持得到解决，承诺根据我院要求派指定服务工程师在2小时内赶到我院现场，提供不间断故障处理服务。</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1.2现场应急响应保障支持服务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当遇到复杂性问题，需要到现场进行综合诊断或者我院要求现场支持服务的时候，要求服务团队人员乃至专家后援服务团队人员在2小时内到达支持现场，同时要求在路途中不中断电话支持以求快速解决问题。</w:t>
      </w:r>
    </w:p>
    <w:p>
      <w:pPr>
        <w:spacing w:line="500" w:lineRule="exact"/>
        <w:rPr>
          <w:rFonts w:ascii="宋体" w:hAnsi="宋体" w:cs="宋体"/>
          <w:color w:val="auto"/>
          <w:sz w:val="24"/>
          <w:highlight w:val="none"/>
        </w:rPr>
      </w:pPr>
      <w:r>
        <w:rPr>
          <w:rFonts w:hint="eastAsia" w:ascii="宋体" w:hAnsi="宋体" w:cs="宋体"/>
          <w:color w:val="auto"/>
          <w:sz w:val="24"/>
          <w:highlight w:val="none"/>
        </w:rPr>
        <w:t>服务期内每年提供现场服2人天。</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1.3数据库日常巡检服务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日常检查至少包括以下内容：</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1）检查相关软硬件、数据库配置和SGA、PGA的配置情况；</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2）检查数据库、备份结果集、各表空间的变化情况等，并对数据变化情况作评估；</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3）统计当前表空间、文件系统和数据文件的使用情况；</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4）检查数据库alert.log日志文件和相关trace文件；</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5）检查操作系统用户、数据库用户、系统本身的安全性；</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6）收集数据库运行期间的负载情况和Instance各性能指标；</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7）检查数据库备份是否正常；</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8）服务期内提供一年四次的现场巡检服务。</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1.4协助完善系统日常运维服务</w:t>
      </w:r>
    </w:p>
    <w:p>
      <w:pPr>
        <w:spacing w:line="500" w:lineRule="exact"/>
        <w:rPr>
          <w:rFonts w:ascii="宋体" w:hAnsi="宋体" w:cs="宋体"/>
          <w:color w:val="auto"/>
          <w:sz w:val="24"/>
          <w:highlight w:val="none"/>
        </w:rPr>
      </w:pPr>
      <w:r>
        <w:rPr>
          <w:rFonts w:hint="eastAsia" w:ascii="宋体" w:hAnsi="宋体" w:cs="宋体"/>
          <w:color w:val="auto"/>
          <w:sz w:val="24"/>
          <w:highlight w:val="none"/>
        </w:rPr>
        <w:t>根据我院的实际情况，制定合理的运维计划和运维操作手册，完善日常运维文档，并根据日常运维内容提供及时告警。</w:t>
      </w:r>
    </w:p>
    <w:p>
      <w:pPr>
        <w:spacing w:line="50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1.5数据库容灾演练服务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基于医院现有数据库容灾软件，提供数据库容灾演练服务，演练之前预留故障模拟时间。待正式切换开始后，进行应急响应、应急容灾切换等各项工作，并做好时间记录，按演练步骤逐个填写演练记录表。</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应急系统演练主要包括应急切换决策流程、切换前消息发布、切换指标的达标情况、切换之后的业务测试、应急回切时间、应急回切后数据一致性测试、应急回切后正式业务完成性测试、切换大屏展示等内容，演练完成需要提供数据库容灾演练报告。</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■为保证数据库容灾演练的真实有效，保障演练期间业务系统的连续性，要求投标方投标时提供数据库容灾系统原厂商保期内的技术支持服务授权证明材料。</w:t>
      </w:r>
    </w:p>
    <w:p>
      <w:pPr>
        <w:spacing w:line="500" w:lineRule="exact"/>
        <w:rPr>
          <w:rFonts w:ascii="宋体" w:hAnsi="宋体" w:cs="宋体"/>
          <w:color w:val="auto"/>
          <w:sz w:val="24"/>
          <w:highlight w:val="none"/>
        </w:rPr>
      </w:pPr>
      <w:r>
        <w:rPr>
          <w:rFonts w:hint="eastAsia" w:ascii="宋体" w:hAnsi="宋体" w:cs="宋体"/>
          <w:color w:val="auto"/>
          <w:sz w:val="24"/>
          <w:highlight w:val="none"/>
        </w:rPr>
        <w:t>服务期内提供一年一次数据库容灾演练并提供容灾演练报告。</w:t>
      </w:r>
    </w:p>
    <w:p>
      <w:pPr>
        <w:pStyle w:val="35"/>
        <w:rPr>
          <w:rFonts w:hint="eastAsia"/>
          <w:color w:val="auto"/>
          <w:highlight w:val="none"/>
        </w:rPr>
      </w:pPr>
    </w:p>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二、数据库性能优化服务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结合系统定期巡检和我院重大事件等实际需要，根据检查的内容和我院提出的具体需求，制定数据库性能调优方案。</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维护方在我院的同意下进行数据库性能优化或SQL优化。</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要求服务团队极为擅长性能优化和SQL语句优化，具有丰富的性能优化案例和性能优化相关培训课程,能结合实际案例自行编著培训课程（即ORACLE官方OCP或OCM教材不计在内）者可作为优选。</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服务期内每年提供2人天数据库健康检查优化服务。</w:t>
      </w:r>
    </w:p>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三、客户管理服务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投标方将为招标方建立档案信息，针对招标方当前资产情况，制定相应执行计划，对招标方资产进行管理，优化，预防，并提供各类文档、报告。</w:t>
      </w:r>
    </w:p>
    <w:p>
      <w:pPr>
        <w:spacing w:line="500" w:lineRule="exact"/>
        <w:rPr>
          <w:rFonts w:ascii="宋体" w:hAnsi="宋体" w:cs="宋体"/>
          <w:color w:val="auto"/>
          <w:sz w:val="24"/>
          <w:highlight w:val="none"/>
        </w:rPr>
      </w:pPr>
      <w:r>
        <w:rPr>
          <w:rFonts w:hint="eastAsia" w:ascii="宋体" w:hAnsi="宋体" w:cs="宋体"/>
          <w:color w:val="auto"/>
          <w:sz w:val="24"/>
          <w:highlight w:val="none"/>
        </w:rPr>
        <w:t>投标方将定期对招标方进行满意度调查，并从招标方的反馈中进一步改进和优化运维服务。</w:t>
      </w:r>
    </w:p>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四、服务团队要求</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4.1具有丰富的数据库维护经验</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具有强有力的远程支持能力以快速解决问题。具有丰富的数据库运行维护支持经验和性能优化经验，特别对于Oracle RAC具有丰富的运行维护支持经验和性能优化经验。具有丰富的重大故障和灾难性故障处理经验。具有丰富的数据库安全管理经验。</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4.2具有丰富的主机操作系统维护经验</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我院的核心系统架构主要在LINUX和Windows上，服务团队需要具有丰富的主机操作系统知识，更好的保障数据库的稳定运行。</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4.3本地化服务团队+二线Oracle数据库支撑专家组</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■要求配备6人以上的OCM认证技术服务团队，且必须有一人认证时间需要超过十年，组成我院数据库支撑专家组，设置我院的主责工程师以更好的协调维保工作。</w:t>
      </w:r>
    </w:p>
    <w:p>
      <w:pPr>
        <w:spacing w:line="5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4.4服务团队技术负责人要求</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■项目经理对项目付主要责任，要求同时具备数据安全联盟专家委员会专家和Oracle ACE认证，且从事Oracle数据库支持服务5年以上。</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■技术负责人负责团队技术支撑，并且提供主要客户管理服务，要求同时具备Oracle ACE和PostgreSQL ACE认证，从事Oracle数据库支持服务10年以上，具有公开的资料可以证明技术负责人业绩。</w:t>
      </w:r>
    </w:p>
    <w:p>
      <w:pPr>
        <w:spacing w:line="500" w:lineRule="exact"/>
        <w:rPr>
          <w:rFonts w:ascii="宋体" w:hAnsi="宋体" w:cs="宋体"/>
          <w:b/>
          <w:bCs/>
          <w:color w:val="auto"/>
          <w:sz w:val="24"/>
          <w:highlight w:val="none"/>
        </w:rPr>
      </w:pPr>
      <w:r>
        <w:rPr>
          <w:rFonts w:hint="eastAsia" w:ascii="宋体" w:hAnsi="宋体" w:cs="宋体"/>
          <w:b/>
          <w:bCs/>
          <w:color w:val="auto"/>
          <w:sz w:val="24"/>
          <w:highlight w:val="none"/>
        </w:rPr>
        <w:t>4.5其他要求</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1）节假日保障服务：在每次国定长假前提供系统健康检查服务，</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在长假期间提供响应的7*24小时值班人员及联系电话，根据招标方的实际、客观需要，提供假日现场服务。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技术支持服务：对于用户单位因本项目涉及设备出现技术上的问题或其他项目涉及本项目设备需要配合时，提供远程电话或现场技术支持服务。第三方服务配合：当招标方问题涉及第三方服务商时，承担协调工作。当用户问题需要配合时,承担配合工作。</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3）系统安装、升级和优化服务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本项目涉及设备的版本进行及时更新；根据巡检结果，对系统结构进行优化，同时对于不涉及系统的整体构架变更和功能增加提供支持服务。根据招标方业务系统的需要，进行服务器操作系统安装、补丁更新和升级服务。</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4）服务总结：向用户提供详细的年度服务总结报告。</w:t>
      </w:r>
    </w:p>
    <w:p>
      <w:pPr>
        <w:rPr>
          <w:color w:val="auto"/>
          <w:highlight w:val="none"/>
        </w:rPr>
      </w:pPr>
    </w:p>
    <w:p>
      <w:pPr>
        <w:spacing w:line="360" w:lineRule="auto"/>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五、商务要求</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rPr>
        <w:t>1、</w:t>
      </w:r>
      <w:r>
        <w:rPr>
          <w:rFonts w:hint="eastAsia" w:ascii="宋体" w:hAnsi="宋体" w:cs="宋体"/>
          <w:b/>
          <w:bCs/>
          <w:color w:val="auto"/>
          <w:sz w:val="24"/>
          <w:highlight w:val="none"/>
          <w:lang w:val="zh-CN"/>
        </w:rPr>
        <w:t>服务时间：</w:t>
      </w:r>
      <w:r>
        <w:rPr>
          <w:rFonts w:hint="eastAsia" w:ascii="宋体" w:hAnsi="宋体" w:cs="宋体"/>
          <w:b/>
          <w:bCs/>
          <w:color w:val="auto"/>
          <w:sz w:val="24"/>
          <w:highlight w:val="none"/>
        </w:rPr>
        <w:t>两</w:t>
      </w:r>
      <w:r>
        <w:rPr>
          <w:rFonts w:hint="eastAsia" w:ascii="宋体" w:hAnsi="宋体" w:cs="宋体"/>
          <w:b/>
          <w:bCs/>
          <w:color w:val="auto"/>
          <w:sz w:val="24"/>
          <w:highlight w:val="none"/>
          <w:lang w:val="zh-CN"/>
        </w:rPr>
        <w:t>年，服务开始时间从医院原数据库维保时间结束次日开始计算。</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rPr>
        <w:t>2、</w:t>
      </w:r>
      <w:r>
        <w:rPr>
          <w:rFonts w:hint="eastAsia" w:ascii="宋体" w:hAnsi="宋体" w:cs="宋体"/>
          <w:b/>
          <w:bCs/>
          <w:color w:val="auto"/>
          <w:sz w:val="24"/>
          <w:highlight w:val="none"/>
          <w:lang w:val="zh-CN"/>
        </w:rPr>
        <w:t>支付条件及比例：</w:t>
      </w:r>
    </w:p>
    <w:p>
      <w:pPr>
        <w:spacing w:line="360" w:lineRule="auto"/>
        <w:ind w:firstLine="482" w:firstLineChars="200"/>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合同签订具备实施条件后7个工作日内向中标人支付第一年的费用4</w:t>
      </w:r>
      <w:r>
        <w:rPr>
          <w:rFonts w:ascii="宋体" w:hAnsi="宋体" w:cs="宋体"/>
          <w:b/>
          <w:bCs/>
          <w:color w:val="auto"/>
          <w:sz w:val="24"/>
          <w:highlight w:val="none"/>
          <w:lang w:val="zh-CN"/>
        </w:rPr>
        <w:t>0</w:t>
      </w:r>
      <w:r>
        <w:rPr>
          <w:rFonts w:hint="eastAsia" w:ascii="宋体" w:hAnsi="宋体" w:cs="宋体"/>
          <w:b/>
          <w:bCs/>
          <w:color w:val="auto"/>
          <w:sz w:val="24"/>
          <w:highlight w:val="none"/>
          <w:lang w:val="zh-CN"/>
        </w:rPr>
        <w:t>%，服务满一年后支付剩余6</w:t>
      </w:r>
      <w:r>
        <w:rPr>
          <w:rFonts w:ascii="宋体" w:hAnsi="宋体" w:cs="宋体"/>
          <w:b/>
          <w:bCs/>
          <w:color w:val="auto"/>
          <w:sz w:val="24"/>
          <w:highlight w:val="none"/>
          <w:lang w:val="zh-CN"/>
        </w:rPr>
        <w:t>0%</w:t>
      </w:r>
      <w:r>
        <w:rPr>
          <w:rFonts w:hint="eastAsia" w:ascii="宋体" w:hAnsi="宋体" w:cs="宋体"/>
          <w:b/>
          <w:bCs/>
          <w:color w:val="auto"/>
          <w:sz w:val="24"/>
          <w:highlight w:val="none"/>
          <w:lang w:val="zh-CN"/>
        </w:rPr>
        <w:t>。</w:t>
      </w:r>
    </w:p>
    <w:p>
      <w:pPr>
        <w:spacing w:line="360" w:lineRule="auto"/>
        <w:ind w:firstLine="482" w:firstLineChars="200"/>
        <w:jc w:val="left"/>
        <w:rPr>
          <w:rFonts w:ascii="宋体" w:hAnsi="宋体" w:cs="宋体"/>
          <w:b/>
          <w:bCs/>
          <w:color w:val="auto"/>
          <w:sz w:val="24"/>
          <w:highlight w:val="none"/>
          <w:lang w:val="zh-CN"/>
        </w:rPr>
      </w:pPr>
    </w:p>
    <w:p>
      <w:pPr>
        <w:spacing w:line="360" w:lineRule="auto"/>
        <w:ind w:firstLine="482" w:firstLineChars="200"/>
        <w:jc w:val="left"/>
        <w:rPr>
          <w:rFonts w:hint="eastAsia" w:ascii="宋体" w:hAnsi="宋体" w:cs="宋体"/>
          <w:b/>
          <w:bCs/>
          <w:color w:val="auto"/>
          <w:sz w:val="24"/>
          <w:highlight w:val="none"/>
          <w:lang w:val="zh-CN"/>
        </w:rPr>
      </w:pPr>
    </w:p>
    <w:p>
      <w:pPr>
        <w:spacing w:line="360" w:lineRule="auto"/>
        <w:ind w:firstLine="482" w:firstLineChars="200"/>
        <w:jc w:val="left"/>
        <w:rPr>
          <w:rFonts w:ascii="宋体" w:hAnsi="宋体" w:cs="宋体"/>
          <w:b/>
          <w:color w:val="auto"/>
          <w:sz w:val="24"/>
          <w:highlight w:val="none"/>
        </w:rPr>
      </w:pPr>
      <w:r>
        <w:rPr>
          <w:rFonts w:hint="eastAsia" w:ascii="宋体" w:hAnsi="宋体" w:cs="宋体"/>
          <w:b/>
          <w:bCs/>
          <w:color w:val="auto"/>
          <w:sz w:val="24"/>
          <w:highlight w:val="none"/>
          <w:lang w:val="zh-CN"/>
        </w:rPr>
        <w:t>注：</w:t>
      </w:r>
      <w:r>
        <w:rPr>
          <w:rFonts w:hint="eastAsia" w:ascii="宋体" w:hAnsi="宋体" w:cs="宋体"/>
          <w:b/>
          <w:bCs/>
          <w:color w:val="auto"/>
          <w:sz w:val="24"/>
          <w:highlight w:val="none"/>
        </w:rPr>
        <w:t>1</w:t>
      </w:r>
      <w:r>
        <w:rPr>
          <w:rFonts w:hint="eastAsia" w:ascii="宋体" w:hAnsi="宋体" w:cs="宋体"/>
          <w:b/>
          <w:color w:val="auto"/>
          <w:sz w:val="24"/>
          <w:highlight w:val="none"/>
        </w:rPr>
        <w:t>、打▲内容为实质性要求，不允许有负偏离，否则将以涉及无效投标条款作无效投标。</w:t>
      </w:r>
    </w:p>
    <w:p>
      <w:pPr>
        <w:spacing w:line="360" w:lineRule="auto"/>
        <w:ind w:firstLine="482" w:firstLineChars="200"/>
        <w:jc w:val="left"/>
        <w:rPr>
          <w:rFonts w:ascii="宋体" w:hAnsi="宋体" w:cs="宋体"/>
          <w:b/>
          <w:color w:val="auto"/>
          <w:sz w:val="36"/>
          <w:szCs w:val="36"/>
          <w:highlight w:val="none"/>
        </w:rPr>
      </w:pPr>
      <w:r>
        <w:rPr>
          <w:rFonts w:hint="eastAsia" w:ascii="宋体" w:hAnsi="宋体" w:cs="宋体"/>
          <w:b/>
          <w:color w:val="auto"/>
          <w:sz w:val="24"/>
          <w:highlight w:val="none"/>
        </w:rPr>
        <w:t>2、成交人所提供的货物、服务须与投标承诺一致，不得以次充好、偷工减料，若在项目验收中发现有上述情况，将向有关部门举报，根据相关规定进行处理。</w:t>
      </w:r>
    </w:p>
    <w:p>
      <w:pPr>
        <w:spacing w:line="360" w:lineRule="auto"/>
        <w:ind w:firstLine="482" w:firstLineChars="200"/>
        <w:jc w:val="left"/>
        <w:rPr>
          <w:rFonts w:ascii="宋体"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35"/>
        <w:rPr>
          <w:rFonts w:hAnsi="宋体" w:cs="宋体"/>
          <w:b/>
          <w:bCs/>
          <w:color w:val="auto"/>
          <w:sz w:val="24"/>
          <w:highlight w:val="none"/>
          <w:lang w:val="zh-CN"/>
        </w:rPr>
      </w:pPr>
    </w:p>
    <w:p>
      <w:pPr>
        <w:pStyle w:val="63"/>
        <w:jc w:val="center"/>
        <w:rPr>
          <w:rFonts w:hAnsi="宋体" w:cs="宋体"/>
          <w:b/>
          <w:bCs/>
          <w:color w:val="auto"/>
          <w:sz w:val="28"/>
          <w:szCs w:val="28"/>
          <w:highlight w:val="none"/>
          <w:lang w:val="en-US"/>
        </w:rPr>
      </w:pPr>
      <w:r>
        <w:rPr>
          <w:rFonts w:hint="eastAsia" w:hAnsi="宋体" w:cs="宋体"/>
          <w:b/>
          <w:bCs/>
          <w:color w:val="auto"/>
          <w:sz w:val="28"/>
          <w:szCs w:val="28"/>
          <w:highlight w:val="none"/>
        </w:rPr>
        <w:t>标项</w:t>
      </w:r>
      <w:r>
        <w:rPr>
          <w:rFonts w:hint="eastAsia" w:hAnsi="宋体" w:cs="宋体"/>
          <w:b/>
          <w:bCs/>
          <w:color w:val="auto"/>
          <w:sz w:val="28"/>
          <w:szCs w:val="28"/>
          <w:highlight w:val="none"/>
          <w:lang w:val="en-US"/>
        </w:rPr>
        <w:t>2：医保基金综合管理服务</w:t>
      </w:r>
    </w:p>
    <w:p>
      <w:pPr>
        <w:pStyle w:val="63"/>
        <w:rPr>
          <w:rFonts w:hAnsi="宋体" w:cs="宋体"/>
          <w:b/>
          <w:bCs/>
          <w:color w:val="auto"/>
          <w:highlight w:val="none"/>
          <w:lang w:val="en-US"/>
        </w:rPr>
      </w:pPr>
      <w:bookmarkStart w:id="17" w:name="_Toc22611"/>
      <w:r>
        <w:rPr>
          <w:rFonts w:hint="eastAsia" w:hAnsi="宋体" w:cs="宋体"/>
          <w:b/>
          <w:bCs/>
          <w:color w:val="auto"/>
          <w:highlight w:val="none"/>
          <w:lang w:val="en-US"/>
        </w:rPr>
        <w:t>一、项目背景</w:t>
      </w:r>
      <w:bookmarkEnd w:id="17"/>
      <w:r>
        <w:rPr>
          <w:rFonts w:hint="eastAsia" w:hAnsi="宋体" w:cs="宋体"/>
          <w:b/>
          <w:bCs/>
          <w:color w:val="auto"/>
          <w:highlight w:val="none"/>
          <w:lang w:val="en-US"/>
        </w:rPr>
        <w:t>：</w:t>
      </w:r>
    </w:p>
    <w:p>
      <w:pPr>
        <w:pStyle w:val="63"/>
        <w:rPr>
          <w:rFonts w:hAnsi="宋体" w:cs="宋体"/>
          <w:color w:val="auto"/>
          <w:highlight w:val="none"/>
          <w:lang w:val="en-US"/>
        </w:rPr>
      </w:pPr>
      <w:r>
        <w:rPr>
          <w:rFonts w:hint="eastAsia" w:hAnsi="宋体" w:cs="宋体"/>
          <w:color w:val="auto"/>
          <w:highlight w:val="none"/>
          <w:lang w:val="en-US"/>
        </w:rPr>
        <w:t>萧山区第三人民医院为进一步加强医院对医保基金的使用管理，规范医生医疗服务行为，减少医保基金的不合理支出，提高基金的使用效率，确保医保基金运行安全和完整。通过建立医保基金智能两库管理系统和医保基金反馈系统，构建起医保政策为核心的全方位医疗服务监控系统，利用信息化手段加强对医保费用的日常监管，确保基金的合理使用。</w:t>
      </w:r>
    </w:p>
    <w:p>
      <w:pPr>
        <w:pStyle w:val="63"/>
        <w:rPr>
          <w:rFonts w:hAnsi="宋体" w:cs="宋体"/>
          <w:b/>
          <w:bCs/>
          <w:color w:val="auto"/>
          <w:highlight w:val="none"/>
          <w:lang w:val="en-US"/>
        </w:rPr>
      </w:pPr>
      <w:r>
        <w:rPr>
          <w:rFonts w:hint="eastAsia" w:hAnsi="宋体" w:cs="宋体"/>
          <w:b/>
          <w:bCs/>
          <w:color w:val="auto"/>
          <w:highlight w:val="none"/>
          <w:lang w:val="en-US"/>
        </w:rPr>
        <w:t>二、项目服务内容</w:t>
      </w:r>
    </w:p>
    <w:p>
      <w:pPr>
        <w:pStyle w:val="63"/>
        <w:rPr>
          <w:rFonts w:hAnsi="宋体" w:cs="宋体"/>
          <w:b/>
          <w:bCs/>
          <w:color w:val="auto"/>
          <w:highlight w:val="none"/>
          <w:lang w:val="en-US"/>
        </w:rPr>
      </w:pPr>
      <w:r>
        <w:rPr>
          <w:rFonts w:hint="eastAsia" w:hAnsi="宋体" w:cs="宋体"/>
          <w:b/>
          <w:bCs/>
          <w:color w:val="auto"/>
          <w:highlight w:val="none"/>
          <w:lang w:val="en-US"/>
        </w:rPr>
        <w:t>（一）系统服务范围</w:t>
      </w:r>
    </w:p>
    <w:p>
      <w:pPr>
        <w:pStyle w:val="63"/>
        <w:rPr>
          <w:rFonts w:hAnsi="宋体" w:cs="宋体"/>
          <w:b/>
          <w:bCs/>
          <w:color w:val="auto"/>
          <w:highlight w:val="none"/>
          <w:lang w:val="en-US"/>
        </w:rPr>
      </w:pPr>
      <w:r>
        <w:rPr>
          <w:rFonts w:hint="eastAsia" w:hAnsi="宋体" w:cs="宋体"/>
          <w:b/>
          <w:bCs/>
          <w:color w:val="auto"/>
          <w:highlight w:val="none"/>
          <w:lang w:val="en-US"/>
        </w:rPr>
        <w:t>本服务项目包含医保基金智能两库管理系统、医保反馈系统建设以及数据服务，具体功能内容如下：</w:t>
      </w:r>
    </w:p>
    <w:tbl>
      <w:tblPr>
        <w:tblStyle w:val="66"/>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559"/>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tcPr>
          <w:p>
            <w:pPr>
              <w:pStyle w:val="63"/>
              <w:ind w:firstLine="0"/>
              <w:jc w:val="center"/>
              <w:rPr>
                <w:rFonts w:hAnsi="宋体" w:cs="宋体"/>
                <w:color w:val="auto"/>
                <w:highlight w:val="none"/>
                <w:lang w:val="en-US"/>
              </w:rPr>
            </w:pPr>
            <w:r>
              <w:rPr>
                <w:rFonts w:hint="eastAsia" w:hAnsi="宋体" w:cs="宋体"/>
                <w:color w:val="auto"/>
                <w:highlight w:val="none"/>
                <w:lang w:val="en-US"/>
              </w:rPr>
              <w:t>序号</w:t>
            </w:r>
          </w:p>
        </w:tc>
        <w:tc>
          <w:tcPr>
            <w:tcW w:w="1559" w:type="dxa"/>
            <w:shd w:val="clear" w:color="auto" w:fill="auto"/>
          </w:tcPr>
          <w:p>
            <w:pPr>
              <w:pStyle w:val="63"/>
              <w:ind w:firstLine="0"/>
              <w:jc w:val="center"/>
              <w:rPr>
                <w:rFonts w:hAnsi="宋体" w:cs="宋体"/>
                <w:color w:val="auto"/>
                <w:highlight w:val="none"/>
                <w:lang w:val="en-US"/>
              </w:rPr>
            </w:pPr>
            <w:r>
              <w:rPr>
                <w:rFonts w:hint="eastAsia" w:hAnsi="宋体" w:cs="宋体"/>
                <w:color w:val="auto"/>
                <w:highlight w:val="none"/>
                <w:lang w:val="en-US"/>
              </w:rPr>
              <w:t>总体要求</w:t>
            </w:r>
          </w:p>
        </w:tc>
        <w:tc>
          <w:tcPr>
            <w:tcW w:w="6516" w:type="dxa"/>
            <w:gridSpan w:val="2"/>
            <w:shd w:val="clear" w:color="auto" w:fill="auto"/>
          </w:tcPr>
          <w:p>
            <w:pPr>
              <w:pStyle w:val="63"/>
              <w:ind w:firstLine="0"/>
              <w:jc w:val="center"/>
              <w:rPr>
                <w:rFonts w:hAnsi="宋体" w:cs="宋体"/>
                <w:color w:val="auto"/>
                <w:highlight w:val="none"/>
                <w:lang w:val="en-US"/>
              </w:rPr>
            </w:pPr>
            <w:r>
              <w:rPr>
                <w:rFonts w:hint="eastAsia" w:hAnsi="宋体" w:cs="宋体"/>
                <w:color w:val="auto"/>
                <w:highlight w:val="none"/>
                <w:lang w:val="en-US"/>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pStyle w:val="63"/>
              <w:ind w:firstLine="0"/>
              <w:rPr>
                <w:rFonts w:hAnsi="宋体" w:cs="宋体"/>
                <w:color w:val="auto"/>
                <w:highlight w:val="none"/>
                <w:lang w:val="en-US"/>
              </w:rPr>
            </w:pPr>
            <w:r>
              <w:rPr>
                <w:rFonts w:hint="eastAsia" w:hAnsi="宋体" w:cs="宋体"/>
                <w:color w:val="auto"/>
                <w:highlight w:val="none"/>
                <w:lang w:val="en-US"/>
              </w:rPr>
              <w:t>医保基金智能两库管理服务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1</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事前实时审核</w:t>
            </w:r>
          </w:p>
        </w:tc>
        <w:tc>
          <w:tcPr>
            <w:tcW w:w="6516" w:type="dxa"/>
            <w:gridSpan w:val="2"/>
          </w:tcPr>
          <w:p>
            <w:pPr>
              <w:pStyle w:val="63"/>
              <w:rPr>
                <w:rFonts w:hAnsi="宋体" w:cs="宋体"/>
                <w:color w:val="auto"/>
                <w:highlight w:val="none"/>
                <w:lang w:val="en-US"/>
              </w:rPr>
            </w:pPr>
            <w:r>
              <w:rPr>
                <w:rFonts w:hint="eastAsia" w:hAnsi="宋体" w:cs="宋体"/>
                <w:color w:val="auto"/>
                <w:highlight w:val="none"/>
                <w:lang w:val="en-US"/>
              </w:rPr>
              <w:t>“两库”规则引擎嵌入HIS医生工作站，能够对处方/医嘱进行实时审查，并给予医生提示，对严重违规行为，可以直接在医生端进行拦截，以致处方/医嘱无法生效，起到高效、精准的违规预警服务。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46" w:type="dxa"/>
            <w:vMerge w:val="restart"/>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2</w:t>
            </w:r>
          </w:p>
        </w:tc>
        <w:tc>
          <w:tcPr>
            <w:tcW w:w="1559" w:type="dxa"/>
            <w:vMerge w:val="restart"/>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事中智能监管</w:t>
            </w:r>
          </w:p>
        </w:tc>
        <w:tc>
          <w:tcPr>
            <w:tcW w:w="6516" w:type="dxa"/>
            <w:gridSpan w:val="2"/>
          </w:tcPr>
          <w:p>
            <w:pPr>
              <w:pStyle w:val="63"/>
              <w:rPr>
                <w:rFonts w:hAnsi="宋体" w:cs="宋体"/>
                <w:color w:val="auto"/>
                <w:highlight w:val="none"/>
                <w:lang w:val="en-US"/>
              </w:rPr>
            </w:pPr>
            <w:r>
              <w:rPr>
                <w:rFonts w:hint="eastAsia" w:hAnsi="宋体" w:cs="宋体"/>
                <w:color w:val="auto"/>
                <w:highlight w:val="none"/>
                <w:lang w:val="en-US"/>
              </w:rPr>
              <w:t>数据监测：对各类违规数据进行多维分析，可拓展分析全院违法规则详情、各科室违反规则详情，并支持定位每条违规单据的明细数据。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46" w:type="dxa"/>
            <w:vMerge w:val="continue"/>
          </w:tcPr>
          <w:p>
            <w:pPr>
              <w:pStyle w:val="63"/>
              <w:rPr>
                <w:rFonts w:hAnsi="宋体" w:cs="宋体"/>
                <w:color w:val="auto"/>
                <w:highlight w:val="none"/>
                <w:lang w:val="en-US"/>
              </w:rPr>
            </w:pPr>
          </w:p>
        </w:tc>
        <w:tc>
          <w:tcPr>
            <w:tcW w:w="1559" w:type="dxa"/>
            <w:vMerge w:val="continue"/>
          </w:tcPr>
          <w:p>
            <w:pPr>
              <w:pStyle w:val="63"/>
              <w:rPr>
                <w:rFonts w:hAnsi="宋体" w:cs="宋体"/>
                <w:color w:val="auto"/>
                <w:highlight w:val="none"/>
                <w:lang w:val="en-US"/>
              </w:rPr>
            </w:pPr>
          </w:p>
        </w:tc>
        <w:tc>
          <w:tcPr>
            <w:tcW w:w="6516" w:type="dxa"/>
            <w:gridSpan w:val="2"/>
          </w:tcPr>
          <w:p>
            <w:pPr>
              <w:pStyle w:val="63"/>
              <w:ind w:firstLine="0"/>
              <w:rPr>
                <w:rFonts w:hint="eastAsia" w:hAnsi="宋体" w:cs="宋体"/>
                <w:color w:val="auto"/>
                <w:sz w:val="24"/>
                <w:szCs w:val="24"/>
                <w:highlight w:val="none"/>
                <w:lang w:eastAsia="zh-CN"/>
              </w:rPr>
            </w:pPr>
            <w:r>
              <w:rPr>
                <w:rFonts w:hint="eastAsia" w:hAnsi="宋体" w:cs="宋体"/>
                <w:b/>
                <w:bCs/>
                <w:color w:val="auto"/>
                <w:highlight w:val="none"/>
              </w:rPr>
              <w:t>■</w:t>
            </w:r>
            <w:r>
              <w:rPr>
                <w:rFonts w:hint="eastAsia" w:hAnsi="宋体" w:cs="宋体"/>
                <w:color w:val="auto"/>
                <w:highlight w:val="none"/>
                <w:lang w:val="en-US"/>
              </w:rPr>
              <w:t>规则控制：为满足不同医院的定向化管理，系统“两库”引擎支持用户启用或禁用的规则，并且规则启用时可以排除不需要审核的科室</w:t>
            </w:r>
            <w:r>
              <w:rPr>
                <w:rFonts w:hint="eastAsia" w:hAnsi="宋体" w:cs="宋体"/>
                <w:color w:val="auto"/>
                <w:highlight w:val="none"/>
                <w:lang w:val="en-US" w:eastAsia="zh-CN"/>
              </w:rPr>
              <w:t>（</w:t>
            </w:r>
            <w:r>
              <w:rPr>
                <w:rFonts w:hint="eastAsia" w:hAnsi="宋体" w:cs="宋体"/>
                <w:color w:val="auto"/>
                <w:sz w:val="24"/>
                <w:szCs w:val="24"/>
                <w:highlight w:val="none"/>
              </w:rPr>
              <w:t>功能需提供系统截图证明</w:t>
            </w:r>
            <w:r>
              <w:rPr>
                <w:rFonts w:hint="eastAsia" w:hAnsi="宋体" w:cs="宋体"/>
                <w:color w:val="auto"/>
                <w:sz w:val="24"/>
                <w:szCs w:val="24"/>
                <w:highlight w:val="none"/>
                <w:lang w:eastAsia="zh-CN"/>
              </w:rPr>
              <w:t>）。</w:t>
            </w:r>
          </w:p>
          <w:p>
            <w:pPr>
              <w:pStyle w:val="63"/>
              <w:ind w:firstLine="0"/>
              <w:rPr>
                <w:rFonts w:hint="eastAsia" w:hAnsi="宋体" w:eastAsia="宋体" w:cs="宋体"/>
                <w:color w:val="auto"/>
                <w:highlight w:val="none"/>
                <w:lang w:val="en-US" w:eastAsia="zh-CN"/>
              </w:rPr>
            </w:pPr>
            <w:r>
              <w:rPr>
                <w:rFonts w:hint="eastAsia" w:hAnsi="宋体" w:cs="宋体"/>
                <w:color w:val="auto"/>
                <w:highlight w:val="none"/>
                <w:lang w:val="en-US" w:eastAsia="zh-CN"/>
              </w:rPr>
              <w:t>需进行现场演示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46" w:type="dxa"/>
            <w:vMerge w:val="continue"/>
          </w:tcPr>
          <w:p>
            <w:pPr>
              <w:pStyle w:val="63"/>
              <w:rPr>
                <w:rFonts w:hAnsi="宋体" w:cs="宋体"/>
                <w:color w:val="auto"/>
                <w:highlight w:val="none"/>
                <w:lang w:val="en-US"/>
              </w:rPr>
            </w:pPr>
          </w:p>
        </w:tc>
        <w:tc>
          <w:tcPr>
            <w:tcW w:w="1559" w:type="dxa"/>
            <w:vMerge w:val="continue"/>
          </w:tcPr>
          <w:p>
            <w:pPr>
              <w:pStyle w:val="63"/>
              <w:rPr>
                <w:rFonts w:hAnsi="宋体" w:cs="宋体"/>
                <w:color w:val="auto"/>
                <w:highlight w:val="none"/>
                <w:lang w:val="en-US"/>
              </w:rPr>
            </w:pPr>
          </w:p>
        </w:tc>
        <w:tc>
          <w:tcPr>
            <w:tcW w:w="6516" w:type="dxa"/>
            <w:gridSpan w:val="2"/>
          </w:tcPr>
          <w:p>
            <w:pPr>
              <w:pStyle w:val="63"/>
              <w:ind w:firstLine="0"/>
              <w:rPr>
                <w:rFonts w:hint="eastAsia" w:hAnsi="宋体" w:cs="宋体"/>
                <w:color w:val="auto"/>
                <w:sz w:val="24"/>
                <w:szCs w:val="24"/>
                <w:highlight w:val="none"/>
                <w:lang w:eastAsia="zh-CN"/>
              </w:rPr>
            </w:pPr>
            <w:r>
              <w:rPr>
                <w:rFonts w:hint="eastAsia" w:hAnsi="宋体" w:cs="宋体"/>
                <w:b/>
                <w:bCs/>
                <w:color w:val="auto"/>
                <w:highlight w:val="none"/>
              </w:rPr>
              <w:t>■</w:t>
            </w:r>
            <w:r>
              <w:rPr>
                <w:rFonts w:hint="eastAsia" w:hAnsi="宋体" w:cs="宋体"/>
                <w:color w:val="auto"/>
                <w:highlight w:val="none"/>
                <w:lang w:val="en-US"/>
              </w:rPr>
              <w:t>规则自定义:除内嵌现有“两库”规则外，用户可根据医院业务场景需求，自行编辑、增加医院个性化基金监控规则</w:t>
            </w:r>
            <w:r>
              <w:rPr>
                <w:rFonts w:hint="eastAsia" w:hAnsi="宋体" w:cs="宋体"/>
                <w:color w:val="auto"/>
                <w:highlight w:val="none"/>
                <w:lang w:val="en-US" w:eastAsia="zh-CN"/>
              </w:rPr>
              <w:t>（</w:t>
            </w:r>
            <w:r>
              <w:rPr>
                <w:rFonts w:hint="eastAsia" w:hAnsi="宋体" w:cs="宋体"/>
                <w:color w:val="auto"/>
                <w:sz w:val="24"/>
                <w:szCs w:val="24"/>
                <w:highlight w:val="none"/>
              </w:rPr>
              <w:t>功能需提供系统截图证明</w:t>
            </w:r>
            <w:r>
              <w:rPr>
                <w:rFonts w:hint="eastAsia" w:hAnsi="宋体" w:cs="宋体"/>
                <w:color w:val="auto"/>
                <w:sz w:val="24"/>
                <w:szCs w:val="24"/>
                <w:highlight w:val="none"/>
                <w:lang w:eastAsia="zh-CN"/>
              </w:rPr>
              <w:t>）。</w:t>
            </w:r>
          </w:p>
          <w:p>
            <w:pPr>
              <w:pStyle w:val="63"/>
              <w:ind w:firstLine="0"/>
              <w:rPr>
                <w:rFonts w:hAnsi="宋体" w:cs="宋体"/>
                <w:color w:val="auto"/>
                <w:highlight w:val="none"/>
                <w:lang w:val="en-US"/>
              </w:rPr>
            </w:pPr>
            <w:r>
              <w:rPr>
                <w:rFonts w:hint="eastAsia" w:hAnsi="宋体" w:cs="宋体"/>
                <w:color w:val="auto"/>
                <w:highlight w:val="none"/>
                <w:lang w:val="en-US" w:eastAsia="zh-CN"/>
              </w:rPr>
              <w:t>需进行现场演示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6" w:type="dxa"/>
            <w:vMerge w:val="restart"/>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3</w:t>
            </w:r>
          </w:p>
        </w:tc>
        <w:tc>
          <w:tcPr>
            <w:tcW w:w="1559" w:type="dxa"/>
            <w:vMerge w:val="restart"/>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事后分析</w:t>
            </w:r>
          </w:p>
        </w:tc>
        <w:tc>
          <w:tcPr>
            <w:tcW w:w="6516" w:type="dxa"/>
            <w:gridSpan w:val="2"/>
          </w:tcPr>
          <w:p>
            <w:pPr>
              <w:pStyle w:val="63"/>
              <w:rPr>
                <w:rFonts w:hAnsi="宋体" w:cs="宋体"/>
                <w:color w:val="auto"/>
                <w:highlight w:val="none"/>
                <w:lang w:val="en-US"/>
              </w:rPr>
            </w:pPr>
            <w:r>
              <w:rPr>
                <w:rFonts w:hint="eastAsia" w:hAnsi="宋体" w:cs="宋体"/>
                <w:color w:val="auto"/>
                <w:highlight w:val="none"/>
                <w:lang w:val="en-US"/>
              </w:rPr>
              <w:t>针对已结算的就诊数据，根据预先设定好的规则参数，对数据进行逐一检查，筛选出违反规则的费用或疑点对象（两定、医师、参保人），系统将预审结果分门别类地展示给工作人员审查，有针对性地开展医疗服务审核、稽核工作。</w:t>
            </w:r>
          </w:p>
          <w:p>
            <w:pPr>
              <w:pStyle w:val="63"/>
              <w:rPr>
                <w:rFonts w:hAnsi="宋体" w:cs="宋体"/>
                <w:color w:val="auto"/>
                <w:highlight w:val="none"/>
                <w:lang w:val="en-US"/>
              </w:rPr>
            </w:pPr>
            <w:r>
              <w:rPr>
                <w:rFonts w:hint="eastAsia" w:hAnsi="宋体" w:cs="宋体"/>
                <w:color w:val="auto"/>
                <w:highlight w:val="none"/>
                <w:lang w:val="en-US"/>
              </w:rPr>
              <w:t>违规记录分析主要包含：科室、全院违规记录分析，并且支持规则监控记录。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46" w:type="dxa"/>
            <w:vMerge w:val="continue"/>
          </w:tcPr>
          <w:p>
            <w:pPr>
              <w:pStyle w:val="63"/>
              <w:rPr>
                <w:rFonts w:hAnsi="宋体" w:cs="宋体"/>
                <w:color w:val="auto"/>
                <w:highlight w:val="none"/>
                <w:lang w:val="en-US"/>
              </w:rPr>
            </w:pPr>
          </w:p>
        </w:tc>
        <w:tc>
          <w:tcPr>
            <w:tcW w:w="1559" w:type="dxa"/>
            <w:vMerge w:val="continue"/>
          </w:tcPr>
          <w:p>
            <w:pPr>
              <w:pStyle w:val="63"/>
              <w:rPr>
                <w:rFonts w:hAnsi="宋体" w:cs="宋体"/>
                <w:color w:val="auto"/>
                <w:highlight w:val="none"/>
                <w:lang w:val="en-US"/>
              </w:rPr>
            </w:pP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智能审核</w:t>
            </w:r>
          </w:p>
          <w:p>
            <w:pPr>
              <w:pStyle w:val="63"/>
              <w:ind w:firstLine="0"/>
              <w:jc w:val="center"/>
              <w:rPr>
                <w:rFonts w:hAnsi="宋体" w:cs="宋体"/>
                <w:color w:val="auto"/>
                <w:highlight w:val="none"/>
                <w:lang w:val="en-US"/>
              </w:rPr>
            </w:pPr>
            <w:r>
              <w:rPr>
                <w:rFonts w:hint="eastAsia" w:hAnsi="宋体" w:cs="宋体"/>
                <w:color w:val="auto"/>
                <w:highlight w:val="none"/>
                <w:lang w:val="en-US"/>
              </w:rPr>
              <w:t>功能</w:t>
            </w:r>
          </w:p>
        </w:tc>
        <w:tc>
          <w:tcPr>
            <w:tcW w:w="4957" w:type="dxa"/>
          </w:tcPr>
          <w:p>
            <w:pPr>
              <w:pStyle w:val="63"/>
              <w:ind w:firstLine="0"/>
              <w:rPr>
                <w:rFonts w:hAnsi="宋体" w:cs="宋体"/>
                <w:color w:val="auto"/>
                <w:highlight w:val="none"/>
                <w:lang w:val="en-US"/>
              </w:rPr>
            </w:pPr>
            <w:r>
              <w:rPr>
                <w:rFonts w:hint="eastAsia" w:hAnsi="宋体" w:cs="宋体"/>
                <w:color w:val="auto"/>
                <w:highlight w:val="none"/>
                <w:lang w:val="en-US"/>
              </w:rPr>
              <w:t>通过审核引擎调用系统已启用的审核规则对每个病例的医疗费用进行逐个审核，并展现审核结果，并向审核专家提供人工初核、复核和终审功能。系统既支持病例批量审核，也支持单个病例审核。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46" w:type="dxa"/>
            <w:vMerge w:val="continue"/>
          </w:tcPr>
          <w:p>
            <w:pPr>
              <w:pStyle w:val="63"/>
              <w:rPr>
                <w:rFonts w:hAnsi="宋体" w:cs="宋体"/>
                <w:color w:val="auto"/>
                <w:highlight w:val="none"/>
                <w:lang w:val="en-US"/>
              </w:rPr>
            </w:pPr>
          </w:p>
        </w:tc>
        <w:tc>
          <w:tcPr>
            <w:tcW w:w="1559" w:type="dxa"/>
            <w:vMerge w:val="continue"/>
          </w:tcPr>
          <w:p>
            <w:pPr>
              <w:pStyle w:val="63"/>
              <w:rPr>
                <w:rFonts w:hAnsi="宋体" w:cs="宋体"/>
                <w:color w:val="auto"/>
                <w:highlight w:val="none"/>
                <w:lang w:val="en-US"/>
              </w:rPr>
            </w:pPr>
          </w:p>
        </w:tc>
        <w:tc>
          <w:tcPr>
            <w:tcW w:w="1559" w:type="dxa"/>
            <w:vAlign w:val="center"/>
          </w:tcPr>
          <w:p>
            <w:pPr>
              <w:pStyle w:val="63"/>
              <w:ind w:firstLine="0"/>
              <w:jc w:val="center"/>
              <w:rPr>
                <w:rFonts w:hAnsi="宋体" w:cs="宋体"/>
                <w:color w:val="auto"/>
                <w:highlight w:val="none"/>
                <w:lang w:val="en-US"/>
              </w:rPr>
            </w:pPr>
            <w:r>
              <w:rPr>
                <w:rFonts w:hint="eastAsia" w:hAnsi="宋体" w:cs="宋体"/>
                <w:b/>
                <w:bCs/>
                <w:color w:val="auto"/>
                <w:highlight w:val="none"/>
              </w:rPr>
              <w:t>■</w:t>
            </w:r>
            <w:r>
              <w:rPr>
                <w:rFonts w:hint="eastAsia" w:hAnsi="宋体" w:cs="宋体"/>
                <w:color w:val="auto"/>
                <w:highlight w:val="none"/>
                <w:lang w:val="en-US"/>
              </w:rPr>
              <w:t>分析报告</w:t>
            </w:r>
          </w:p>
        </w:tc>
        <w:tc>
          <w:tcPr>
            <w:tcW w:w="4957" w:type="dxa"/>
          </w:tcPr>
          <w:p>
            <w:pPr>
              <w:pStyle w:val="63"/>
              <w:ind w:firstLine="0"/>
              <w:rPr>
                <w:rFonts w:hint="eastAsia" w:hAnsi="宋体" w:cs="宋体"/>
                <w:color w:val="auto"/>
                <w:sz w:val="24"/>
                <w:szCs w:val="24"/>
                <w:highlight w:val="none"/>
                <w:lang w:eastAsia="zh-CN"/>
              </w:rPr>
            </w:pPr>
            <w:r>
              <w:rPr>
                <w:rFonts w:hint="eastAsia" w:hAnsi="宋体" w:cs="宋体"/>
                <w:color w:val="auto"/>
                <w:highlight w:val="none"/>
                <w:lang w:val="en-US"/>
              </w:rPr>
              <w:t>基于监管分析的数据源，支持自动生成分析报告并可根据时间范围一键下载分析报告</w:t>
            </w:r>
            <w:r>
              <w:rPr>
                <w:rFonts w:hint="eastAsia" w:hAnsi="宋体" w:cs="宋体"/>
                <w:color w:val="auto"/>
                <w:highlight w:val="none"/>
                <w:lang w:val="en-US" w:eastAsia="zh-CN"/>
              </w:rPr>
              <w:t>（</w:t>
            </w:r>
            <w:r>
              <w:rPr>
                <w:rFonts w:hint="eastAsia" w:hAnsi="宋体" w:cs="宋体"/>
                <w:color w:val="auto"/>
                <w:sz w:val="24"/>
                <w:szCs w:val="24"/>
                <w:highlight w:val="none"/>
              </w:rPr>
              <w:t>功能需提供系统截图证明</w:t>
            </w:r>
            <w:r>
              <w:rPr>
                <w:rFonts w:hint="eastAsia" w:hAnsi="宋体" w:cs="宋体"/>
                <w:color w:val="auto"/>
                <w:sz w:val="24"/>
                <w:szCs w:val="24"/>
                <w:highlight w:val="none"/>
                <w:lang w:eastAsia="zh-CN"/>
              </w:rPr>
              <w:t>）。</w:t>
            </w:r>
          </w:p>
          <w:p>
            <w:pPr>
              <w:pStyle w:val="63"/>
              <w:ind w:firstLine="0"/>
              <w:rPr>
                <w:rFonts w:hAnsi="宋体" w:cs="宋体"/>
                <w:color w:val="auto"/>
                <w:highlight w:val="none"/>
                <w:lang w:val="en-US"/>
              </w:rPr>
            </w:pPr>
            <w:r>
              <w:rPr>
                <w:rFonts w:hint="eastAsia" w:hAnsi="宋体" w:cs="宋体"/>
                <w:color w:val="auto"/>
                <w:highlight w:val="none"/>
                <w:lang w:val="en-US" w:eastAsia="zh-CN"/>
              </w:rPr>
              <w:t>需进行现场演示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pStyle w:val="63"/>
              <w:ind w:firstLine="0"/>
              <w:rPr>
                <w:rFonts w:hAnsi="宋体" w:cs="宋体"/>
                <w:color w:val="auto"/>
                <w:highlight w:val="none"/>
                <w:lang w:val="en-US"/>
              </w:rPr>
            </w:pPr>
            <w:r>
              <w:rPr>
                <w:rFonts w:hint="eastAsia" w:hAnsi="宋体" w:cs="宋体"/>
                <w:color w:val="auto"/>
                <w:highlight w:val="none"/>
                <w:lang w:val="en-US"/>
              </w:rPr>
              <w:t>医保反馈服务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4</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文件导入</w:t>
            </w:r>
          </w:p>
        </w:tc>
        <w:tc>
          <w:tcPr>
            <w:tcW w:w="6516" w:type="dxa"/>
            <w:gridSpan w:val="2"/>
          </w:tcPr>
          <w:p>
            <w:pPr>
              <w:pStyle w:val="63"/>
              <w:ind w:firstLine="0"/>
              <w:rPr>
                <w:rFonts w:hAnsi="宋体" w:cs="宋体"/>
                <w:color w:val="auto"/>
                <w:highlight w:val="none"/>
                <w:lang w:val="en-US"/>
              </w:rPr>
            </w:pPr>
            <w:r>
              <w:rPr>
                <w:rFonts w:hint="eastAsia" w:hAnsi="宋体" w:cs="宋体"/>
                <w:color w:val="auto"/>
                <w:highlight w:val="none"/>
                <w:lang w:val="en-US"/>
              </w:rPr>
              <w:t>衔接医保中心端反馈系统，支持将中心端下载的审核意见书直接导入系统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5</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自动分发</w:t>
            </w:r>
          </w:p>
        </w:tc>
        <w:tc>
          <w:tcPr>
            <w:tcW w:w="6516" w:type="dxa"/>
            <w:gridSpan w:val="2"/>
          </w:tcPr>
          <w:p>
            <w:pPr>
              <w:pStyle w:val="63"/>
              <w:ind w:firstLine="0"/>
              <w:rPr>
                <w:rFonts w:hAnsi="宋体" w:cs="宋体"/>
                <w:color w:val="auto"/>
                <w:highlight w:val="none"/>
                <w:lang w:val="en-US"/>
              </w:rPr>
            </w:pPr>
            <w:r>
              <w:rPr>
                <w:rFonts w:hint="eastAsia" w:hAnsi="宋体" w:cs="宋体"/>
                <w:color w:val="auto"/>
                <w:highlight w:val="none"/>
                <w:lang w:val="en-US"/>
              </w:rPr>
              <w:t>将审核意见书中的问题数据，自动归类按住院、门诊不同类别分发给医院各科室、医生。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6</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反馈</w:t>
            </w:r>
          </w:p>
        </w:tc>
        <w:tc>
          <w:tcPr>
            <w:tcW w:w="6516" w:type="dxa"/>
            <w:gridSpan w:val="2"/>
          </w:tcPr>
          <w:p>
            <w:pPr>
              <w:pStyle w:val="63"/>
              <w:ind w:firstLine="0"/>
              <w:rPr>
                <w:rFonts w:hAnsi="宋体" w:cs="宋体"/>
                <w:color w:val="auto"/>
                <w:highlight w:val="none"/>
                <w:lang w:val="en-US"/>
              </w:rPr>
            </w:pPr>
            <w:r>
              <w:rPr>
                <w:rFonts w:hint="eastAsia" w:hAnsi="宋体" w:cs="宋体"/>
                <w:color w:val="auto"/>
                <w:highlight w:val="none"/>
                <w:lang w:val="en-US"/>
              </w:rPr>
              <w:t>医生对下发的数据，上传图片和文字反馈依据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7</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反馈审核</w:t>
            </w:r>
          </w:p>
        </w:tc>
        <w:tc>
          <w:tcPr>
            <w:tcW w:w="6516" w:type="dxa"/>
            <w:gridSpan w:val="2"/>
          </w:tcPr>
          <w:p>
            <w:pPr>
              <w:pStyle w:val="63"/>
              <w:ind w:firstLine="0"/>
              <w:rPr>
                <w:rFonts w:hAnsi="宋体" w:cs="宋体"/>
                <w:color w:val="auto"/>
                <w:highlight w:val="none"/>
                <w:lang w:val="en-US"/>
              </w:rPr>
            </w:pPr>
            <w:r>
              <w:rPr>
                <w:rFonts w:hint="eastAsia" w:hAnsi="宋体" w:cs="宋体"/>
                <w:color w:val="auto"/>
                <w:highlight w:val="none"/>
                <w:lang w:val="en-US"/>
              </w:rPr>
              <w:t>医保办对医生反馈的数据进行全面的审核，针对异议反馈数据，支持退回操作。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8</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数据上传</w:t>
            </w:r>
          </w:p>
        </w:tc>
        <w:tc>
          <w:tcPr>
            <w:tcW w:w="6516" w:type="dxa"/>
            <w:gridSpan w:val="2"/>
          </w:tcPr>
          <w:p>
            <w:pPr>
              <w:pStyle w:val="63"/>
              <w:ind w:firstLine="0"/>
              <w:rPr>
                <w:rFonts w:hAnsi="宋体" w:cs="宋体"/>
                <w:color w:val="auto"/>
                <w:highlight w:val="none"/>
                <w:lang w:val="en-US"/>
              </w:rPr>
            </w:pPr>
            <w:r>
              <w:rPr>
                <w:rFonts w:hint="eastAsia" w:hAnsi="宋体" w:cs="宋体"/>
                <w:color w:val="auto"/>
                <w:highlight w:val="none"/>
                <w:lang w:val="en-US"/>
              </w:rPr>
              <w:t>支持对反馈完成数据生成压缩包，直接上传医保中心。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vAlign w:val="center"/>
          </w:tcPr>
          <w:p>
            <w:pPr>
              <w:pStyle w:val="63"/>
              <w:jc w:val="center"/>
              <w:rPr>
                <w:rFonts w:hAnsi="宋体" w:cs="宋体"/>
                <w:color w:val="auto"/>
                <w:highlight w:val="none"/>
                <w:lang w:val="en-US"/>
              </w:rPr>
            </w:pPr>
            <w:r>
              <w:rPr>
                <w:rFonts w:hint="eastAsia" w:hAnsi="宋体" w:cs="宋体"/>
                <w:color w:val="auto"/>
                <w:highlight w:val="none"/>
                <w:lang w:val="en-US"/>
              </w:rPr>
              <w:t>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9</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自查自纠</w:t>
            </w:r>
          </w:p>
          <w:p>
            <w:pPr>
              <w:pStyle w:val="63"/>
              <w:ind w:firstLine="0"/>
              <w:jc w:val="center"/>
              <w:rPr>
                <w:rFonts w:hAnsi="宋体" w:cs="宋体"/>
                <w:color w:val="auto"/>
                <w:highlight w:val="none"/>
                <w:lang w:val="en-US"/>
              </w:rPr>
            </w:pPr>
            <w:r>
              <w:rPr>
                <w:rFonts w:hint="eastAsia" w:hAnsi="宋体" w:cs="宋体"/>
                <w:color w:val="auto"/>
                <w:highlight w:val="none"/>
                <w:lang w:val="en-US"/>
              </w:rPr>
              <w:t>报告</w:t>
            </w:r>
          </w:p>
        </w:tc>
        <w:tc>
          <w:tcPr>
            <w:tcW w:w="6516" w:type="dxa"/>
            <w:gridSpan w:val="2"/>
          </w:tcPr>
          <w:p>
            <w:pPr>
              <w:pStyle w:val="63"/>
              <w:ind w:firstLine="0"/>
              <w:rPr>
                <w:rFonts w:hint="eastAsia" w:hAnsi="宋体" w:cs="宋体"/>
                <w:color w:val="auto"/>
                <w:sz w:val="24"/>
                <w:szCs w:val="24"/>
                <w:highlight w:val="none"/>
                <w:lang w:eastAsia="zh-CN"/>
              </w:rPr>
            </w:pPr>
            <w:r>
              <w:rPr>
                <w:rFonts w:hint="eastAsia" w:hAnsi="宋体" w:cs="宋体"/>
                <w:b/>
                <w:bCs/>
                <w:color w:val="auto"/>
                <w:highlight w:val="none"/>
              </w:rPr>
              <w:t>■</w:t>
            </w:r>
            <w:r>
              <w:rPr>
                <w:rFonts w:hint="eastAsia" w:hAnsi="宋体" w:cs="宋体"/>
                <w:color w:val="auto"/>
                <w:highlight w:val="none"/>
                <w:lang w:val="en-US"/>
              </w:rPr>
              <w:t>结合飞行检查稽查重点内容，为医院出具定制化自查自纠分析报告，督促医院进行相关违规行为整改（注：报告中需含串换收费、过度诊疗等规则检查项）</w:t>
            </w:r>
            <w:r>
              <w:rPr>
                <w:rFonts w:hint="eastAsia" w:hAnsi="宋体" w:cs="宋体"/>
                <w:color w:val="auto"/>
                <w:highlight w:val="none"/>
                <w:lang w:val="en-US" w:eastAsia="zh-CN"/>
              </w:rPr>
              <w:t>（</w:t>
            </w:r>
            <w:r>
              <w:rPr>
                <w:rFonts w:hint="eastAsia" w:hAnsi="宋体" w:cs="宋体"/>
                <w:color w:val="auto"/>
                <w:sz w:val="24"/>
                <w:szCs w:val="24"/>
                <w:highlight w:val="none"/>
              </w:rPr>
              <w:t>功能需提供系统截图证明</w:t>
            </w:r>
            <w:r>
              <w:rPr>
                <w:rFonts w:hint="eastAsia" w:hAnsi="宋体" w:cs="宋体"/>
                <w:color w:val="auto"/>
                <w:sz w:val="24"/>
                <w:szCs w:val="24"/>
                <w:highlight w:val="none"/>
                <w:lang w:eastAsia="zh-CN"/>
              </w:rPr>
              <w:t>）。</w:t>
            </w:r>
          </w:p>
          <w:p>
            <w:pPr>
              <w:pStyle w:val="63"/>
              <w:ind w:firstLine="0"/>
              <w:rPr>
                <w:rFonts w:hAnsi="宋体" w:cs="宋体"/>
                <w:color w:val="auto"/>
                <w:highlight w:val="none"/>
                <w:lang w:val="en-US"/>
              </w:rPr>
            </w:pPr>
            <w:r>
              <w:rPr>
                <w:rFonts w:hint="eastAsia" w:hAnsi="宋体" w:cs="宋体"/>
                <w:color w:val="auto"/>
                <w:highlight w:val="none"/>
                <w:lang w:val="en-US" w:eastAsia="zh-CN"/>
              </w:rPr>
              <w:t>需进行现场演示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10</w:t>
            </w:r>
          </w:p>
        </w:tc>
        <w:tc>
          <w:tcPr>
            <w:tcW w:w="1559" w:type="dxa"/>
            <w:vAlign w:val="center"/>
          </w:tcPr>
          <w:p>
            <w:pPr>
              <w:pStyle w:val="63"/>
              <w:ind w:firstLine="0"/>
              <w:jc w:val="center"/>
              <w:rPr>
                <w:rFonts w:hAnsi="宋体" w:cs="宋体"/>
                <w:color w:val="auto"/>
                <w:highlight w:val="none"/>
                <w:lang w:val="en-US"/>
              </w:rPr>
            </w:pPr>
            <w:r>
              <w:rPr>
                <w:rFonts w:hint="eastAsia" w:hAnsi="宋体" w:cs="宋体"/>
                <w:color w:val="auto"/>
                <w:highlight w:val="none"/>
                <w:lang w:val="en-US"/>
              </w:rPr>
              <w:t>系统管理</w:t>
            </w:r>
          </w:p>
        </w:tc>
        <w:tc>
          <w:tcPr>
            <w:tcW w:w="6516" w:type="dxa"/>
            <w:gridSpan w:val="2"/>
          </w:tcPr>
          <w:p>
            <w:pPr>
              <w:pStyle w:val="63"/>
              <w:ind w:firstLine="0"/>
              <w:rPr>
                <w:rFonts w:hAnsi="宋体" w:cs="宋体"/>
                <w:color w:val="auto"/>
                <w:highlight w:val="none"/>
                <w:lang w:val="en-US"/>
              </w:rPr>
            </w:pPr>
            <w:r>
              <w:rPr>
                <w:rFonts w:hint="eastAsia" w:hAnsi="宋体" w:cs="宋体"/>
                <w:color w:val="auto"/>
                <w:highlight w:val="none"/>
                <w:lang w:val="en-US"/>
              </w:rPr>
              <w:t>系统支持医保审核规则自定义设定，支持监控规则管理。</w:t>
            </w:r>
          </w:p>
          <w:p>
            <w:pPr>
              <w:pStyle w:val="63"/>
              <w:ind w:firstLine="0"/>
              <w:rPr>
                <w:rFonts w:hAnsi="宋体" w:cs="宋体"/>
                <w:color w:val="auto"/>
                <w:highlight w:val="none"/>
                <w:lang w:val="en-US"/>
              </w:rPr>
            </w:pPr>
            <w:r>
              <w:rPr>
                <w:rFonts w:hint="eastAsia" w:hAnsi="宋体" w:cs="宋体"/>
                <w:color w:val="auto"/>
                <w:highlight w:val="none"/>
                <w:lang w:val="en-US"/>
              </w:rPr>
              <w:t>包括参数设置用户管理、角色管理、菜单管理、限定权限，知识库配置等功能。</w:t>
            </w:r>
          </w:p>
        </w:tc>
      </w:tr>
    </w:tbl>
    <w:p>
      <w:pPr>
        <w:pStyle w:val="63"/>
        <w:rPr>
          <w:rFonts w:hAnsi="宋体" w:cs="宋体"/>
          <w:b/>
          <w:bCs/>
          <w:color w:val="auto"/>
          <w:highlight w:val="none"/>
          <w:lang w:val="en-US"/>
        </w:rPr>
      </w:pPr>
      <w:r>
        <w:rPr>
          <w:rFonts w:hint="eastAsia" w:hAnsi="宋体" w:cs="宋体"/>
          <w:b/>
          <w:bCs/>
          <w:color w:val="auto"/>
          <w:highlight w:val="none"/>
          <w:lang w:val="en-US"/>
        </w:rPr>
        <w:t>（二）系统规则内容</w:t>
      </w:r>
    </w:p>
    <w:p>
      <w:pPr>
        <w:pStyle w:val="63"/>
        <w:rPr>
          <w:rFonts w:hAnsi="宋体" w:cs="宋体"/>
          <w:color w:val="auto"/>
          <w:highlight w:val="none"/>
          <w:lang w:val="en-US"/>
        </w:rPr>
      </w:pPr>
      <w:r>
        <w:rPr>
          <w:rFonts w:hint="eastAsia" w:hAnsi="宋体" w:cs="宋体"/>
          <w:color w:val="auto"/>
          <w:highlight w:val="none"/>
          <w:lang w:val="en-US"/>
        </w:rPr>
        <w:t>系统规则全面、丰富，同步国家医疗保障局规范及要求。其中包含：1.智能审核规则；2. 2022、2023浙江省自查自纠、浙江省基金监管手册或国家飞检、省飞检规则，并根据实际自查自纠、飞检等情况更新审核规则。</w:t>
      </w:r>
    </w:p>
    <w:p>
      <w:pPr>
        <w:pStyle w:val="63"/>
        <w:rPr>
          <w:rFonts w:hAnsi="宋体" w:cs="宋体"/>
          <w:b/>
          <w:bCs/>
          <w:color w:val="auto"/>
          <w:highlight w:val="none"/>
          <w:lang w:val="en-US"/>
        </w:rPr>
      </w:pPr>
      <w:r>
        <w:rPr>
          <w:rFonts w:hint="eastAsia" w:hAnsi="宋体" w:cs="宋体"/>
          <w:b/>
          <w:bCs/>
          <w:color w:val="auto"/>
          <w:highlight w:val="none"/>
          <w:lang w:val="en-US"/>
        </w:rPr>
        <w:t>三、商务要求</w:t>
      </w:r>
    </w:p>
    <w:p>
      <w:pPr>
        <w:pStyle w:val="63"/>
        <w:rPr>
          <w:rFonts w:hAnsi="宋体" w:cs="宋体"/>
          <w:color w:val="auto"/>
          <w:highlight w:val="none"/>
          <w:lang w:val="en-US"/>
        </w:rPr>
      </w:pPr>
      <w:r>
        <w:rPr>
          <w:rFonts w:hint="eastAsia" w:hAnsi="宋体" w:cs="宋体"/>
          <w:color w:val="auto"/>
          <w:highlight w:val="none"/>
          <w:lang w:val="en-US"/>
        </w:rPr>
        <w:t>1.供应商负责本次服务所需软件的部署安装；供应商负责所有与电子病历和HIS等相关系统的接口开发、调试等，产生的相关费用已包含在本服务项目中；供应商负责验收、培训及相关服务等。</w:t>
      </w:r>
    </w:p>
    <w:p>
      <w:pPr>
        <w:pStyle w:val="63"/>
        <w:rPr>
          <w:rFonts w:hAnsi="宋体" w:cs="宋体"/>
          <w:color w:val="auto"/>
          <w:highlight w:val="none"/>
          <w:lang w:val="en-US"/>
        </w:rPr>
      </w:pPr>
      <w:r>
        <w:rPr>
          <w:rFonts w:hint="eastAsia" w:hAnsi="宋体" w:cs="宋体"/>
          <w:color w:val="auto"/>
          <w:highlight w:val="none"/>
          <w:lang w:val="en-US"/>
        </w:rPr>
        <w:t>2.付款方式：合同签订后支付合同金额的40%，验收完成后支付合同金额的60%。</w:t>
      </w:r>
    </w:p>
    <w:p>
      <w:pPr>
        <w:pStyle w:val="63"/>
        <w:rPr>
          <w:rFonts w:hAnsi="宋体" w:cs="宋体"/>
          <w:color w:val="auto"/>
          <w:highlight w:val="none"/>
          <w:lang w:val="en-US"/>
        </w:rPr>
      </w:pPr>
      <w:r>
        <w:rPr>
          <w:rFonts w:hint="eastAsia" w:hAnsi="宋体" w:cs="宋体"/>
          <w:color w:val="auto"/>
          <w:highlight w:val="none"/>
          <w:lang w:val="en-US"/>
        </w:rPr>
        <w:t>3.交付时间：合同签订后60个日历日内完成。</w:t>
      </w:r>
    </w:p>
    <w:p>
      <w:pPr>
        <w:pStyle w:val="63"/>
        <w:rPr>
          <w:rFonts w:hAnsi="宋体" w:cs="宋体"/>
          <w:color w:val="auto"/>
          <w:highlight w:val="none"/>
          <w:lang w:val="en-US"/>
        </w:rPr>
      </w:pPr>
      <w:r>
        <w:rPr>
          <w:rFonts w:hint="eastAsia" w:hAnsi="宋体" w:cs="宋体"/>
          <w:color w:val="auto"/>
          <w:highlight w:val="none"/>
          <w:lang w:val="en-US"/>
        </w:rPr>
        <w:t>4.交付地点：交易发起人指定地点。</w:t>
      </w:r>
    </w:p>
    <w:p>
      <w:pPr>
        <w:pStyle w:val="63"/>
        <w:rPr>
          <w:rFonts w:hAnsi="宋体" w:cs="宋体"/>
          <w:color w:val="auto"/>
          <w:highlight w:val="none"/>
          <w:lang w:val="en-US"/>
        </w:rPr>
      </w:pPr>
      <w:r>
        <w:rPr>
          <w:rFonts w:hint="eastAsia" w:hAnsi="宋体" w:cs="宋体"/>
          <w:color w:val="auto"/>
          <w:highlight w:val="none"/>
          <w:lang w:val="en-US"/>
        </w:rPr>
        <w:t>5.安装与调试：系统部署安装到交易发起人指定地点进行调试。</w:t>
      </w:r>
    </w:p>
    <w:p>
      <w:pPr>
        <w:pStyle w:val="63"/>
        <w:rPr>
          <w:rFonts w:hAnsi="宋体" w:cs="宋体"/>
          <w:color w:val="auto"/>
          <w:highlight w:val="none"/>
          <w:lang w:val="en-US"/>
        </w:rPr>
      </w:pPr>
      <w:r>
        <w:rPr>
          <w:rFonts w:hint="eastAsia" w:hAnsi="宋体" w:cs="宋体"/>
          <w:color w:val="auto"/>
          <w:highlight w:val="none"/>
          <w:lang w:val="en-US"/>
        </w:rPr>
        <w:t>6.项目建设工作验收完毕后，提供1年的免费运维服务，服务期从项目验收完成后开始计算。免费运维期内，除人为因素（如机械损伤）、鼠害和不可抗力（如地震等）外，信息系统的所有维护均含在总报价内，交易发起人无须额外支付任何费用。维保期内当地医保局有任何政策内容变更均免费进行升级和维护，使系统功能必须符合当地医保政策。</w:t>
      </w:r>
    </w:p>
    <w:p>
      <w:pPr>
        <w:pStyle w:val="63"/>
        <w:rPr>
          <w:rFonts w:hAnsi="宋体" w:cs="宋体"/>
          <w:color w:val="auto"/>
          <w:highlight w:val="none"/>
          <w:lang w:val="en-US"/>
        </w:rPr>
      </w:pPr>
      <w:r>
        <w:rPr>
          <w:rFonts w:hint="eastAsia" w:hAnsi="宋体" w:cs="宋体"/>
          <w:color w:val="auto"/>
          <w:highlight w:val="none"/>
          <w:lang w:val="en-US"/>
        </w:rPr>
        <w:t>7.故障响应及时：系统发生故障后，自报障时起算，1小时内响应，4小时内到达现场，24小时内给出故障的解决方案，48小时解决问题。</w:t>
      </w:r>
    </w:p>
    <w:p>
      <w:pPr>
        <w:pStyle w:val="63"/>
        <w:rPr>
          <w:rFonts w:hAnsi="宋体" w:cs="宋体"/>
          <w:color w:val="auto"/>
          <w:highlight w:val="none"/>
          <w:lang w:val="en-US"/>
        </w:rPr>
      </w:pPr>
      <w:r>
        <w:rPr>
          <w:rFonts w:hint="eastAsia" w:hAnsi="宋体" w:cs="宋体"/>
          <w:color w:val="auto"/>
          <w:highlight w:val="none"/>
          <w:lang w:val="en-US"/>
        </w:rPr>
        <w:t>8.操作培训：在系统建设完毕后，负责培训交易发起人的使用人员，直至完全掌握信息系统的操作、日常应用及配置方法。</w:t>
      </w:r>
    </w:p>
    <w:p>
      <w:pPr>
        <w:pStyle w:val="63"/>
        <w:ind w:left="0" w:leftChars="0" w:firstLine="0" w:firstLineChars="0"/>
        <w:rPr>
          <w:rFonts w:hAnsi="宋体" w:cs="宋体"/>
          <w:b/>
          <w:bCs/>
          <w:color w:val="auto"/>
          <w:highlight w:val="none"/>
        </w:rPr>
      </w:pPr>
    </w:p>
    <w:p>
      <w:pPr>
        <w:pStyle w:val="82"/>
        <w:rPr>
          <w:color w:val="auto"/>
          <w:highlight w:val="none"/>
        </w:rPr>
      </w:pPr>
    </w:p>
    <w:p>
      <w:pPr>
        <w:spacing w:line="360" w:lineRule="auto"/>
        <w:ind w:firstLine="482" w:firstLineChars="200"/>
        <w:jc w:val="left"/>
        <w:rPr>
          <w:rFonts w:ascii="宋体" w:hAnsi="宋体" w:cs="宋体"/>
          <w:b/>
          <w:color w:val="auto"/>
          <w:sz w:val="24"/>
          <w:highlight w:val="none"/>
        </w:rPr>
      </w:pPr>
      <w:r>
        <w:rPr>
          <w:rFonts w:hint="eastAsia" w:ascii="宋体" w:hAnsi="宋体" w:cs="宋体"/>
          <w:b/>
          <w:bCs/>
          <w:color w:val="auto"/>
          <w:sz w:val="24"/>
          <w:highlight w:val="none"/>
          <w:lang w:val="zh-CN"/>
        </w:rPr>
        <w:t>注：</w:t>
      </w:r>
      <w:r>
        <w:rPr>
          <w:rFonts w:hint="eastAsia" w:ascii="宋体" w:hAnsi="宋体" w:cs="宋体"/>
          <w:b/>
          <w:color w:val="auto"/>
          <w:sz w:val="24"/>
          <w:highlight w:val="none"/>
        </w:rPr>
        <w:t>1、打▲内容为实质性要求，不允许有负偏离，否则将以涉及无效投标条款作无效投标。</w:t>
      </w:r>
    </w:p>
    <w:p>
      <w:pPr>
        <w:spacing w:line="360" w:lineRule="auto"/>
        <w:ind w:firstLine="482" w:firstLineChars="200"/>
        <w:jc w:val="left"/>
        <w:rPr>
          <w:rFonts w:hAnsi="宋体" w:cs="宋体"/>
          <w:color w:val="auto"/>
          <w:sz w:val="24"/>
          <w:szCs w:val="24"/>
          <w:highlight w:val="none"/>
        </w:rPr>
      </w:pPr>
      <w:r>
        <w:rPr>
          <w:rFonts w:hint="eastAsia" w:ascii="宋体" w:hAnsi="宋体" w:cs="宋体"/>
          <w:b/>
          <w:color w:val="auto"/>
          <w:sz w:val="24"/>
          <w:highlight w:val="none"/>
        </w:rPr>
        <w:t>2、成交人所提供的货物、服务须与投标承诺一致，不得以次充好、偷工减料，若在项目验收中发现有上述情况，将向有关部门举报，根据相关规定进行处理。</w:t>
      </w:r>
    </w:p>
    <w:p>
      <w:pPr>
        <w:pStyle w:val="39"/>
        <w:ind w:firstLine="0"/>
        <w:rPr>
          <w:rFonts w:hAnsi="宋体" w:cs="宋体"/>
          <w:color w:val="auto"/>
          <w:sz w:val="24"/>
          <w:szCs w:val="24"/>
          <w:highlight w:val="none"/>
        </w:rPr>
      </w:pP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18" w:name="_Toc184310302"/>
      <w:bookmarkEnd w:id="18"/>
      <w:bookmarkStart w:id="19" w:name="_Toc184308041"/>
      <w:bookmarkEnd w:id="19"/>
      <w:bookmarkStart w:id="20" w:name="_Toc184312107"/>
      <w:bookmarkEnd w:id="20"/>
      <w:bookmarkStart w:id="21" w:name="_Toc184313255"/>
      <w:bookmarkEnd w:id="21"/>
      <w:bookmarkStart w:id="22" w:name="_Toc184313283"/>
      <w:bookmarkEnd w:id="22"/>
      <w:bookmarkStart w:id="23" w:name="_Toc184308074"/>
      <w:bookmarkEnd w:id="23"/>
      <w:bookmarkStart w:id="24" w:name="_Toc184312092"/>
      <w:bookmarkEnd w:id="24"/>
      <w:bookmarkStart w:id="25" w:name="_Toc184308073"/>
      <w:bookmarkEnd w:id="25"/>
      <w:bookmarkStart w:id="26" w:name="_Toc184310314"/>
      <w:bookmarkEnd w:id="26"/>
      <w:bookmarkStart w:id="27" w:name="_Toc184308106"/>
      <w:bookmarkEnd w:id="27"/>
      <w:bookmarkStart w:id="28" w:name="_Toc184312086"/>
      <w:bookmarkEnd w:id="28"/>
      <w:bookmarkStart w:id="29" w:name="_Toc184312093"/>
      <w:bookmarkEnd w:id="29"/>
      <w:bookmarkStart w:id="30" w:name="_Toc184308046"/>
      <w:bookmarkEnd w:id="30"/>
      <w:bookmarkStart w:id="31" w:name="_Toc184314425"/>
      <w:bookmarkEnd w:id="31"/>
      <w:bookmarkStart w:id="32" w:name="_Toc184312131"/>
      <w:bookmarkEnd w:id="32"/>
      <w:bookmarkStart w:id="33" w:name="_Toc184313247"/>
      <w:bookmarkEnd w:id="33"/>
      <w:bookmarkStart w:id="34" w:name="_Toc184314465"/>
      <w:bookmarkEnd w:id="34"/>
      <w:bookmarkStart w:id="35" w:name="_Toc184310281"/>
      <w:bookmarkEnd w:id="35"/>
      <w:bookmarkStart w:id="36" w:name="_Toc184310313"/>
      <w:bookmarkEnd w:id="36"/>
      <w:bookmarkStart w:id="37" w:name="_Toc184314412"/>
      <w:bookmarkEnd w:id="37"/>
      <w:bookmarkStart w:id="38" w:name="_Toc184314421"/>
      <w:bookmarkEnd w:id="38"/>
      <w:bookmarkStart w:id="39" w:name="_Toc184313260"/>
      <w:bookmarkEnd w:id="39"/>
      <w:bookmarkStart w:id="40" w:name="_Toc184314451"/>
      <w:bookmarkEnd w:id="40"/>
      <w:bookmarkStart w:id="41" w:name="_Toc184308081"/>
      <w:bookmarkEnd w:id="41"/>
      <w:bookmarkStart w:id="42" w:name="_Toc184313284"/>
      <w:bookmarkEnd w:id="42"/>
      <w:bookmarkStart w:id="43" w:name="_Toc184310276"/>
      <w:bookmarkEnd w:id="43"/>
      <w:bookmarkStart w:id="44" w:name="_Toc184308051"/>
      <w:bookmarkEnd w:id="44"/>
      <w:bookmarkStart w:id="45" w:name="_Toc184313298"/>
      <w:bookmarkEnd w:id="45"/>
      <w:bookmarkStart w:id="46" w:name="_Toc184308061"/>
      <w:bookmarkEnd w:id="46"/>
      <w:bookmarkStart w:id="47" w:name="_Toc184313269"/>
      <w:bookmarkEnd w:id="47"/>
      <w:bookmarkStart w:id="48" w:name="_Toc184312121"/>
      <w:bookmarkEnd w:id="48"/>
      <w:bookmarkStart w:id="49" w:name="_Toc184310301"/>
      <w:bookmarkEnd w:id="49"/>
      <w:bookmarkStart w:id="50" w:name="_Toc184314411"/>
      <w:bookmarkEnd w:id="50"/>
      <w:bookmarkStart w:id="51" w:name="_Toc184310278"/>
      <w:bookmarkEnd w:id="51"/>
      <w:bookmarkStart w:id="52" w:name="_Toc184312110"/>
      <w:bookmarkEnd w:id="52"/>
      <w:bookmarkStart w:id="53" w:name="_Toc184308058"/>
      <w:bookmarkEnd w:id="53"/>
      <w:bookmarkStart w:id="54" w:name="_Toc184310283"/>
      <w:bookmarkEnd w:id="54"/>
      <w:bookmarkStart w:id="55" w:name="_Toc184308092"/>
      <w:bookmarkEnd w:id="55"/>
      <w:bookmarkStart w:id="56" w:name="_Toc184308091"/>
      <w:bookmarkEnd w:id="56"/>
      <w:bookmarkStart w:id="57" w:name="_Toc184314463"/>
      <w:bookmarkEnd w:id="57"/>
      <w:bookmarkStart w:id="58" w:name="_Toc184313243"/>
      <w:bookmarkEnd w:id="58"/>
      <w:bookmarkStart w:id="59" w:name="_Toc184312073"/>
      <w:bookmarkEnd w:id="59"/>
      <w:bookmarkStart w:id="60" w:name="_Toc184308089"/>
      <w:bookmarkEnd w:id="60"/>
      <w:bookmarkStart w:id="61" w:name="_Toc184308100"/>
      <w:bookmarkEnd w:id="61"/>
      <w:bookmarkStart w:id="62" w:name="_Toc184312134"/>
      <w:bookmarkEnd w:id="62"/>
      <w:bookmarkStart w:id="63" w:name="_Toc184312089"/>
      <w:bookmarkEnd w:id="63"/>
      <w:bookmarkStart w:id="64" w:name="_Toc184314426"/>
      <w:bookmarkEnd w:id="64"/>
      <w:bookmarkStart w:id="65" w:name="_Toc184312102"/>
      <w:bookmarkEnd w:id="65"/>
      <w:bookmarkStart w:id="66" w:name="_Toc184312098"/>
      <w:bookmarkEnd w:id="66"/>
      <w:bookmarkStart w:id="67" w:name="_Toc184308038"/>
      <w:bookmarkEnd w:id="67"/>
      <w:bookmarkStart w:id="68" w:name="_Toc184310295"/>
      <w:bookmarkEnd w:id="68"/>
      <w:bookmarkStart w:id="69" w:name="_Toc184310320"/>
      <w:bookmarkEnd w:id="69"/>
      <w:bookmarkStart w:id="70" w:name="_Toc184310306"/>
      <w:bookmarkEnd w:id="70"/>
      <w:bookmarkStart w:id="71" w:name="_Toc184313258"/>
      <w:bookmarkEnd w:id="71"/>
      <w:bookmarkStart w:id="72" w:name="_Toc184310277"/>
      <w:bookmarkEnd w:id="72"/>
      <w:bookmarkStart w:id="73" w:name="_Toc184313238"/>
      <w:bookmarkEnd w:id="73"/>
      <w:bookmarkStart w:id="74" w:name="_Toc184310332"/>
      <w:bookmarkEnd w:id="74"/>
      <w:bookmarkStart w:id="75" w:name="_Toc184312076"/>
      <w:bookmarkEnd w:id="75"/>
      <w:bookmarkStart w:id="76" w:name="_Toc184312088"/>
      <w:bookmarkEnd w:id="76"/>
      <w:bookmarkStart w:id="77" w:name="_Toc184314435"/>
      <w:bookmarkEnd w:id="77"/>
      <w:bookmarkStart w:id="78" w:name="_Toc184310294"/>
      <w:bookmarkEnd w:id="78"/>
      <w:bookmarkStart w:id="79" w:name="_Toc184310315"/>
      <w:bookmarkEnd w:id="79"/>
      <w:bookmarkStart w:id="80" w:name="_Toc184310329"/>
      <w:bookmarkEnd w:id="80"/>
      <w:bookmarkStart w:id="81" w:name="_Toc184308043"/>
      <w:bookmarkEnd w:id="81"/>
      <w:bookmarkStart w:id="82" w:name="_Toc184308048"/>
      <w:bookmarkEnd w:id="82"/>
      <w:bookmarkStart w:id="83" w:name="_Toc184314482"/>
      <w:bookmarkEnd w:id="83"/>
      <w:bookmarkStart w:id="84" w:name="_Toc184312068"/>
      <w:bookmarkEnd w:id="84"/>
      <w:bookmarkStart w:id="85" w:name="_Toc184308076"/>
      <w:bookmarkEnd w:id="85"/>
      <w:bookmarkStart w:id="86" w:name="_Toc184314450"/>
      <w:bookmarkEnd w:id="86"/>
      <w:bookmarkStart w:id="87" w:name="_Toc184308037"/>
      <w:bookmarkEnd w:id="87"/>
      <w:bookmarkStart w:id="88" w:name="_Toc184310300"/>
      <w:bookmarkEnd w:id="88"/>
      <w:bookmarkStart w:id="89" w:name="_Toc184312080"/>
      <w:bookmarkEnd w:id="89"/>
      <w:bookmarkStart w:id="90" w:name="_Toc184308085"/>
      <w:bookmarkEnd w:id="90"/>
      <w:bookmarkStart w:id="91" w:name="_Toc184313287"/>
      <w:bookmarkEnd w:id="91"/>
      <w:bookmarkStart w:id="92" w:name="_Toc184308068"/>
      <w:bookmarkEnd w:id="92"/>
      <w:bookmarkStart w:id="93" w:name="_Toc184310338"/>
      <w:bookmarkEnd w:id="93"/>
      <w:bookmarkStart w:id="94" w:name="_Toc184312129"/>
      <w:bookmarkEnd w:id="94"/>
      <w:bookmarkStart w:id="95" w:name="_Toc184314472"/>
      <w:bookmarkEnd w:id="95"/>
      <w:bookmarkStart w:id="96" w:name="_Toc184314434"/>
      <w:bookmarkEnd w:id="96"/>
      <w:bookmarkStart w:id="97" w:name="_Toc184310342"/>
      <w:bookmarkEnd w:id="97"/>
      <w:bookmarkStart w:id="98" w:name="_Toc184310317"/>
      <w:bookmarkEnd w:id="98"/>
      <w:bookmarkStart w:id="99" w:name="_Toc184314467"/>
      <w:bookmarkEnd w:id="99"/>
      <w:bookmarkStart w:id="100" w:name="_Toc184314454"/>
      <w:bookmarkEnd w:id="100"/>
      <w:bookmarkStart w:id="101" w:name="_Toc184313276"/>
      <w:bookmarkEnd w:id="101"/>
      <w:bookmarkStart w:id="102" w:name="_Toc184310324"/>
      <w:bookmarkEnd w:id="102"/>
      <w:bookmarkStart w:id="103" w:name="_Toc184312118"/>
      <w:bookmarkEnd w:id="103"/>
      <w:bookmarkStart w:id="104" w:name="_Toc184312116"/>
      <w:bookmarkEnd w:id="104"/>
      <w:bookmarkStart w:id="105" w:name="_Toc184314469"/>
      <w:bookmarkEnd w:id="105"/>
      <w:bookmarkStart w:id="106" w:name="_Toc184312094"/>
      <w:bookmarkEnd w:id="106"/>
      <w:bookmarkStart w:id="107" w:name="_Toc184312138"/>
      <w:bookmarkEnd w:id="107"/>
      <w:bookmarkStart w:id="108" w:name="_Toc184314420"/>
      <w:bookmarkEnd w:id="108"/>
      <w:bookmarkStart w:id="109" w:name="_Toc184314418"/>
      <w:bookmarkEnd w:id="109"/>
      <w:bookmarkStart w:id="110" w:name="_Toc184313297"/>
      <w:bookmarkEnd w:id="110"/>
      <w:bookmarkStart w:id="111" w:name="_Toc184310284"/>
      <w:bookmarkEnd w:id="111"/>
      <w:bookmarkStart w:id="112" w:name="_Toc184314456"/>
      <w:bookmarkEnd w:id="112"/>
      <w:bookmarkStart w:id="113" w:name="_Toc184310319"/>
      <w:bookmarkEnd w:id="113"/>
      <w:bookmarkStart w:id="114" w:name="_Toc184313309"/>
      <w:bookmarkEnd w:id="114"/>
      <w:bookmarkStart w:id="115" w:name="_Toc184310304"/>
      <w:bookmarkEnd w:id="115"/>
      <w:bookmarkStart w:id="116" w:name="_Toc184312085"/>
      <w:bookmarkEnd w:id="116"/>
      <w:bookmarkStart w:id="117" w:name="_Toc184312082"/>
      <w:bookmarkEnd w:id="117"/>
      <w:bookmarkStart w:id="118" w:name="_Toc184314422"/>
      <w:bookmarkEnd w:id="118"/>
      <w:bookmarkStart w:id="119" w:name="_Toc184314413"/>
      <w:bookmarkEnd w:id="119"/>
      <w:bookmarkStart w:id="120" w:name="_Toc184312078"/>
      <w:bookmarkEnd w:id="120"/>
      <w:bookmarkStart w:id="121" w:name="_Toc184312106"/>
      <w:bookmarkEnd w:id="121"/>
      <w:bookmarkStart w:id="122" w:name="_Toc184313304"/>
      <w:bookmarkEnd w:id="122"/>
      <w:bookmarkStart w:id="123" w:name="_Toc184312083"/>
      <w:bookmarkEnd w:id="123"/>
      <w:bookmarkStart w:id="124" w:name="_Toc184308088"/>
      <w:bookmarkEnd w:id="124"/>
      <w:bookmarkStart w:id="125" w:name="_Toc184312130"/>
      <w:bookmarkEnd w:id="125"/>
      <w:bookmarkStart w:id="126" w:name="_Toc184308087"/>
      <w:bookmarkEnd w:id="126"/>
      <w:bookmarkStart w:id="127" w:name="_Toc184310308"/>
      <w:bookmarkEnd w:id="127"/>
      <w:bookmarkStart w:id="128" w:name="_Toc184308107"/>
      <w:bookmarkEnd w:id="128"/>
      <w:bookmarkStart w:id="129" w:name="_Toc184312070"/>
      <w:bookmarkEnd w:id="129"/>
      <w:bookmarkStart w:id="130" w:name="_Toc184314470"/>
      <w:bookmarkEnd w:id="130"/>
      <w:bookmarkStart w:id="131" w:name="_Toc184314442"/>
      <w:bookmarkEnd w:id="131"/>
      <w:bookmarkStart w:id="132" w:name="_Toc184308104"/>
      <w:bookmarkEnd w:id="132"/>
      <w:bookmarkStart w:id="133" w:name="_Toc184310307"/>
      <w:bookmarkEnd w:id="133"/>
      <w:bookmarkStart w:id="134" w:name="_Toc184312095"/>
      <w:bookmarkEnd w:id="134"/>
      <w:bookmarkStart w:id="135" w:name="_Toc184310275"/>
      <w:bookmarkEnd w:id="135"/>
      <w:bookmarkStart w:id="136" w:name="_Toc184313285"/>
      <w:bookmarkEnd w:id="136"/>
      <w:bookmarkStart w:id="137" w:name="_Toc184313299"/>
      <w:bookmarkEnd w:id="137"/>
      <w:bookmarkStart w:id="138" w:name="_Toc184310303"/>
      <w:bookmarkEnd w:id="138"/>
      <w:bookmarkStart w:id="139" w:name="_Toc184313256"/>
      <w:bookmarkEnd w:id="139"/>
      <w:bookmarkStart w:id="140" w:name="_Toc184313244"/>
      <w:bookmarkEnd w:id="140"/>
      <w:bookmarkStart w:id="141" w:name="_Toc184308050"/>
      <w:bookmarkEnd w:id="141"/>
      <w:bookmarkStart w:id="142" w:name="_Toc184312122"/>
      <w:bookmarkEnd w:id="142"/>
      <w:bookmarkStart w:id="143" w:name="_Toc184314438"/>
      <w:bookmarkEnd w:id="143"/>
      <w:bookmarkStart w:id="144" w:name="_Toc184310297"/>
      <w:bookmarkEnd w:id="144"/>
      <w:bookmarkStart w:id="145" w:name="_Toc184314427"/>
      <w:bookmarkEnd w:id="145"/>
      <w:bookmarkStart w:id="146" w:name="_Toc184310311"/>
      <w:bookmarkEnd w:id="146"/>
      <w:bookmarkStart w:id="147" w:name="_Toc184310333"/>
      <w:bookmarkEnd w:id="147"/>
      <w:bookmarkStart w:id="148" w:name="_Toc184313272"/>
      <w:bookmarkEnd w:id="148"/>
      <w:bookmarkStart w:id="149" w:name="_Toc184308080"/>
      <w:bookmarkEnd w:id="149"/>
      <w:bookmarkStart w:id="150" w:name="_Toc184312111"/>
      <w:bookmarkEnd w:id="150"/>
      <w:bookmarkStart w:id="151" w:name="_Toc184313302"/>
      <w:bookmarkEnd w:id="151"/>
      <w:bookmarkStart w:id="152" w:name="_Toc184308036"/>
      <w:bookmarkEnd w:id="152"/>
      <w:bookmarkStart w:id="153" w:name="_Toc184313308"/>
      <w:bookmarkEnd w:id="153"/>
      <w:bookmarkStart w:id="154" w:name="_Toc184308069"/>
      <w:bookmarkEnd w:id="154"/>
      <w:bookmarkStart w:id="155" w:name="_Toc184308075"/>
      <w:bookmarkEnd w:id="155"/>
      <w:bookmarkStart w:id="156" w:name="_Toc184313303"/>
      <w:bookmarkEnd w:id="156"/>
      <w:bookmarkStart w:id="157" w:name="_Toc184314423"/>
      <w:bookmarkEnd w:id="157"/>
      <w:bookmarkStart w:id="158" w:name="_Toc184312097"/>
      <w:bookmarkEnd w:id="158"/>
      <w:bookmarkStart w:id="159" w:name="_Toc184314449"/>
      <w:bookmarkEnd w:id="159"/>
      <w:bookmarkStart w:id="160" w:name="_Toc184313288"/>
      <w:bookmarkEnd w:id="160"/>
      <w:bookmarkStart w:id="161" w:name="_Toc184312139"/>
      <w:bookmarkEnd w:id="161"/>
      <w:bookmarkStart w:id="162" w:name="_Toc184308097"/>
      <w:bookmarkEnd w:id="162"/>
      <w:bookmarkStart w:id="163" w:name="_Toc184312104"/>
      <w:bookmarkEnd w:id="163"/>
      <w:bookmarkStart w:id="164" w:name="_Toc184313282"/>
      <w:bookmarkEnd w:id="164"/>
      <w:bookmarkStart w:id="165" w:name="_Toc184310330"/>
      <w:bookmarkEnd w:id="165"/>
      <w:bookmarkStart w:id="166" w:name="_Toc184314448"/>
      <w:bookmarkEnd w:id="166"/>
      <w:bookmarkStart w:id="167" w:name="_Toc184308090"/>
      <w:bookmarkEnd w:id="167"/>
      <w:bookmarkStart w:id="168" w:name="_Toc184313301"/>
      <w:bookmarkEnd w:id="168"/>
      <w:bookmarkStart w:id="169" w:name="_Toc184314415"/>
      <w:bookmarkEnd w:id="169"/>
      <w:bookmarkStart w:id="170" w:name="_Toc184314466"/>
      <w:bookmarkEnd w:id="170"/>
      <w:bookmarkStart w:id="171" w:name="_Toc184312103"/>
      <w:bookmarkEnd w:id="171"/>
      <w:bookmarkStart w:id="172" w:name="_Toc184314446"/>
      <w:bookmarkEnd w:id="172"/>
      <w:bookmarkStart w:id="173" w:name="_Toc184314414"/>
      <w:bookmarkEnd w:id="173"/>
      <w:bookmarkStart w:id="174" w:name="_Toc184312090"/>
      <w:bookmarkEnd w:id="174"/>
      <w:bookmarkStart w:id="175" w:name="_Toc184313289"/>
      <w:bookmarkEnd w:id="175"/>
      <w:bookmarkStart w:id="176" w:name="_Toc184313286"/>
      <w:bookmarkEnd w:id="176"/>
      <w:bookmarkStart w:id="177" w:name="_Toc184313248"/>
      <w:bookmarkEnd w:id="177"/>
      <w:bookmarkStart w:id="178" w:name="_Toc184313251"/>
      <w:bookmarkEnd w:id="178"/>
      <w:bookmarkStart w:id="179" w:name="_Toc184312091"/>
      <w:bookmarkEnd w:id="179"/>
      <w:bookmarkStart w:id="180" w:name="_Toc184312077"/>
      <w:bookmarkEnd w:id="180"/>
      <w:bookmarkStart w:id="181" w:name="_Toc184314473"/>
      <w:bookmarkEnd w:id="181"/>
      <w:bookmarkStart w:id="182" w:name="_Toc184310296"/>
      <w:bookmarkEnd w:id="182"/>
      <w:bookmarkStart w:id="183" w:name="_Toc184310331"/>
      <w:bookmarkEnd w:id="183"/>
      <w:bookmarkStart w:id="184" w:name="_Toc184314462"/>
      <w:bookmarkEnd w:id="184"/>
      <w:bookmarkStart w:id="185" w:name="_Toc184312132"/>
      <w:bookmarkEnd w:id="185"/>
      <w:bookmarkStart w:id="186" w:name="_Toc184308056"/>
      <w:bookmarkEnd w:id="186"/>
      <w:bookmarkStart w:id="187" w:name="_Toc184314481"/>
      <w:bookmarkEnd w:id="187"/>
      <w:bookmarkStart w:id="188" w:name="_Toc184308086"/>
      <w:bookmarkEnd w:id="188"/>
      <w:bookmarkStart w:id="189" w:name="_Toc184313290"/>
      <w:bookmarkEnd w:id="189"/>
      <w:bookmarkStart w:id="190" w:name="_Toc184310323"/>
      <w:bookmarkEnd w:id="190"/>
      <w:bookmarkStart w:id="191" w:name="_Toc184313262"/>
      <w:bookmarkEnd w:id="191"/>
      <w:bookmarkStart w:id="192" w:name="_Toc184308042"/>
      <w:bookmarkEnd w:id="192"/>
      <w:bookmarkStart w:id="193" w:name="_Toc184313241"/>
      <w:bookmarkEnd w:id="193"/>
      <w:bookmarkStart w:id="194" w:name="_Toc184310339"/>
      <w:bookmarkEnd w:id="194"/>
      <w:bookmarkStart w:id="195" w:name="_Toc184308062"/>
      <w:bookmarkEnd w:id="195"/>
      <w:bookmarkStart w:id="196" w:name="_Toc184314479"/>
      <w:bookmarkEnd w:id="196"/>
      <w:bookmarkStart w:id="197" w:name="_Toc184314471"/>
      <w:bookmarkEnd w:id="197"/>
      <w:bookmarkStart w:id="198" w:name="_Toc184314431"/>
      <w:bookmarkEnd w:id="198"/>
      <w:bookmarkStart w:id="199" w:name="_Toc184314480"/>
      <w:bookmarkEnd w:id="199"/>
      <w:bookmarkStart w:id="200" w:name="_Toc184310325"/>
      <w:bookmarkEnd w:id="200"/>
      <w:bookmarkStart w:id="201" w:name="_Toc184312075"/>
      <w:bookmarkEnd w:id="201"/>
      <w:bookmarkStart w:id="202" w:name="_Toc184312074"/>
      <w:bookmarkEnd w:id="202"/>
      <w:bookmarkStart w:id="203" w:name="_Toc184313270"/>
      <w:bookmarkEnd w:id="203"/>
      <w:bookmarkStart w:id="204" w:name="_Toc184313295"/>
      <w:bookmarkEnd w:id="204"/>
      <w:bookmarkStart w:id="205" w:name="_Toc184310292"/>
      <w:bookmarkEnd w:id="205"/>
      <w:bookmarkStart w:id="206" w:name="_Toc184310312"/>
      <w:bookmarkEnd w:id="206"/>
      <w:bookmarkStart w:id="207" w:name="_Toc184310328"/>
      <w:bookmarkEnd w:id="207"/>
      <w:bookmarkStart w:id="208" w:name="_Toc184310279"/>
      <w:bookmarkEnd w:id="208"/>
      <w:bookmarkStart w:id="209" w:name="_Toc184313264"/>
      <w:bookmarkEnd w:id="209"/>
      <w:bookmarkStart w:id="210" w:name="_Toc184314419"/>
      <w:bookmarkEnd w:id="210"/>
      <w:bookmarkStart w:id="211" w:name="_Toc184314459"/>
      <w:bookmarkEnd w:id="211"/>
      <w:bookmarkStart w:id="212" w:name="_Toc184310290"/>
      <w:bookmarkEnd w:id="212"/>
      <w:bookmarkStart w:id="213" w:name="_Toc184313293"/>
      <w:bookmarkEnd w:id="213"/>
      <w:bookmarkStart w:id="214" w:name="_Toc184308095"/>
      <w:bookmarkEnd w:id="214"/>
      <w:bookmarkStart w:id="215" w:name="_Toc184310326"/>
      <w:bookmarkEnd w:id="215"/>
      <w:bookmarkStart w:id="216" w:name="_Toc184312114"/>
      <w:bookmarkEnd w:id="216"/>
      <w:bookmarkStart w:id="217" w:name="_Toc184314440"/>
      <w:bookmarkEnd w:id="217"/>
      <w:bookmarkStart w:id="218" w:name="_Toc184313300"/>
      <w:bookmarkEnd w:id="218"/>
      <w:bookmarkStart w:id="219" w:name="_Toc184312096"/>
      <w:bookmarkEnd w:id="219"/>
      <w:bookmarkStart w:id="220" w:name="_Toc184308102"/>
      <w:bookmarkEnd w:id="220"/>
      <w:bookmarkStart w:id="221" w:name="_Toc184310318"/>
      <w:bookmarkEnd w:id="221"/>
      <w:bookmarkStart w:id="222" w:name="_Toc184308045"/>
      <w:bookmarkEnd w:id="222"/>
      <w:bookmarkStart w:id="223" w:name="_Toc184308049"/>
      <w:bookmarkEnd w:id="223"/>
      <w:bookmarkStart w:id="224" w:name="_Toc184312081"/>
      <w:bookmarkEnd w:id="224"/>
      <w:bookmarkStart w:id="225" w:name="_Toc184308065"/>
      <w:bookmarkEnd w:id="225"/>
      <w:bookmarkStart w:id="226" w:name="_Toc184308053"/>
      <w:bookmarkEnd w:id="226"/>
      <w:bookmarkStart w:id="227" w:name="_Toc184312101"/>
      <w:bookmarkEnd w:id="227"/>
      <w:bookmarkStart w:id="228" w:name="_Toc184312136"/>
      <w:bookmarkEnd w:id="228"/>
      <w:bookmarkStart w:id="229" w:name="_Toc184310343"/>
      <w:bookmarkEnd w:id="229"/>
      <w:bookmarkStart w:id="230" w:name="_Toc184308040"/>
      <w:bookmarkEnd w:id="230"/>
      <w:bookmarkStart w:id="231" w:name="_Toc184308047"/>
      <w:bookmarkEnd w:id="231"/>
      <w:bookmarkStart w:id="232" w:name="_Toc184310291"/>
      <w:bookmarkEnd w:id="232"/>
      <w:bookmarkStart w:id="233" w:name="_Toc184312108"/>
      <w:bookmarkEnd w:id="233"/>
      <w:bookmarkStart w:id="234" w:name="_Toc184308084"/>
      <w:bookmarkEnd w:id="234"/>
      <w:bookmarkStart w:id="235" w:name="_Toc184308060"/>
      <w:bookmarkEnd w:id="235"/>
      <w:bookmarkStart w:id="236" w:name="_Toc184310273"/>
      <w:bookmarkEnd w:id="236"/>
      <w:bookmarkStart w:id="237" w:name="_Toc184314461"/>
      <w:bookmarkEnd w:id="237"/>
      <w:bookmarkStart w:id="238" w:name="_Toc184313278"/>
      <w:bookmarkEnd w:id="238"/>
      <w:bookmarkStart w:id="239" w:name="_Toc184308098"/>
      <w:bookmarkEnd w:id="239"/>
      <w:bookmarkStart w:id="240" w:name="_Toc184310280"/>
      <w:bookmarkEnd w:id="240"/>
      <w:bookmarkStart w:id="241" w:name="_Toc184310299"/>
      <w:bookmarkEnd w:id="241"/>
      <w:bookmarkStart w:id="242" w:name="_Toc184312126"/>
      <w:bookmarkEnd w:id="242"/>
      <w:bookmarkStart w:id="243" w:name="_Toc184308094"/>
      <w:bookmarkEnd w:id="243"/>
      <w:bookmarkStart w:id="244" w:name="_Toc184314458"/>
      <w:bookmarkEnd w:id="244"/>
      <w:bookmarkStart w:id="245" w:name="_Toc184310344"/>
      <w:bookmarkEnd w:id="245"/>
      <w:bookmarkStart w:id="246" w:name="_Toc184314444"/>
      <w:bookmarkEnd w:id="246"/>
      <w:bookmarkStart w:id="247" w:name="_Toc184308071"/>
      <w:bookmarkEnd w:id="247"/>
      <w:bookmarkStart w:id="248" w:name="_Toc184312109"/>
      <w:bookmarkEnd w:id="248"/>
      <w:bookmarkStart w:id="249" w:name="_Toc184313239"/>
      <w:bookmarkEnd w:id="249"/>
      <w:bookmarkStart w:id="250" w:name="_Toc184313242"/>
      <w:bookmarkEnd w:id="250"/>
      <w:bookmarkStart w:id="251" w:name="_Toc184313246"/>
      <w:bookmarkEnd w:id="251"/>
      <w:bookmarkStart w:id="252" w:name="_Toc184314475"/>
      <w:bookmarkEnd w:id="252"/>
      <w:bookmarkStart w:id="253" w:name="_Toc184313277"/>
      <w:bookmarkEnd w:id="253"/>
      <w:bookmarkStart w:id="254" w:name="_Toc184308103"/>
      <w:bookmarkEnd w:id="254"/>
      <w:bookmarkStart w:id="255" w:name="_Toc184308059"/>
      <w:bookmarkEnd w:id="255"/>
      <w:bookmarkStart w:id="256" w:name="_Toc184313273"/>
      <w:bookmarkEnd w:id="256"/>
      <w:bookmarkStart w:id="257" w:name="_Toc184312135"/>
      <w:bookmarkEnd w:id="257"/>
      <w:bookmarkStart w:id="258" w:name="_Toc184308054"/>
      <w:bookmarkEnd w:id="258"/>
      <w:bookmarkStart w:id="259" w:name="_Toc184313265"/>
      <w:bookmarkEnd w:id="259"/>
      <w:bookmarkStart w:id="260" w:name="_Toc184314455"/>
      <w:bookmarkEnd w:id="260"/>
      <w:bookmarkStart w:id="261" w:name="_Toc184314416"/>
      <w:bookmarkEnd w:id="261"/>
      <w:bookmarkStart w:id="262" w:name="_Toc184308079"/>
      <w:bookmarkEnd w:id="262"/>
      <w:bookmarkStart w:id="263" w:name="_Toc184312123"/>
      <w:bookmarkEnd w:id="263"/>
      <w:bookmarkStart w:id="264" w:name="_Toc184308101"/>
      <w:bookmarkEnd w:id="264"/>
      <w:bookmarkStart w:id="265" w:name="_Toc184310288"/>
      <w:bookmarkEnd w:id="265"/>
      <w:bookmarkStart w:id="266" w:name="_Toc184314453"/>
      <w:bookmarkEnd w:id="266"/>
      <w:bookmarkStart w:id="267" w:name="_Toc184308108"/>
      <w:bookmarkEnd w:id="267"/>
      <w:bookmarkStart w:id="268" w:name="_Toc184313274"/>
      <w:bookmarkEnd w:id="268"/>
      <w:bookmarkStart w:id="269" w:name="_Toc184314441"/>
      <w:bookmarkEnd w:id="269"/>
      <w:bookmarkStart w:id="270" w:name="_Toc184308066"/>
      <w:bookmarkEnd w:id="270"/>
      <w:bookmarkStart w:id="271" w:name="_Toc184308093"/>
      <w:bookmarkEnd w:id="271"/>
      <w:bookmarkStart w:id="272" w:name="_Toc184312079"/>
      <w:bookmarkEnd w:id="272"/>
      <w:bookmarkStart w:id="273" w:name="_Toc184313250"/>
      <w:bookmarkEnd w:id="273"/>
      <w:bookmarkStart w:id="274" w:name="_Toc184313307"/>
      <w:bookmarkEnd w:id="274"/>
      <w:bookmarkStart w:id="275" w:name="_Toc184314437"/>
      <w:bookmarkEnd w:id="275"/>
      <w:bookmarkStart w:id="276" w:name="_Toc184312124"/>
      <w:bookmarkEnd w:id="276"/>
      <w:bookmarkStart w:id="277" w:name="_Toc184314478"/>
      <w:bookmarkEnd w:id="277"/>
      <w:bookmarkStart w:id="278" w:name="_Toc184312087"/>
      <w:bookmarkEnd w:id="278"/>
      <w:bookmarkStart w:id="279" w:name="_Toc184314476"/>
      <w:bookmarkEnd w:id="279"/>
      <w:bookmarkStart w:id="280" w:name="_Toc184310321"/>
      <w:bookmarkEnd w:id="280"/>
      <w:bookmarkStart w:id="281" w:name="_Toc184310340"/>
      <w:bookmarkEnd w:id="281"/>
      <w:bookmarkStart w:id="282" w:name="_Toc184313249"/>
      <w:bookmarkEnd w:id="282"/>
      <w:bookmarkStart w:id="283" w:name="_Toc184313266"/>
      <w:bookmarkEnd w:id="283"/>
      <w:bookmarkStart w:id="284" w:name="_Toc184310322"/>
      <w:bookmarkEnd w:id="284"/>
      <w:bookmarkStart w:id="285" w:name="_Toc184314457"/>
      <w:bookmarkEnd w:id="285"/>
      <w:bookmarkStart w:id="286" w:name="_Toc184313296"/>
      <w:bookmarkEnd w:id="286"/>
      <w:bookmarkStart w:id="287" w:name="_Toc184312100"/>
      <w:bookmarkEnd w:id="287"/>
      <w:bookmarkStart w:id="288" w:name="_Toc184313268"/>
      <w:bookmarkEnd w:id="288"/>
      <w:bookmarkStart w:id="289" w:name="_Toc184313291"/>
      <w:bookmarkEnd w:id="289"/>
      <w:bookmarkStart w:id="290" w:name="_Toc184310293"/>
      <w:bookmarkEnd w:id="290"/>
      <w:bookmarkStart w:id="291" w:name="_Toc184308044"/>
      <w:bookmarkEnd w:id="291"/>
      <w:bookmarkStart w:id="292" w:name="_Toc184313306"/>
      <w:bookmarkEnd w:id="292"/>
      <w:bookmarkStart w:id="293" w:name="_Toc184310287"/>
      <w:bookmarkEnd w:id="293"/>
      <w:bookmarkStart w:id="294" w:name="_Toc184313281"/>
      <w:bookmarkEnd w:id="294"/>
      <w:bookmarkStart w:id="295" w:name="_Toc184313305"/>
      <w:bookmarkEnd w:id="295"/>
      <w:bookmarkStart w:id="296" w:name="_Toc184312117"/>
      <w:bookmarkEnd w:id="296"/>
      <w:bookmarkStart w:id="297" w:name="_Toc184314410"/>
      <w:bookmarkEnd w:id="297"/>
      <w:bookmarkStart w:id="298" w:name="_Toc184314468"/>
      <w:bookmarkEnd w:id="298"/>
      <w:bookmarkStart w:id="299" w:name="_Toc184314443"/>
      <w:bookmarkEnd w:id="299"/>
      <w:bookmarkStart w:id="300" w:name="_Toc184314417"/>
      <w:bookmarkEnd w:id="300"/>
      <w:bookmarkStart w:id="301" w:name="_Toc184314464"/>
      <w:bookmarkEnd w:id="301"/>
      <w:bookmarkStart w:id="302" w:name="_Toc184314460"/>
      <w:bookmarkEnd w:id="302"/>
      <w:bookmarkStart w:id="303" w:name="_Toc184308078"/>
      <w:bookmarkEnd w:id="303"/>
      <w:bookmarkStart w:id="304" w:name="_Toc184313310"/>
      <w:bookmarkEnd w:id="304"/>
      <w:bookmarkStart w:id="305" w:name="_Toc184313240"/>
      <w:bookmarkEnd w:id="305"/>
      <w:bookmarkStart w:id="306" w:name="_Toc184314429"/>
      <w:bookmarkEnd w:id="306"/>
      <w:bookmarkStart w:id="307" w:name="_Toc184308077"/>
      <w:bookmarkEnd w:id="307"/>
      <w:bookmarkStart w:id="308" w:name="_Toc184313259"/>
      <w:bookmarkEnd w:id="308"/>
      <w:bookmarkStart w:id="309" w:name="_Toc184312127"/>
      <w:bookmarkEnd w:id="309"/>
      <w:bookmarkStart w:id="310" w:name="_Toc184308096"/>
      <w:bookmarkEnd w:id="310"/>
      <w:bookmarkStart w:id="311" w:name="_Toc184308055"/>
      <w:bookmarkEnd w:id="311"/>
      <w:bookmarkStart w:id="312" w:name="_Toc184310337"/>
      <w:bookmarkEnd w:id="312"/>
      <w:bookmarkStart w:id="313" w:name="_Toc184308099"/>
      <w:bookmarkEnd w:id="313"/>
      <w:bookmarkStart w:id="314" w:name="_Toc184313267"/>
      <w:bookmarkEnd w:id="314"/>
      <w:bookmarkStart w:id="315" w:name="_Toc184308039"/>
      <w:bookmarkEnd w:id="315"/>
      <w:bookmarkStart w:id="316" w:name="_Toc184314430"/>
      <w:bookmarkEnd w:id="316"/>
      <w:bookmarkStart w:id="317" w:name="_Toc184314439"/>
      <w:bookmarkEnd w:id="317"/>
      <w:bookmarkStart w:id="318" w:name="_Toc184312113"/>
      <w:bookmarkEnd w:id="318"/>
      <w:bookmarkStart w:id="319" w:name="_Toc184312112"/>
      <w:bookmarkEnd w:id="319"/>
      <w:bookmarkStart w:id="320" w:name="_Toc184310272"/>
      <w:bookmarkEnd w:id="320"/>
      <w:bookmarkStart w:id="321" w:name="_Toc184308064"/>
      <w:bookmarkEnd w:id="321"/>
      <w:bookmarkStart w:id="322" w:name="_Toc184308070"/>
      <w:bookmarkEnd w:id="322"/>
      <w:bookmarkStart w:id="323" w:name="_Toc184313252"/>
      <w:bookmarkEnd w:id="323"/>
      <w:bookmarkStart w:id="324" w:name="_Toc184308067"/>
      <w:bookmarkEnd w:id="324"/>
      <w:bookmarkStart w:id="325" w:name="_Toc184313245"/>
      <w:bookmarkEnd w:id="325"/>
      <w:bookmarkStart w:id="326" w:name="_Toc184310309"/>
      <w:bookmarkEnd w:id="326"/>
      <w:bookmarkStart w:id="327" w:name="_Toc184312084"/>
      <w:bookmarkEnd w:id="327"/>
      <w:bookmarkStart w:id="328" w:name="_Toc184313254"/>
      <w:bookmarkEnd w:id="328"/>
      <w:bookmarkStart w:id="329" w:name="_Toc184314424"/>
      <w:bookmarkEnd w:id="329"/>
      <w:bookmarkStart w:id="330" w:name="_Toc184308057"/>
      <w:bookmarkEnd w:id="330"/>
      <w:bookmarkStart w:id="331" w:name="_Toc184313263"/>
      <w:bookmarkEnd w:id="331"/>
      <w:bookmarkStart w:id="332" w:name="_Toc184313292"/>
      <w:bookmarkEnd w:id="332"/>
      <w:bookmarkStart w:id="333" w:name="_Toc184313253"/>
      <w:bookmarkEnd w:id="333"/>
      <w:bookmarkStart w:id="334" w:name="_Toc184310336"/>
      <w:bookmarkEnd w:id="334"/>
      <w:bookmarkStart w:id="335" w:name="_Toc184310305"/>
      <w:bookmarkEnd w:id="335"/>
      <w:bookmarkStart w:id="336" w:name="_Toc184313271"/>
      <w:bookmarkEnd w:id="336"/>
      <w:bookmarkStart w:id="337" w:name="_Toc184312133"/>
      <w:bookmarkEnd w:id="337"/>
      <w:bookmarkStart w:id="338" w:name="_Toc184314428"/>
      <w:bookmarkEnd w:id="338"/>
      <w:bookmarkStart w:id="339" w:name="_Toc184310334"/>
      <w:bookmarkEnd w:id="339"/>
      <w:bookmarkStart w:id="340" w:name="_Toc184310341"/>
      <w:bookmarkEnd w:id="340"/>
      <w:bookmarkStart w:id="341" w:name="_Toc184308083"/>
      <w:bookmarkEnd w:id="341"/>
      <w:bookmarkStart w:id="342" w:name="_Toc184314432"/>
      <w:bookmarkEnd w:id="342"/>
      <w:bookmarkStart w:id="343" w:name="_Toc184314445"/>
      <w:bookmarkEnd w:id="343"/>
      <w:bookmarkStart w:id="344" w:name="_Toc184308082"/>
      <w:bookmarkEnd w:id="344"/>
      <w:bookmarkStart w:id="345" w:name="_Toc184314477"/>
      <w:bookmarkEnd w:id="345"/>
      <w:bookmarkStart w:id="346" w:name="_Toc184314436"/>
      <w:bookmarkEnd w:id="346"/>
      <w:bookmarkStart w:id="347" w:name="_Toc184310289"/>
      <w:bookmarkEnd w:id="347"/>
      <w:bookmarkStart w:id="348" w:name="_Toc184308105"/>
      <w:bookmarkEnd w:id="348"/>
      <w:bookmarkStart w:id="349" w:name="_Toc184310282"/>
      <w:bookmarkEnd w:id="349"/>
      <w:bookmarkStart w:id="350" w:name="_Toc184314474"/>
      <w:bookmarkEnd w:id="350"/>
      <w:bookmarkStart w:id="351" w:name="_Toc184312120"/>
      <w:bookmarkEnd w:id="351"/>
      <w:bookmarkStart w:id="352" w:name="_Toc184312069"/>
      <w:bookmarkEnd w:id="352"/>
      <w:bookmarkStart w:id="353" w:name="_Toc184310335"/>
      <w:bookmarkEnd w:id="353"/>
      <w:bookmarkStart w:id="354" w:name="_Toc184312119"/>
      <w:bookmarkEnd w:id="354"/>
      <w:bookmarkStart w:id="355" w:name="_Toc184312137"/>
      <w:bookmarkEnd w:id="355"/>
      <w:bookmarkStart w:id="356" w:name="_Toc184312099"/>
      <w:bookmarkEnd w:id="356"/>
      <w:bookmarkStart w:id="357" w:name="_Toc184312125"/>
      <w:bookmarkEnd w:id="357"/>
      <w:bookmarkStart w:id="358" w:name="_Toc184313279"/>
      <w:bookmarkEnd w:id="358"/>
      <w:bookmarkStart w:id="359" w:name="_Toc184312128"/>
      <w:bookmarkEnd w:id="359"/>
      <w:bookmarkStart w:id="360" w:name="_Toc184314452"/>
      <w:bookmarkEnd w:id="360"/>
      <w:bookmarkStart w:id="361" w:name="_Toc184314433"/>
      <w:bookmarkEnd w:id="361"/>
      <w:bookmarkStart w:id="362" w:name="_Toc184312072"/>
      <w:bookmarkEnd w:id="362"/>
      <w:bookmarkStart w:id="363" w:name="_Toc184310327"/>
      <w:bookmarkEnd w:id="363"/>
      <w:bookmarkStart w:id="364" w:name="_Toc184308052"/>
      <w:bookmarkEnd w:id="364"/>
      <w:bookmarkStart w:id="365" w:name="_Toc184310310"/>
      <w:bookmarkEnd w:id="365"/>
      <w:bookmarkStart w:id="366" w:name="_Toc184308063"/>
      <w:bookmarkEnd w:id="366"/>
      <w:bookmarkStart w:id="367" w:name="_Toc184312105"/>
      <w:bookmarkEnd w:id="367"/>
      <w:bookmarkStart w:id="368" w:name="_Toc184314447"/>
      <w:bookmarkEnd w:id="368"/>
      <w:bookmarkStart w:id="369" w:name="_Toc184310286"/>
      <w:bookmarkEnd w:id="369"/>
      <w:bookmarkStart w:id="370" w:name="_Toc184313261"/>
      <w:bookmarkEnd w:id="370"/>
      <w:bookmarkStart w:id="371" w:name="_Toc184313257"/>
      <w:bookmarkEnd w:id="371"/>
      <w:bookmarkStart w:id="372" w:name="_Toc184313280"/>
      <w:bookmarkEnd w:id="372"/>
      <w:bookmarkStart w:id="373" w:name="_Toc184310285"/>
      <w:bookmarkEnd w:id="373"/>
      <w:bookmarkStart w:id="374" w:name="_Toc184310298"/>
      <w:bookmarkEnd w:id="374"/>
      <w:bookmarkStart w:id="375" w:name="_Toc184310316"/>
      <w:bookmarkEnd w:id="375"/>
      <w:bookmarkStart w:id="376" w:name="_Toc184312071"/>
      <w:bookmarkEnd w:id="376"/>
      <w:bookmarkStart w:id="377" w:name="_Toc184308072"/>
      <w:bookmarkEnd w:id="377"/>
      <w:bookmarkStart w:id="378" w:name="_Toc184313294"/>
      <w:bookmarkEnd w:id="378"/>
      <w:bookmarkStart w:id="379" w:name="_Toc184310274"/>
      <w:bookmarkEnd w:id="379"/>
      <w:bookmarkStart w:id="380" w:name="_Toc184312067"/>
      <w:bookmarkEnd w:id="380"/>
      <w:bookmarkStart w:id="381" w:name="_Toc184313275"/>
      <w:bookmarkEnd w:id="381"/>
      <w:bookmarkStart w:id="382" w:name="_Toc184312115"/>
      <w:bookmarkEnd w:id="382"/>
      <w:r>
        <w:rPr>
          <w:rFonts w:hint="eastAsia" w:ascii="宋体" w:hAnsi="宋体" w:cs="宋体"/>
          <w:b/>
          <w:color w:val="auto"/>
          <w:sz w:val="36"/>
          <w:szCs w:val="36"/>
          <w:highlight w:val="none"/>
        </w:rPr>
        <w:t>交易办法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交易办法前附表</w:t>
      </w:r>
    </w:p>
    <w:p>
      <w:pPr>
        <w:pStyle w:val="63"/>
        <w:ind w:firstLine="0"/>
        <w:jc w:val="center"/>
        <w:rPr>
          <w:rFonts w:hAnsi="宋体" w:cs="宋体"/>
          <w:b/>
          <w:color w:val="auto"/>
          <w:sz w:val="32"/>
          <w:highlight w:val="none"/>
          <w:lang w:val="en-US"/>
        </w:rPr>
      </w:pPr>
      <w:r>
        <w:rPr>
          <w:rFonts w:hint="eastAsia" w:hAnsi="宋体" w:cs="宋体"/>
          <w:b/>
          <w:color w:val="auto"/>
          <w:sz w:val="32"/>
          <w:highlight w:val="none"/>
          <w:lang w:val="en-US"/>
        </w:rPr>
        <w:t>标项1：数据库维保</w:t>
      </w:r>
    </w:p>
    <w:p>
      <w:pPr>
        <w:pStyle w:val="82"/>
        <w:ind w:firstLine="241" w:firstLineChars="100"/>
        <w:rPr>
          <w:rFonts w:hint="eastAsia" w:cs="宋体"/>
          <w:b/>
          <w:color w:val="auto"/>
          <w:szCs w:val="24"/>
          <w:highlight w:val="none"/>
          <w:lang w:val="en-US"/>
        </w:rPr>
      </w:pPr>
      <w:r>
        <w:rPr>
          <w:rFonts w:hint="eastAsia" w:cs="宋体"/>
          <w:b/>
          <w:color w:val="auto"/>
          <w:szCs w:val="24"/>
          <w:highlight w:val="none"/>
          <w:lang w:val="en-US"/>
        </w:rPr>
        <w:t>1、商务技术（80分）</w:t>
      </w:r>
    </w:p>
    <w:tbl>
      <w:tblPr>
        <w:tblStyle w:val="65"/>
        <w:tblW w:w="522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3"/>
        <w:gridCol w:w="1090"/>
        <w:gridCol w:w="5644"/>
        <w:gridCol w:w="822"/>
        <w:gridCol w:w="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5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b/>
                <w:bCs/>
                <w:color w:val="auto"/>
                <w:sz w:val="24"/>
                <w:szCs w:val="20"/>
                <w:highlight w:val="none"/>
              </w:rPr>
            </w:pPr>
            <w:r>
              <w:rPr>
                <w:rFonts w:hint="eastAsia"/>
                <w:b/>
                <w:bCs/>
                <w:color w:val="auto"/>
                <w:sz w:val="24"/>
                <w:szCs w:val="20"/>
                <w:highlight w:val="none"/>
              </w:rPr>
              <w:t>序号</w:t>
            </w:r>
          </w:p>
        </w:tc>
        <w:tc>
          <w:tcPr>
            <w:tcW w:w="57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b/>
                <w:bCs/>
                <w:color w:val="auto"/>
                <w:sz w:val="24"/>
                <w:szCs w:val="20"/>
                <w:highlight w:val="none"/>
              </w:rPr>
            </w:pPr>
            <w:r>
              <w:rPr>
                <w:rFonts w:hint="eastAsia"/>
                <w:b/>
                <w:bCs/>
                <w:color w:val="auto"/>
                <w:sz w:val="24"/>
                <w:szCs w:val="20"/>
                <w:highlight w:val="none"/>
              </w:rPr>
              <w:t>评审</w:t>
            </w:r>
          </w:p>
          <w:p>
            <w:pPr>
              <w:keepNext w:val="0"/>
              <w:keepLines w:val="0"/>
              <w:pageBreakBefore w:val="0"/>
              <w:kinsoku/>
              <w:overflowPunct/>
              <w:topLinePunct w:val="0"/>
              <w:autoSpaceDE/>
              <w:autoSpaceDN/>
              <w:bidi w:val="0"/>
              <w:adjustRightInd w:val="0"/>
              <w:spacing w:line="440" w:lineRule="exact"/>
              <w:jc w:val="center"/>
              <w:rPr>
                <w:b/>
                <w:bCs/>
                <w:color w:val="auto"/>
                <w:sz w:val="24"/>
                <w:szCs w:val="20"/>
                <w:highlight w:val="none"/>
              </w:rPr>
            </w:pPr>
            <w:r>
              <w:rPr>
                <w:rFonts w:hint="eastAsia"/>
                <w:b/>
                <w:bCs/>
                <w:color w:val="auto"/>
                <w:sz w:val="24"/>
                <w:szCs w:val="20"/>
                <w:highlight w:val="none"/>
              </w:rPr>
              <w:t>内容</w:t>
            </w: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b/>
                <w:bCs/>
                <w:color w:val="auto"/>
                <w:sz w:val="24"/>
                <w:szCs w:val="20"/>
                <w:highlight w:val="none"/>
              </w:rPr>
            </w:pPr>
            <w:r>
              <w:rPr>
                <w:rFonts w:hint="eastAsia"/>
                <w:b/>
                <w:bCs/>
                <w:color w:val="auto"/>
                <w:sz w:val="24"/>
                <w:szCs w:val="20"/>
                <w:highlight w:val="none"/>
              </w:rPr>
              <w:t>评分标准</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b/>
                <w:bCs/>
                <w:color w:val="auto"/>
                <w:sz w:val="24"/>
                <w:szCs w:val="20"/>
                <w:highlight w:val="none"/>
                <w:lang w:eastAsia="zh-CN"/>
              </w:rPr>
            </w:pPr>
            <w:r>
              <w:rPr>
                <w:rFonts w:hint="eastAsia" w:ascii="宋体" w:hAnsi="宋体"/>
                <w:b/>
                <w:bCs/>
                <w:color w:val="auto"/>
                <w:sz w:val="24"/>
                <w:szCs w:val="20"/>
                <w:highlight w:val="none"/>
                <w:lang w:eastAsia="zh-CN"/>
              </w:rPr>
              <w:t>分值</w:t>
            </w:r>
          </w:p>
          <w:p>
            <w:pPr>
              <w:keepNext w:val="0"/>
              <w:keepLines w:val="0"/>
              <w:pageBreakBefore w:val="0"/>
              <w:kinsoku/>
              <w:overflowPunct/>
              <w:topLinePunct w:val="0"/>
              <w:autoSpaceDE/>
              <w:autoSpaceDN/>
              <w:bidi w:val="0"/>
              <w:adjustRightInd w:val="0"/>
              <w:spacing w:line="440" w:lineRule="exact"/>
              <w:jc w:val="center"/>
              <w:rPr>
                <w:rFonts w:hint="eastAsia" w:ascii="宋体" w:hAnsi="宋体" w:eastAsia="宋体"/>
                <w:b/>
                <w:bCs/>
                <w:color w:val="auto"/>
                <w:sz w:val="24"/>
                <w:szCs w:val="20"/>
                <w:highlight w:val="none"/>
                <w:lang w:eastAsia="zh-CN"/>
              </w:rPr>
            </w:pPr>
            <w:r>
              <w:rPr>
                <w:rFonts w:hint="eastAsia" w:ascii="宋体" w:hAnsi="宋体"/>
                <w:b/>
                <w:bCs/>
                <w:color w:val="auto"/>
                <w:sz w:val="24"/>
                <w:szCs w:val="20"/>
                <w:highlight w:val="none"/>
                <w:lang w:eastAsia="zh-CN"/>
              </w:rPr>
              <w:t>区间</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Style w:val="970"/>
                <w:rFonts w:ascii="宋体" w:hAnsi="宋体" w:cs="宋体"/>
                <w:b/>
                <w:bCs/>
                <w:color w:val="auto"/>
                <w:sz w:val="24"/>
                <w:highlight w:val="none"/>
              </w:rPr>
            </w:pPr>
            <w:r>
              <w:rPr>
                <w:rStyle w:val="970"/>
                <w:rFonts w:hint="eastAsia" w:ascii="宋体" w:hAnsi="宋体" w:cs="宋体"/>
                <w:b/>
                <w:bCs/>
                <w:color w:val="auto"/>
                <w:sz w:val="24"/>
                <w:highlight w:val="none"/>
              </w:rPr>
              <w:t>主/客</w:t>
            </w:r>
          </w:p>
          <w:p>
            <w:pPr>
              <w:keepNext w:val="0"/>
              <w:keepLines w:val="0"/>
              <w:pageBreakBefore w:val="0"/>
              <w:kinsoku/>
              <w:overflowPunct/>
              <w:topLinePunct w:val="0"/>
              <w:autoSpaceDE/>
              <w:autoSpaceDN/>
              <w:bidi w:val="0"/>
              <w:adjustRightInd w:val="0"/>
              <w:spacing w:line="440" w:lineRule="exact"/>
              <w:jc w:val="center"/>
              <w:rPr>
                <w:rFonts w:hint="eastAsia" w:ascii="宋体" w:hAnsi="宋体"/>
                <w:b/>
                <w:bCs/>
                <w:color w:val="auto"/>
                <w:sz w:val="24"/>
                <w:szCs w:val="20"/>
                <w:highlight w:val="none"/>
              </w:rPr>
            </w:pPr>
            <w:r>
              <w:rPr>
                <w:rStyle w:val="970"/>
                <w:rFonts w:hint="eastAsia" w:ascii="宋体" w:hAnsi="宋体" w:cs="宋体"/>
                <w:b/>
                <w:bCs/>
                <w:color w:val="auto"/>
                <w:sz w:val="24"/>
                <w:highlight w:val="none"/>
              </w:rPr>
              <w:t>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color w:val="auto"/>
                <w:sz w:val="24"/>
                <w:szCs w:val="20"/>
                <w:highlight w:val="none"/>
              </w:rPr>
            </w:pPr>
            <w:r>
              <w:rPr>
                <w:rFonts w:hint="eastAsia"/>
                <w:color w:val="auto"/>
                <w:sz w:val="24"/>
                <w:szCs w:val="20"/>
                <w:highlight w:val="none"/>
              </w:rPr>
              <w:t>商务分</w:t>
            </w:r>
          </w:p>
          <w:p>
            <w:pPr>
              <w:pStyle w:val="973"/>
              <w:keepNext w:val="0"/>
              <w:keepLines w:val="0"/>
              <w:pageBreakBefore w:val="0"/>
              <w:kinsoku/>
              <w:overflowPunct/>
              <w:topLinePunct w:val="0"/>
              <w:autoSpaceDE/>
              <w:autoSpaceDN/>
              <w:bidi w:val="0"/>
              <w:adjustRightInd w:val="0"/>
              <w:spacing w:line="440" w:lineRule="exact"/>
              <w:ind w:firstLine="0"/>
              <w:jc w:val="center"/>
              <w:rPr>
                <w:rFonts w:ascii="宋体" w:hAnsi="宋体" w:cs="宋体"/>
                <w:color w:val="auto"/>
                <w:sz w:val="24"/>
                <w:szCs w:val="20"/>
                <w:highlight w:val="none"/>
              </w:rPr>
            </w:pPr>
            <w:r>
              <w:rPr>
                <w:rFonts w:hint="eastAsia" w:ascii="宋体" w:hAnsi="宋体" w:cs="宋体"/>
                <w:color w:val="auto"/>
                <w:sz w:val="24"/>
                <w:szCs w:val="20"/>
                <w:highlight w:val="none"/>
              </w:rPr>
              <w:t>（15分）</w:t>
            </w:r>
          </w:p>
        </w:tc>
        <w:tc>
          <w:tcPr>
            <w:tcW w:w="57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综合实力（</w:t>
            </w:r>
            <w:r>
              <w:rPr>
                <w:color w:val="auto"/>
                <w:sz w:val="24"/>
                <w:szCs w:val="20"/>
                <w:highlight w:val="none"/>
              </w:rPr>
              <w:t>1</w:t>
            </w:r>
            <w:r>
              <w:rPr>
                <w:rFonts w:hint="eastAsia"/>
                <w:color w:val="auto"/>
                <w:sz w:val="24"/>
                <w:szCs w:val="20"/>
                <w:highlight w:val="none"/>
              </w:rPr>
              <w:t>3分）</w:t>
            </w:r>
          </w:p>
        </w:tc>
        <w:tc>
          <w:tcPr>
            <w:tcW w:w="2972" w:type="pct"/>
            <w:tcBorders>
              <w:top w:val="single" w:color="000000" w:sz="4" w:space="0"/>
              <w:left w:val="single" w:color="000000" w:sz="4" w:space="0"/>
              <w:bottom w:val="single" w:color="000000" w:sz="4" w:space="0"/>
              <w:right w:val="single" w:color="000000" w:sz="4" w:space="0"/>
            </w:tcBorders>
            <w:vAlign w:val="center"/>
          </w:tcPr>
          <w:p>
            <w:pPr>
              <w:pStyle w:val="972"/>
              <w:keepNext w:val="0"/>
              <w:keepLines w:val="0"/>
              <w:pageBreakBefore w:val="0"/>
              <w:kinsoku/>
              <w:overflowPunct/>
              <w:topLinePunct w:val="0"/>
              <w:autoSpaceDE/>
              <w:autoSpaceDN/>
              <w:bidi w:val="0"/>
              <w:adjustRightInd w:val="0"/>
              <w:spacing w:line="440" w:lineRule="exact"/>
              <w:rPr>
                <w:rFonts w:cs="宋体"/>
                <w:color w:val="auto"/>
                <w:kern w:val="2"/>
                <w:sz w:val="24"/>
                <w:szCs w:val="20"/>
                <w:highlight w:val="none"/>
                <w:lang w:val="en-US"/>
              </w:rPr>
            </w:pPr>
            <w:r>
              <w:rPr>
                <w:rFonts w:hint="eastAsia" w:cs="宋体"/>
                <w:color w:val="auto"/>
                <w:kern w:val="2"/>
                <w:sz w:val="24"/>
                <w:szCs w:val="20"/>
                <w:highlight w:val="none"/>
                <w:lang w:val="en-US"/>
              </w:rPr>
              <w:t>1、</w:t>
            </w:r>
            <w:r>
              <w:rPr>
                <w:rFonts w:hint="eastAsia" w:cs="宋体"/>
                <w:color w:val="auto"/>
                <w:kern w:val="2"/>
                <w:sz w:val="24"/>
                <w:szCs w:val="20"/>
                <w:highlight w:val="none"/>
                <w:lang w:val="en-US" w:eastAsia="zh-CN"/>
              </w:rPr>
              <w:t>供应商</w:t>
            </w:r>
            <w:r>
              <w:rPr>
                <w:rFonts w:hint="eastAsia" w:cs="宋体"/>
                <w:color w:val="auto"/>
                <w:kern w:val="2"/>
                <w:sz w:val="24"/>
                <w:szCs w:val="20"/>
                <w:highlight w:val="none"/>
                <w:lang w:val="en-US"/>
              </w:rPr>
              <w:t>具有ISO-9001质量管理体系认证证书、ISO-20000信息技术服务管理体系认证证书、ISO-27001信息安全管理体系认证证书，每提供一个得1分，共3分；</w:t>
            </w:r>
          </w:p>
          <w:p>
            <w:pPr>
              <w:pStyle w:val="972"/>
              <w:keepNext w:val="0"/>
              <w:keepLines w:val="0"/>
              <w:pageBreakBefore w:val="0"/>
              <w:kinsoku/>
              <w:overflowPunct/>
              <w:topLinePunct w:val="0"/>
              <w:autoSpaceDE/>
              <w:autoSpaceDN/>
              <w:bidi w:val="0"/>
              <w:adjustRightInd w:val="0"/>
              <w:spacing w:line="440" w:lineRule="exact"/>
              <w:rPr>
                <w:rFonts w:cs="宋体"/>
                <w:color w:val="auto"/>
                <w:kern w:val="2"/>
                <w:sz w:val="24"/>
                <w:szCs w:val="20"/>
                <w:highlight w:val="none"/>
                <w:lang w:val="en-US"/>
              </w:rPr>
            </w:pPr>
            <w:r>
              <w:rPr>
                <w:rFonts w:hint="eastAsia" w:cs="宋体"/>
                <w:color w:val="auto"/>
                <w:kern w:val="2"/>
                <w:sz w:val="24"/>
                <w:szCs w:val="20"/>
                <w:highlight w:val="none"/>
                <w:lang w:val="en-US"/>
              </w:rPr>
              <w:t>2、</w:t>
            </w:r>
            <w:r>
              <w:rPr>
                <w:rFonts w:hint="eastAsia" w:cs="宋体"/>
                <w:color w:val="auto"/>
                <w:kern w:val="2"/>
                <w:sz w:val="24"/>
                <w:szCs w:val="20"/>
                <w:highlight w:val="none"/>
                <w:lang w:val="en-US" w:eastAsia="zh-CN"/>
              </w:rPr>
              <w:t>供应商</w:t>
            </w:r>
            <w:r>
              <w:rPr>
                <w:rFonts w:hint="eastAsia" w:cs="宋体"/>
                <w:color w:val="auto"/>
                <w:kern w:val="2"/>
                <w:sz w:val="24"/>
                <w:szCs w:val="20"/>
                <w:highlight w:val="none"/>
                <w:lang w:val="en-US"/>
              </w:rPr>
              <w:t>同时具有CCRC信息安全服务资质（信息系统安全集成二级及以上）、CCRC信息安全服务资质（信息安全风险评估二级及以上）和CCRC信息安全服务资质（信息系统安全运维二级及以上）的，得</w:t>
            </w:r>
            <w:r>
              <w:rPr>
                <w:rFonts w:cs="宋体"/>
                <w:color w:val="auto"/>
                <w:kern w:val="2"/>
                <w:sz w:val="24"/>
                <w:szCs w:val="20"/>
                <w:highlight w:val="none"/>
                <w:lang w:val="en-US"/>
              </w:rPr>
              <w:t>3</w:t>
            </w:r>
            <w:r>
              <w:rPr>
                <w:rFonts w:hint="eastAsia" w:cs="宋体"/>
                <w:color w:val="auto"/>
                <w:kern w:val="2"/>
                <w:sz w:val="24"/>
                <w:szCs w:val="20"/>
                <w:highlight w:val="none"/>
                <w:lang w:val="en-US"/>
              </w:rPr>
              <w:t>分。</w:t>
            </w:r>
          </w:p>
          <w:p>
            <w:pPr>
              <w:pStyle w:val="972"/>
              <w:keepNext w:val="0"/>
              <w:keepLines w:val="0"/>
              <w:pageBreakBefore w:val="0"/>
              <w:kinsoku/>
              <w:overflowPunct/>
              <w:topLinePunct w:val="0"/>
              <w:autoSpaceDE/>
              <w:autoSpaceDN/>
              <w:bidi w:val="0"/>
              <w:adjustRightInd w:val="0"/>
              <w:spacing w:line="440" w:lineRule="exact"/>
              <w:rPr>
                <w:rFonts w:cs="宋体"/>
                <w:color w:val="auto"/>
                <w:kern w:val="2"/>
                <w:sz w:val="24"/>
                <w:szCs w:val="20"/>
                <w:highlight w:val="none"/>
                <w:lang w:val="en-US"/>
              </w:rPr>
            </w:pPr>
            <w:r>
              <w:rPr>
                <w:rFonts w:hint="eastAsia" w:cs="宋体"/>
                <w:color w:val="auto"/>
                <w:kern w:val="2"/>
                <w:sz w:val="24"/>
                <w:szCs w:val="20"/>
                <w:highlight w:val="none"/>
                <w:lang w:val="en-US"/>
              </w:rPr>
              <w:t>3、</w:t>
            </w:r>
            <w:r>
              <w:rPr>
                <w:rFonts w:hint="eastAsia" w:cs="宋体"/>
                <w:color w:val="auto"/>
                <w:kern w:val="2"/>
                <w:sz w:val="24"/>
                <w:szCs w:val="20"/>
                <w:highlight w:val="none"/>
                <w:lang w:val="en-US" w:eastAsia="zh-CN"/>
              </w:rPr>
              <w:t>供应商</w:t>
            </w:r>
            <w:r>
              <w:rPr>
                <w:rFonts w:hint="eastAsia" w:cs="宋体"/>
                <w:color w:val="auto"/>
                <w:kern w:val="2"/>
                <w:sz w:val="24"/>
                <w:szCs w:val="20"/>
                <w:highlight w:val="none"/>
                <w:lang w:val="en-US"/>
              </w:rPr>
              <w:t>具有CCRC信息安全服务资质（信息安全应急处理服务资质（二级）和ITSS信息技术服务标准符合性证书的，每提供1个得1分，共</w:t>
            </w:r>
            <w:r>
              <w:rPr>
                <w:rFonts w:cs="宋体"/>
                <w:color w:val="auto"/>
                <w:kern w:val="2"/>
                <w:sz w:val="24"/>
                <w:szCs w:val="20"/>
                <w:highlight w:val="none"/>
                <w:lang w:val="en-US"/>
              </w:rPr>
              <w:t>2</w:t>
            </w:r>
            <w:r>
              <w:rPr>
                <w:rFonts w:hint="eastAsia" w:cs="宋体"/>
                <w:color w:val="auto"/>
                <w:kern w:val="2"/>
                <w:sz w:val="24"/>
                <w:szCs w:val="20"/>
                <w:highlight w:val="none"/>
                <w:lang w:val="en-US"/>
              </w:rPr>
              <w:t>分；</w:t>
            </w:r>
          </w:p>
          <w:p>
            <w:pPr>
              <w:pStyle w:val="972"/>
              <w:keepNext w:val="0"/>
              <w:keepLines w:val="0"/>
              <w:pageBreakBefore w:val="0"/>
              <w:kinsoku/>
              <w:overflowPunct/>
              <w:topLinePunct w:val="0"/>
              <w:autoSpaceDE/>
              <w:autoSpaceDN/>
              <w:bidi w:val="0"/>
              <w:adjustRightInd w:val="0"/>
              <w:spacing w:line="440" w:lineRule="exact"/>
              <w:rPr>
                <w:rFonts w:cs="宋体"/>
                <w:color w:val="auto"/>
                <w:kern w:val="2"/>
                <w:sz w:val="24"/>
                <w:szCs w:val="20"/>
                <w:highlight w:val="none"/>
                <w:lang w:val="en-US"/>
              </w:rPr>
            </w:pPr>
            <w:r>
              <w:rPr>
                <w:rFonts w:hint="eastAsia" w:cs="宋体"/>
                <w:color w:val="auto"/>
                <w:kern w:val="2"/>
                <w:sz w:val="24"/>
                <w:szCs w:val="20"/>
                <w:highlight w:val="none"/>
                <w:lang w:val="en-US"/>
              </w:rPr>
              <w:t>4、</w:t>
            </w:r>
            <w:r>
              <w:rPr>
                <w:rFonts w:hint="eastAsia" w:cs="宋体"/>
                <w:color w:val="auto"/>
                <w:kern w:val="2"/>
                <w:sz w:val="24"/>
                <w:szCs w:val="20"/>
                <w:highlight w:val="none"/>
                <w:lang w:val="en-US" w:eastAsia="zh-CN"/>
              </w:rPr>
              <w:t>供应商</w:t>
            </w:r>
            <w:r>
              <w:rPr>
                <w:rFonts w:hint="eastAsia" w:cs="宋体"/>
                <w:color w:val="auto"/>
                <w:kern w:val="2"/>
                <w:sz w:val="24"/>
                <w:szCs w:val="20"/>
                <w:highlight w:val="none"/>
                <w:lang w:val="en-US"/>
              </w:rPr>
              <w:t>具有ORACLE OPN（金牌合作伙伴）认证，得2分；</w:t>
            </w:r>
          </w:p>
          <w:p>
            <w:pPr>
              <w:keepNext w:val="0"/>
              <w:keepLines w:val="0"/>
              <w:pageBreakBefore w:val="0"/>
              <w:kinsoku/>
              <w:overflowPunct/>
              <w:topLinePunct w:val="0"/>
              <w:autoSpaceDE/>
              <w:autoSpaceDN/>
              <w:bidi w:val="0"/>
              <w:adjustRightInd w:val="0"/>
              <w:spacing w:line="440" w:lineRule="exact"/>
              <w:jc w:val="left"/>
              <w:rPr>
                <w:rFonts w:ascii="宋体" w:hAnsi="宋体" w:cs="宋体"/>
                <w:color w:val="auto"/>
                <w:sz w:val="24"/>
                <w:szCs w:val="20"/>
                <w:highlight w:val="none"/>
              </w:rPr>
            </w:pPr>
            <w:r>
              <w:rPr>
                <w:rFonts w:hint="eastAsia" w:ascii="宋体" w:hAnsi="宋体" w:cs="宋体"/>
                <w:color w:val="auto"/>
                <w:sz w:val="24"/>
                <w:szCs w:val="20"/>
                <w:highlight w:val="none"/>
              </w:rPr>
              <w:t>5、</w:t>
            </w:r>
            <w:r>
              <w:rPr>
                <w:rFonts w:hint="eastAsia" w:ascii="宋体" w:hAnsi="宋体" w:cs="宋体"/>
                <w:color w:val="auto"/>
                <w:sz w:val="24"/>
                <w:szCs w:val="20"/>
                <w:highlight w:val="none"/>
                <w:lang w:eastAsia="zh-CN"/>
              </w:rPr>
              <w:t>供应商</w:t>
            </w:r>
            <w:r>
              <w:rPr>
                <w:rFonts w:hint="eastAsia" w:ascii="宋体" w:hAnsi="宋体" w:cs="宋体"/>
                <w:color w:val="auto"/>
                <w:sz w:val="24"/>
                <w:szCs w:val="20"/>
                <w:highlight w:val="none"/>
              </w:rPr>
              <w:t>具有国高新技术企业证书、省级研发中心资质和数据安全服务能力评定资格证书（二级）的，每一个得1分，共</w:t>
            </w:r>
            <w:r>
              <w:rPr>
                <w:rFonts w:ascii="宋体" w:hAnsi="宋体" w:cs="宋体"/>
                <w:color w:val="auto"/>
                <w:sz w:val="24"/>
                <w:szCs w:val="20"/>
                <w:highlight w:val="none"/>
              </w:rPr>
              <w:t>3</w:t>
            </w:r>
            <w:r>
              <w:rPr>
                <w:rFonts w:hint="eastAsia" w:ascii="宋体" w:hAnsi="宋体" w:cs="宋体"/>
                <w:color w:val="auto"/>
                <w:sz w:val="24"/>
                <w:szCs w:val="20"/>
                <w:highlight w:val="none"/>
              </w:rPr>
              <w:t>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（投标文件中提供上述有效证书或证明材料复印件加盖公章）</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13</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ind w:firstLine="480"/>
              <w:jc w:val="center"/>
              <w:rPr>
                <w:color w:val="auto"/>
                <w:sz w:val="24"/>
                <w:szCs w:val="20"/>
                <w:highlight w:val="none"/>
              </w:rPr>
            </w:pPr>
          </w:p>
        </w:tc>
        <w:tc>
          <w:tcPr>
            <w:tcW w:w="57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企业案例（2分）</w:t>
            </w: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8820"/>
              </w:tabs>
              <w:kinsoku/>
              <w:overflowPunct/>
              <w:topLinePunct w:val="0"/>
              <w:autoSpaceDE/>
              <w:autoSpaceDN/>
              <w:bidi w:val="0"/>
              <w:adjustRightInd w:val="0"/>
              <w:snapToGrid w:val="0"/>
              <w:spacing w:line="440" w:lineRule="exact"/>
              <w:rPr>
                <w:rFonts w:ascii="宋体" w:hAnsi="宋体" w:cs="宋体"/>
                <w:color w:val="auto"/>
                <w:sz w:val="24"/>
                <w:szCs w:val="20"/>
                <w:highlight w:val="none"/>
              </w:rPr>
            </w:pPr>
            <w:r>
              <w:rPr>
                <w:rFonts w:hint="eastAsia" w:ascii="宋体" w:hAnsi="宋体" w:cs="宋体"/>
                <w:color w:val="auto"/>
                <w:sz w:val="24"/>
                <w:szCs w:val="20"/>
                <w:highlight w:val="none"/>
                <w:lang w:eastAsia="zh-CN"/>
              </w:rPr>
              <w:t>供应商</w:t>
            </w:r>
            <w:r>
              <w:rPr>
                <w:rFonts w:hint="eastAsia" w:ascii="宋体" w:hAnsi="宋体" w:cs="宋体"/>
                <w:color w:val="auto"/>
                <w:sz w:val="24"/>
                <w:szCs w:val="20"/>
                <w:highlight w:val="none"/>
              </w:rPr>
              <w:t>20</w:t>
            </w:r>
            <w:r>
              <w:rPr>
                <w:rFonts w:ascii="宋体" w:hAnsi="宋体" w:cs="宋体"/>
                <w:color w:val="auto"/>
                <w:sz w:val="24"/>
                <w:szCs w:val="20"/>
                <w:highlight w:val="none"/>
              </w:rPr>
              <w:t>22</w:t>
            </w:r>
            <w:r>
              <w:rPr>
                <w:rFonts w:hint="eastAsia" w:ascii="宋体" w:hAnsi="宋体" w:cs="宋体"/>
                <w:color w:val="auto"/>
                <w:sz w:val="24"/>
                <w:szCs w:val="20"/>
                <w:highlight w:val="none"/>
              </w:rPr>
              <w:t>年1月1日以来具有同行业类似项目经验：</w:t>
            </w:r>
          </w:p>
          <w:p>
            <w:pPr>
              <w:keepNext w:val="0"/>
              <w:keepLines w:val="0"/>
              <w:pageBreakBefore w:val="0"/>
              <w:tabs>
                <w:tab w:val="left" w:pos="8820"/>
              </w:tabs>
              <w:kinsoku/>
              <w:overflowPunct/>
              <w:topLinePunct w:val="0"/>
              <w:autoSpaceDE/>
              <w:autoSpaceDN/>
              <w:bidi w:val="0"/>
              <w:adjustRightInd w:val="0"/>
              <w:snapToGrid w:val="0"/>
              <w:spacing w:line="440" w:lineRule="exact"/>
              <w:rPr>
                <w:rFonts w:ascii="宋体" w:hAnsi="宋体" w:cs="宋体"/>
                <w:color w:val="auto"/>
                <w:sz w:val="24"/>
                <w:szCs w:val="20"/>
                <w:highlight w:val="none"/>
              </w:rPr>
            </w:pPr>
            <w:r>
              <w:rPr>
                <w:rFonts w:hint="eastAsia" w:ascii="宋体" w:hAnsi="宋体" w:cs="宋体"/>
                <w:color w:val="auto"/>
                <w:sz w:val="24"/>
                <w:szCs w:val="20"/>
                <w:highlight w:val="none"/>
              </w:rPr>
              <w:t>提供三甲综合性医院专项数据库维保客户案例</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每个得0.5分，最高得2分；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ascii="宋体" w:hAnsi="宋体" w:cs="宋体"/>
                <w:color w:val="auto"/>
                <w:sz w:val="24"/>
                <w:szCs w:val="20"/>
                <w:highlight w:val="none"/>
              </w:rPr>
              <w:t>（提供合同或用户证明复印件，用户证明须有使用单位盖章，同一用户不累计得分）</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2</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color w:val="auto"/>
                <w:sz w:val="24"/>
                <w:szCs w:val="20"/>
                <w:highlight w:val="none"/>
              </w:rPr>
            </w:pPr>
            <w:r>
              <w:rPr>
                <w:rFonts w:hint="eastAsia" w:ascii="宋体" w:hAnsi="宋体"/>
                <w:color w:val="auto"/>
                <w:sz w:val="24"/>
                <w:szCs w:val="20"/>
                <w:highlight w:val="none"/>
                <w:lang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color w:val="auto"/>
                <w:sz w:val="24"/>
                <w:szCs w:val="20"/>
                <w:highlight w:val="none"/>
              </w:rPr>
            </w:pPr>
            <w:r>
              <w:rPr>
                <w:rFonts w:hint="eastAsia"/>
                <w:color w:val="auto"/>
                <w:sz w:val="24"/>
                <w:szCs w:val="20"/>
                <w:highlight w:val="none"/>
              </w:rPr>
              <w:t>技术分</w:t>
            </w:r>
          </w:p>
          <w:p>
            <w:pPr>
              <w:pStyle w:val="973"/>
              <w:keepNext w:val="0"/>
              <w:keepLines w:val="0"/>
              <w:pageBreakBefore w:val="0"/>
              <w:kinsoku/>
              <w:overflowPunct/>
              <w:topLinePunct w:val="0"/>
              <w:autoSpaceDE/>
              <w:autoSpaceDN/>
              <w:bidi w:val="0"/>
              <w:adjustRightInd w:val="0"/>
              <w:spacing w:line="440" w:lineRule="exact"/>
              <w:ind w:firstLine="0"/>
              <w:jc w:val="center"/>
              <w:rPr>
                <w:rFonts w:ascii="宋体" w:hAnsi="宋体" w:cs="宋体"/>
                <w:color w:val="auto"/>
                <w:sz w:val="24"/>
                <w:szCs w:val="20"/>
                <w:highlight w:val="none"/>
              </w:rPr>
            </w:pPr>
            <w:r>
              <w:rPr>
                <w:rFonts w:hint="eastAsia" w:ascii="宋体" w:hAnsi="宋体" w:cs="宋体"/>
                <w:color w:val="auto"/>
                <w:sz w:val="24"/>
                <w:szCs w:val="20"/>
                <w:highlight w:val="none"/>
              </w:rPr>
              <w:t>（65分）</w:t>
            </w:r>
          </w:p>
        </w:tc>
        <w:tc>
          <w:tcPr>
            <w:tcW w:w="57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color w:val="auto"/>
                <w:sz w:val="24"/>
                <w:szCs w:val="20"/>
                <w:highlight w:val="none"/>
              </w:rPr>
            </w:pPr>
            <w:r>
              <w:rPr>
                <w:rFonts w:hint="eastAsia"/>
                <w:color w:val="auto"/>
                <w:sz w:val="24"/>
                <w:szCs w:val="20"/>
                <w:highlight w:val="none"/>
              </w:rPr>
              <w:t>技术功能符合度（25）</w:t>
            </w: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ascii="宋体" w:hAnsi="宋体" w:cs="宋体"/>
                <w:color w:val="auto"/>
                <w:sz w:val="24"/>
                <w:szCs w:val="20"/>
                <w:highlight w:val="none"/>
              </w:rPr>
              <w:t>对应于招标文件中“</w:t>
            </w:r>
            <w:r>
              <w:rPr>
                <w:rFonts w:hint="eastAsia" w:ascii="宋体" w:hAnsi="宋体" w:cs="宋体"/>
                <w:color w:val="auto"/>
                <w:sz w:val="24"/>
                <w:szCs w:val="20"/>
                <w:highlight w:val="none"/>
              </w:rPr>
              <w:t>交易</w:t>
            </w:r>
            <w:r>
              <w:rPr>
                <w:rFonts w:ascii="宋体" w:hAnsi="宋体" w:cs="宋体"/>
                <w:color w:val="auto"/>
                <w:sz w:val="24"/>
                <w:szCs w:val="20"/>
                <w:highlight w:val="none"/>
              </w:rPr>
              <w:t>需求”的响应情况，</w:t>
            </w:r>
            <w:r>
              <w:rPr>
                <w:rFonts w:hint="eastAsia" w:ascii="宋体" w:hAnsi="宋体" w:cs="宋体"/>
                <w:color w:val="auto"/>
                <w:sz w:val="24"/>
                <w:szCs w:val="20"/>
                <w:highlight w:val="none"/>
              </w:rPr>
              <w:t>对“■”指标不满足的每项扣4分，对其他非关键的技术指标负偏或缺漏项的每项扣2分。</w:t>
            </w:r>
            <w:r>
              <w:rPr>
                <w:rFonts w:ascii="宋体" w:hAnsi="宋体" w:cs="宋体"/>
                <w:color w:val="auto"/>
                <w:sz w:val="24"/>
                <w:szCs w:val="20"/>
                <w:highlight w:val="none"/>
              </w:rPr>
              <w:t>扣完为止。</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25</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ind w:firstLine="480"/>
              <w:jc w:val="center"/>
              <w:rPr>
                <w:color w:val="auto"/>
                <w:sz w:val="24"/>
                <w:szCs w:val="20"/>
                <w:highlight w:val="none"/>
              </w:rPr>
            </w:pPr>
          </w:p>
        </w:tc>
        <w:tc>
          <w:tcPr>
            <w:tcW w:w="574" w:type="pct"/>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技术服务方案水平（25分）</w:t>
            </w: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数据库技术支援要求（10分）：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1、7*24小时应急现场响应支持服务；（0-2分）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2、灾难性故障应急支持服务；（0-2分）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3、数据库日常巡检服务；（0-2分）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4、数据库性能优化服务；（0-2分）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5、数据库容灾演练服务；（0-2分）</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10</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ind w:firstLine="480"/>
              <w:jc w:val="center"/>
              <w:rPr>
                <w:color w:val="auto"/>
                <w:sz w:val="24"/>
                <w:szCs w:val="20"/>
                <w:highlight w:val="none"/>
              </w:rPr>
            </w:pPr>
          </w:p>
        </w:tc>
        <w:tc>
          <w:tcPr>
            <w:tcW w:w="574" w:type="pct"/>
            <w:vMerge w:val="continue"/>
            <w:tcBorders>
              <w:left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项目实施方案（5分）：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服务实施过程、服务技术、服务操守、服务要求、服务质量等是否具有科学合理的控制规范；实施计划、进度计划等的合理性、可行性情况；是否有提出具有可操作的优惠承诺进行综合评议。</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5</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ind w:firstLine="480"/>
              <w:jc w:val="center"/>
              <w:rPr>
                <w:color w:val="auto"/>
                <w:sz w:val="24"/>
                <w:szCs w:val="20"/>
                <w:highlight w:val="none"/>
              </w:rPr>
            </w:pPr>
          </w:p>
        </w:tc>
        <w:tc>
          <w:tcPr>
            <w:tcW w:w="574" w:type="pct"/>
            <w:vMerge w:val="continue"/>
            <w:tcBorders>
              <w:left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项目质量保证（5分）：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根据</w:t>
            </w:r>
            <w:r>
              <w:rPr>
                <w:rFonts w:hint="eastAsia"/>
                <w:color w:val="auto"/>
                <w:sz w:val="24"/>
                <w:szCs w:val="20"/>
                <w:highlight w:val="none"/>
                <w:lang w:eastAsia="zh-CN"/>
              </w:rPr>
              <w:t>供应商</w:t>
            </w:r>
            <w:r>
              <w:rPr>
                <w:rFonts w:hint="eastAsia"/>
                <w:color w:val="auto"/>
                <w:sz w:val="24"/>
                <w:szCs w:val="20"/>
                <w:highlight w:val="none"/>
              </w:rPr>
              <w:t>对本项目提供的质量目标、质量保障措施方案等进行综合评议。</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5</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color w:val="auto"/>
                <w:sz w:val="24"/>
                <w:szCs w:val="20"/>
                <w:highlight w:val="none"/>
              </w:rPr>
            </w:pPr>
            <w:r>
              <w:rPr>
                <w:rFonts w:hint="eastAsia" w:ascii="宋体" w:hAnsi="宋体"/>
                <w:color w:val="auto"/>
                <w:sz w:val="24"/>
                <w:szCs w:val="20"/>
                <w:highlight w:val="none"/>
                <w:lang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0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ind w:firstLine="480"/>
              <w:jc w:val="center"/>
              <w:rPr>
                <w:color w:val="auto"/>
                <w:sz w:val="24"/>
                <w:szCs w:val="20"/>
                <w:highlight w:val="none"/>
              </w:rPr>
            </w:pPr>
          </w:p>
        </w:tc>
        <w:tc>
          <w:tcPr>
            <w:tcW w:w="574"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培训服务能力（5分）：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根据</w:t>
            </w:r>
            <w:r>
              <w:rPr>
                <w:rFonts w:hint="eastAsia"/>
                <w:color w:val="auto"/>
                <w:sz w:val="24"/>
                <w:szCs w:val="20"/>
                <w:highlight w:val="none"/>
                <w:lang w:eastAsia="zh-CN"/>
              </w:rPr>
              <w:t>供应商</w:t>
            </w:r>
            <w:r>
              <w:rPr>
                <w:rFonts w:hint="eastAsia"/>
                <w:color w:val="auto"/>
                <w:sz w:val="24"/>
                <w:szCs w:val="20"/>
                <w:highlight w:val="none"/>
              </w:rPr>
              <w:t>提供的培训服务次数、培训教材、培训讲师的资质（是否具有OCM证书、是否具有出版专业书籍等）等情况进行横向比较，0-</w:t>
            </w:r>
            <w:r>
              <w:rPr>
                <w:color w:val="auto"/>
                <w:sz w:val="24"/>
                <w:szCs w:val="20"/>
                <w:highlight w:val="none"/>
              </w:rPr>
              <w:t>5</w:t>
            </w:r>
            <w:r>
              <w:rPr>
                <w:rFonts w:hint="eastAsia"/>
                <w:color w:val="auto"/>
                <w:sz w:val="24"/>
                <w:szCs w:val="20"/>
                <w:highlight w:val="none"/>
              </w:rPr>
              <w:t>。</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5</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color w:val="auto"/>
                <w:sz w:val="24"/>
                <w:szCs w:val="20"/>
                <w:highlight w:val="none"/>
              </w:rPr>
            </w:pPr>
            <w:r>
              <w:rPr>
                <w:rFonts w:hint="eastAsia" w:ascii="宋体" w:hAnsi="宋体"/>
                <w:color w:val="auto"/>
                <w:sz w:val="24"/>
                <w:szCs w:val="20"/>
                <w:highlight w:val="none"/>
                <w:lang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jc w:val="center"/>
        </w:trPr>
        <w:tc>
          <w:tcPr>
            <w:tcW w:w="50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ind w:firstLine="480"/>
              <w:jc w:val="center"/>
              <w:rPr>
                <w:color w:val="auto"/>
                <w:sz w:val="24"/>
                <w:szCs w:val="20"/>
                <w:highlight w:val="none"/>
              </w:rPr>
            </w:pPr>
          </w:p>
        </w:tc>
        <w:tc>
          <w:tcPr>
            <w:tcW w:w="57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售后服务（15分）</w:t>
            </w:r>
          </w:p>
        </w:tc>
        <w:tc>
          <w:tcPr>
            <w:tcW w:w="29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color w:val="auto"/>
                <w:sz w:val="24"/>
                <w:szCs w:val="20"/>
                <w:highlight w:val="none"/>
              </w:rPr>
              <w:t>技术支持能力（1</w:t>
            </w:r>
            <w:r>
              <w:rPr>
                <w:color w:val="auto"/>
                <w:sz w:val="24"/>
                <w:szCs w:val="20"/>
                <w:highlight w:val="none"/>
              </w:rPr>
              <w:t>5分）</w:t>
            </w:r>
          </w:p>
          <w:p>
            <w:pPr>
              <w:keepNext w:val="0"/>
              <w:keepLines w:val="0"/>
              <w:pageBreakBefore w:val="0"/>
              <w:kinsoku/>
              <w:overflowPunct/>
              <w:topLinePunct w:val="0"/>
              <w:autoSpaceDE/>
              <w:autoSpaceDN/>
              <w:bidi w:val="0"/>
              <w:adjustRightInd w:val="0"/>
              <w:spacing w:line="440" w:lineRule="exact"/>
              <w:rPr>
                <w:rFonts w:ascii="宋体" w:hAnsi="宋体" w:cs="宋体"/>
                <w:color w:val="auto"/>
                <w:sz w:val="24"/>
                <w:szCs w:val="20"/>
                <w:highlight w:val="none"/>
              </w:rPr>
            </w:pPr>
            <w:r>
              <w:rPr>
                <w:rFonts w:ascii="宋体" w:hAnsi="宋体" w:cs="宋体"/>
                <w:color w:val="auto"/>
                <w:sz w:val="24"/>
                <w:szCs w:val="20"/>
                <w:highlight w:val="none"/>
              </w:rPr>
              <w:t>1</w:t>
            </w:r>
            <w:r>
              <w:rPr>
                <w:rFonts w:hint="eastAsia" w:ascii="宋体" w:hAnsi="宋体" w:cs="宋体"/>
                <w:color w:val="auto"/>
                <w:sz w:val="24"/>
                <w:szCs w:val="20"/>
                <w:highlight w:val="none"/>
              </w:rPr>
              <w:t>、投标方为本项目配备的项目经理以及售后服务人员的数量和技术要求，其中高级专家至少具备以下三种认证证书的任意一种（Oracle</w:t>
            </w:r>
            <w:r>
              <w:rPr>
                <w:rFonts w:ascii="宋体" w:hAnsi="宋体" w:cs="宋体"/>
                <w:color w:val="auto"/>
                <w:sz w:val="24"/>
                <w:szCs w:val="20"/>
                <w:highlight w:val="none"/>
              </w:rPr>
              <w:t xml:space="preserve"> ACE</w:t>
            </w:r>
            <w:r>
              <w:rPr>
                <w:rFonts w:hint="eastAsia" w:ascii="宋体" w:hAnsi="宋体" w:cs="宋体"/>
                <w:color w:val="auto"/>
                <w:sz w:val="24"/>
                <w:szCs w:val="20"/>
                <w:highlight w:val="none"/>
              </w:rPr>
              <w:t>、Oracle</w:t>
            </w:r>
            <w:r>
              <w:rPr>
                <w:rFonts w:ascii="宋体" w:hAnsi="宋体" w:cs="宋体"/>
                <w:color w:val="auto"/>
                <w:sz w:val="24"/>
                <w:szCs w:val="20"/>
                <w:highlight w:val="none"/>
              </w:rPr>
              <w:t xml:space="preserve"> OCM</w:t>
            </w:r>
            <w:r>
              <w:rPr>
                <w:rFonts w:hint="eastAsia" w:ascii="宋体" w:hAnsi="宋体" w:cs="宋体"/>
                <w:color w:val="auto"/>
                <w:sz w:val="24"/>
                <w:szCs w:val="20"/>
                <w:highlight w:val="none"/>
              </w:rPr>
              <w:t>或MySQL），并且出版过数据库性能优化相关书籍：</w:t>
            </w:r>
          </w:p>
          <w:p>
            <w:pPr>
              <w:keepNext w:val="0"/>
              <w:keepLines w:val="0"/>
              <w:pageBreakBefore w:val="0"/>
              <w:kinsoku/>
              <w:overflowPunct/>
              <w:topLinePunct w:val="0"/>
              <w:autoSpaceDE/>
              <w:autoSpaceDN/>
              <w:bidi w:val="0"/>
              <w:adjustRightInd w:val="0"/>
              <w:spacing w:line="440" w:lineRule="exact"/>
              <w:rPr>
                <w:rFonts w:ascii="宋体" w:hAnsi="宋体" w:cs="宋体"/>
                <w:color w:val="auto"/>
                <w:sz w:val="24"/>
                <w:szCs w:val="20"/>
                <w:highlight w:val="none"/>
              </w:rPr>
            </w:pPr>
            <w:r>
              <w:rPr>
                <w:rFonts w:hint="eastAsia" w:ascii="宋体" w:hAnsi="宋体" w:cs="宋体"/>
                <w:color w:val="auto"/>
                <w:sz w:val="24"/>
                <w:szCs w:val="20"/>
                <w:highlight w:val="none"/>
              </w:rPr>
              <w:t>1）服务工程师具有Oracle</w:t>
            </w:r>
            <w:r>
              <w:rPr>
                <w:rFonts w:ascii="宋体" w:hAnsi="宋体" w:cs="宋体"/>
                <w:color w:val="auto"/>
                <w:sz w:val="24"/>
                <w:szCs w:val="20"/>
                <w:highlight w:val="none"/>
              </w:rPr>
              <w:t xml:space="preserve"> OCM</w:t>
            </w:r>
            <w:r>
              <w:rPr>
                <w:rFonts w:hint="eastAsia" w:ascii="宋体" w:hAnsi="宋体" w:cs="宋体"/>
                <w:color w:val="auto"/>
                <w:sz w:val="24"/>
                <w:szCs w:val="20"/>
                <w:highlight w:val="none"/>
              </w:rPr>
              <w:t>认证证书和ExData一体机认证证书的，得</w:t>
            </w:r>
            <w:r>
              <w:rPr>
                <w:rFonts w:ascii="宋体" w:hAnsi="宋体" w:cs="宋体"/>
                <w:color w:val="auto"/>
                <w:sz w:val="24"/>
                <w:szCs w:val="20"/>
                <w:highlight w:val="none"/>
              </w:rPr>
              <w:t>2</w:t>
            </w:r>
            <w:r>
              <w:rPr>
                <w:rFonts w:hint="eastAsia" w:ascii="宋体" w:hAnsi="宋体" w:cs="宋体"/>
                <w:color w:val="auto"/>
                <w:sz w:val="24"/>
                <w:szCs w:val="20"/>
                <w:highlight w:val="none"/>
              </w:rPr>
              <w:t xml:space="preserve">分，其他不得分； </w:t>
            </w:r>
          </w:p>
          <w:p>
            <w:pPr>
              <w:keepNext w:val="0"/>
              <w:keepLines w:val="0"/>
              <w:pageBreakBefore w:val="0"/>
              <w:kinsoku/>
              <w:overflowPunct/>
              <w:topLinePunct w:val="0"/>
              <w:autoSpaceDE/>
              <w:autoSpaceDN/>
              <w:bidi w:val="0"/>
              <w:adjustRightInd w:val="0"/>
              <w:spacing w:line="440" w:lineRule="exact"/>
              <w:rPr>
                <w:rFonts w:ascii="宋体" w:hAnsi="宋体" w:cs="宋体"/>
                <w:color w:val="auto"/>
                <w:sz w:val="24"/>
                <w:szCs w:val="20"/>
                <w:highlight w:val="none"/>
              </w:rPr>
            </w:pPr>
            <w:r>
              <w:rPr>
                <w:rFonts w:hint="eastAsia" w:ascii="宋体" w:hAnsi="宋体" w:cs="宋体"/>
                <w:color w:val="auto"/>
                <w:sz w:val="24"/>
                <w:szCs w:val="20"/>
                <w:highlight w:val="none"/>
              </w:rPr>
              <w:t>2）服务工程师</w:t>
            </w:r>
            <w:r>
              <w:rPr>
                <w:rFonts w:ascii="宋体" w:hAnsi="宋体" w:cs="宋体"/>
                <w:color w:val="auto"/>
                <w:sz w:val="24"/>
                <w:szCs w:val="20"/>
                <w:highlight w:val="none"/>
              </w:rPr>
              <w:t>具有</w:t>
            </w:r>
            <w:r>
              <w:rPr>
                <w:rFonts w:hint="eastAsia" w:ascii="宋体" w:hAnsi="宋体" w:cs="宋体"/>
                <w:color w:val="auto"/>
                <w:sz w:val="24"/>
                <w:szCs w:val="20"/>
                <w:highlight w:val="none"/>
              </w:rPr>
              <w:t>PostgreSQL ACE</w:t>
            </w:r>
            <w:r>
              <w:rPr>
                <w:rFonts w:ascii="宋体" w:hAnsi="宋体" w:cs="宋体"/>
                <w:color w:val="auto"/>
                <w:sz w:val="24"/>
                <w:szCs w:val="20"/>
                <w:highlight w:val="none"/>
              </w:rPr>
              <w:t>D</w:t>
            </w:r>
            <w:r>
              <w:rPr>
                <w:rFonts w:hint="eastAsia" w:ascii="宋体" w:hAnsi="宋体" w:cs="宋体"/>
                <w:color w:val="auto"/>
                <w:sz w:val="24"/>
                <w:szCs w:val="20"/>
                <w:highlight w:val="none"/>
              </w:rPr>
              <w:t>认证称号和</w:t>
            </w:r>
            <w:r>
              <w:rPr>
                <w:rFonts w:ascii="宋体" w:hAnsi="宋体" w:cs="宋体"/>
                <w:color w:val="auto"/>
                <w:sz w:val="24"/>
                <w:szCs w:val="20"/>
                <w:highlight w:val="none"/>
              </w:rPr>
              <w:t>Oracle OCM</w:t>
            </w:r>
            <w:r>
              <w:rPr>
                <w:rFonts w:hint="eastAsia" w:ascii="宋体" w:hAnsi="宋体" w:cs="宋体"/>
                <w:color w:val="auto"/>
                <w:sz w:val="24"/>
                <w:szCs w:val="20"/>
                <w:highlight w:val="none"/>
              </w:rPr>
              <w:t>认证</w:t>
            </w:r>
            <w:r>
              <w:rPr>
                <w:rFonts w:ascii="宋体" w:hAnsi="宋体" w:cs="宋体"/>
                <w:color w:val="auto"/>
                <w:sz w:val="24"/>
                <w:szCs w:val="20"/>
                <w:highlight w:val="none"/>
              </w:rPr>
              <w:t>证书</w:t>
            </w:r>
            <w:r>
              <w:rPr>
                <w:rFonts w:hint="eastAsia" w:ascii="宋体" w:hAnsi="宋体" w:cs="宋体"/>
                <w:color w:val="auto"/>
                <w:sz w:val="24"/>
                <w:szCs w:val="20"/>
                <w:highlight w:val="none"/>
              </w:rPr>
              <w:t>（</w:t>
            </w:r>
            <w:r>
              <w:rPr>
                <w:rFonts w:ascii="宋体" w:hAnsi="宋体" w:cs="宋体"/>
                <w:color w:val="auto"/>
                <w:sz w:val="24"/>
                <w:szCs w:val="20"/>
                <w:highlight w:val="none"/>
              </w:rPr>
              <w:t>十年以上</w:t>
            </w:r>
            <w:r>
              <w:rPr>
                <w:rFonts w:hint="eastAsia" w:ascii="宋体" w:hAnsi="宋体" w:cs="宋体"/>
                <w:color w:val="auto"/>
                <w:sz w:val="24"/>
                <w:szCs w:val="20"/>
                <w:highlight w:val="none"/>
              </w:rPr>
              <w:t>）的，</w:t>
            </w:r>
            <w:r>
              <w:rPr>
                <w:rFonts w:ascii="宋体" w:hAnsi="宋体" w:cs="宋体"/>
                <w:color w:val="auto"/>
                <w:sz w:val="24"/>
                <w:szCs w:val="20"/>
                <w:highlight w:val="none"/>
              </w:rPr>
              <w:t>得4分，其他不得分</w:t>
            </w:r>
            <w:r>
              <w:rPr>
                <w:rFonts w:hint="eastAsia" w:ascii="宋体" w:hAnsi="宋体" w:cs="宋体"/>
                <w:color w:val="auto"/>
                <w:sz w:val="24"/>
                <w:szCs w:val="20"/>
                <w:highlight w:val="none"/>
              </w:rPr>
              <w:t>；；</w:t>
            </w:r>
          </w:p>
          <w:p>
            <w:pPr>
              <w:keepNext w:val="0"/>
              <w:keepLines w:val="0"/>
              <w:pageBreakBefore w:val="0"/>
              <w:kinsoku/>
              <w:overflowPunct/>
              <w:topLinePunct w:val="0"/>
              <w:autoSpaceDE/>
              <w:autoSpaceDN/>
              <w:bidi w:val="0"/>
              <w:adjustRightInd w:val="0"/>
              <w:spacing w:line="440" w:lineRule="exact"/>
              <w:rPr>
                <w:rFonts w:ascii="宋体" w:hAnsi="宋体" w:cs="宋体"/>
                <w:color w:val="auto"/>
                <w:sz w:val="24"/>
                <w:szCs w:val="20"/>
                <w:highlight w:val="none"/>
              </w:rPr>
            </w:pPr>
            <w:r>
              <w:rPr>
                <w:rFonts w:hint="eastAsia" w:ascii="宋体" w:hAnsi="宋体" w:cs="宋体"/>
                <w:color w:val="auto"/>
                <w:sz w:val="24"/>
                <w:szCs w:val="20"/>
                <w:highlight w:val="none"/>
              </w:rPr>
              <w:t>3）服务工程师同时具有Oracle ACE Associate称号、Oracle OCM认证证书、MySQL认证证书、人大金仓数据库认证和OceanBase数据库认证的，得5</w:t>
            </w:r>
            <w:r>
              <w:rPr>
                <w:rFonts w:ascii="宋体" w:hAnsi="宋体" w:cs="宋体"/>
                <w:color w:val="auto"/>
                <w:sz w:val="24"/>
                <w:szCs w:val="20"/>
                <w:highlight w:val="none"/>
              </w:rPr>
              <w:t>分，其他不得分</w:t>
            </w:r>
            <w:r>
              <w:rPr>
                <w:rFonts w:hint="eastAsia" w:ascii="宋体" w:hAnsi="宋体" w:cs="宋体"/>
                <w:color w:val="auto"/>
                <w:sz w:val="24"/>
                <w:szCs w:val="20"/>
                <w:highlight w:val="none"/>
              </w:rPr>
              <w:t>。</w:t>
            </w:r>
          </w:p>
          <w:p>
            <w:pPr>
              <w:keepNext w:val="0"/>
              <w:keepLines w:val="0"/>
              <w:pageBreakBefore w:val="0"/>
              <w:kinsoku/>
              <w:overflowPunct/>
              <w:topLinePunct w:val="0"/>
              <w:autoSpaceDE/>
              <w:autoSpaceDN/>
              <w:bidi w:val="0"/>
              <w:adjustRightInd w:val="0"/>
              <w:spacing w:line="440" w:lineRule="exact"/>
              <w:rPr>
                <w:rFonts w:ascii="宋体" w:hAnsi="宋体" w:cs="宋体"/>
                <w:color w:val="auto"/>
                <w:sz w:val="24"/>
                <w:szCs w:val="20"/>
                <w:highlight w:val="none"/>
              </w:rPr>
            </w:pPr>
            <w:r>
              <w:rPr>
                <w:rFonts w:ascii="宋体" w:hAnsi="宋体" w:cs="宋体"/>
                <w:color w:val="auto"/>
                <w:sz w:val="24"/>
                <w:szCs w:val="20"/>
                <w:highlight w:val="none"/>
              </w:rPr>
              <w:t>2</w:t>
            </w:r>
            <w:r>
              <w:rPr>
                <w:rFonts w:hint="eastAsia" w:ascii="宋体" w:hAnsi="宋体" w:cs="宋体"/>
                <w:color w:val="auto"/>
                <w:sz w:val="24"/>
                <w:szCs w:val="20"/>
                <w:highlight w:val="none"/>
              </w:rPr>
              <w:t>、为适应国产化适配，</w:t>
            </w:r>
            <w:r>
              <w:rPr>
                <w:rFonts w:hint="eastAsia" w:ascii="宋体" w:hAnsi="宋体" w:cs="宋体"/>
                <w:color w:val="auto"/>
                <w:sz w:val="24"/>
                <w:szCs w:val="20"/>
                <w:highlight w:val="none"/>
                <w:lang w:eastAsia="zh-CN"/>
              </w:rPr>
              <w:t>供应商</w:t>
            </w:r>
            <w:r>
              <w:rPr>
                <w:rFonts w:hint="eastAsia" w:ascii="宋体" w:hAnsi="宋体" w:cs="宋体"/>
                <w:color w:val="auto"/>
                <w:sz w:val="24"/>
                <w:szCs w:val="20"/>
                <w:highlight w:val="none"/>
              </w:rPr>
              <w:t>为本项目提供国产化数据库服务工程师，要求具有以下国产化数据库服务能力</w:t>
            </w:r>
            <w:r>
              <w:rPr>
                <w:rFonts w:ascii="宋体" w:hAnsi="宋体" w:cs="宋体"/>
                <w:color w:val="auto"/>
                <w:sz w:val="24"/>
                <w:szCs w:val="20"/>
                <w:highlight w:val="none"/>
              </w:rPr>
              <w:t>。</w:t>
            </w:r>
          </w:p>
          <w:p>
            <w:pPr>
              <w:keepNext w:val="0"/>
              <w:keepLines w:val="0"/>
              <w:pageBreakBefore w:val="0"/>
              <w:kinsoku/>
              <w:overflowPunct/>
              <w:topLinePunct w:val="0"/>
              <w:autoSpaceDE/>
              <w:autoSpaceDN/>
              <w:bidi w:val="0"/>
              <w:adjustRightInd w:val="0"/>
              <w:spacing w:line="440" w:lineRule="exact"/>
              <w:rPr>
                <w:rFonts w:ascii="宋体" w:hAnsi="宋体" w:cs="宋体"/>
                <w:color w:val="auto"/>
                <w:sz w:val="24"/>
                <w:szCs w:val="20"/>
                <w:highlight w:val="none"/>
              </w:rPr>
            </w:pPr>
            <w:r>
              <w:rPr>
                <w:rFonts w:ascii="宋体" w:hAnsi="宋体" w:cs="宋体"/>
                <w:color w:val="auto"/>
                <w:sz w:val="24"/>
                <w:szCs w:val="20"/>
                <w:highlight w:val="none"/>
              </w:rPr>
              <w:t>1）具有</w:t>
            </w:r>
            <w:r>
              <w:rPr>
                <w:rFonts w:hint="eastAsia" w:ascii="宋体" w:hAnsi="宋体" w:cs="宋体"/>
                <w:color w:val="auto"/>
                <w:sz w:val="24"/>
                <w:szCs w:val="20"/>
                <w:highlight w:val="none"/>
              </w:rPr>
              <w:t>达梦数据库认证、OceanBase数据库认证、</w:t>
            </w:r>
            <w:r>
              <w:rPr>
                <w:rFonts w:ascii="宋体" w:hAnsi="宋体" w:cs="宋体"/>
                <w:color w:val="auto"/>
                <w:sz w:val="24"/>
                <w:szCs w:val="20"/>
                <w:highlight w:val="none"/>
              </w:rPr>
              <w:t>TDSQL</w:t>
            </w:r>
            <w:r>
              <w:rPr>
                <w:rFonts w:hint="eastAsia" w:ascii="宋体" w:hAnsi="宋体" w:cs="宋体"/>
                <w:color w:val="auto"/>
                <w:sz w:val="24"/>
                <w:szCs w:val="20"/>
                <w:highlight w:val="none"/>
              </w:rPr>
              <w:t>数据库</w:t>
            </w:r>
            <w:r>
              <w:rPr>
                <w:rFonts w:ascii="宋体" w:hAnsi="宋体" w:cs="宋体"/>
                <w:color w:val="auto"/>
                <w:sz w:val="24"/>
                <w:szCs w:val="20"/>
                <w:highlight w:val="none"/>
              </w:rPr>
              <w:t>认证</w:t>
            </w:r>
            <w:r>
              <w:rPr>
                <w:rFonts w:hint="eastAsia" w:ascii="宋体" w:hAnsi="宋体" w:cs="宋体"/>
                <w:color w:val="auto"/>
                <w:sz w:val="24"/>
                <w:szCs w:val="20"/>
                <w:highlight w:val="none"/>
              </w:rPr>
              <w:t>和T</w:t>
            </w:r>
            <w:r>
              <w:rPr>
                <w:rFonts w:ascii="宋体" w:hAnsi="宋体" w:cs="宋体"/>
                <w:color w:val="auto"/>
                <w:sz w:val="24"/>
                <w:szCs w:val="20"/>
                <w:highlight w:val="none"/>
              </w:rPr>
              <w:t>IDB</w:t>
            </w:r>
            <w:r>
              <w:rPr>
                <w:rFonts w:hint="eastAsia" w:ascii="宋体" w:hAnsi="宋体" w:cs="宋体"/>
                <w:color w:val="auto"/>
                <w:sz w:val="24"/>
                <w:szCs w:val="20"/>
                <w:highlight w:val="none"/>
              </w:rPr>
              <w:t>数据库认证的，得4分</w:t>
            </w:r>
            <w:r>
              <w:rPr>
                <w:rFonts w:ascii="宋体" w:hAnsi="宋体" w:cs="宋体"/>
                <w:color w:val="auto"/>
                <w:sz w:val="24"/>
                <w:szCs w:val="20"/>
                <w:highlight w:val="none"/>
              </w:rPr>
              <w:t>，其他不得分。</w:t>
            </w:r>
          </w:p>
          <w:p>
            <w:pPr>
              <w:keepNext w:val="0"/>
              <w:keepLines w:val="0"/>
              <w:pageBreakBefore w:val="0"/>
              <w:kinsoku/>
              <w:overflowPunct/>
              <w:topLinePunct w:val="0"/>
              <w:autoSpaceDE/>
              <w:autoSpaceDN/>
              <w:bidi w:val="0"/>
              <w:adjustRightInd w:val="0"/>
              <w:spacing w:line="440" w:lineRule="exact"/>
              <w:rPr>
                <w:color w:val="auto"/>
                <w:sz w:val="24"/>
                <w:szCs w:val="20"/>
                <w:highlight w:val="none"/>
              </w:rPr>
            </w:pPr>
            <w:r>
              <w:rPr>
                <w:rFonts w:hint="eastAsia" w:ascii="宋体" w:hAnsi="宋体" w:cs="宋体"/>
                <w:color w:val="auto"/>
                <w:sz w:val="24"/>
                <w:szCs w:val="20"/>
                <w:highlight w:val="none"/>
              </w:rPr>
              <w:t>（提供以上服务团队人员证书复印件并加盖公章及近</w:t>
            </w:r>
            <w:r>
              <w:rPr>
                <w:rFonts w:hint="eastAsia" w:ascii="宋体" w:hAnsi="宋体" w:cs="宋体"/>
                <w:color w:val="auto"/>
                <w:sz w:val="24"/>
                <w:szCs w:val="20"/>
                <w:highlight w:val="none"/>
                <w:lang w:eastAsia="zh-CN"/>
              </w:rPr>
              <w:t>三</w:t>
            </w:r>
            <w:r>
              <w:rPr>
                <w:rFonts w:hint="eastAsia" w:ascii="宋体" w:hAnsi="宋体" w:cs="宋体"/>
                <w:color w:val="auto"/>
                <w:sz w:val="24"/>
                <w:szCs w:val="20"/>
                <w:highlight w:val="none"/>
              </w:rPr>
              <w:t>个月本</w:t>
            </w:r>
            <w:r>
              <w:rPr>
                <w:rFonts w:hint="eastAsia" w:ascii="宋体" w:hAnsi="宋体" w:cs="宋体"/>
                <w:color w:val="auto"/>
                <w:sz w:val="24"/>
                <w:szCs w:val="20"/>
                <w:highlight w:val="none"/>
              </w:rPr>
              <w:t>单位为其缴纳的社保证明。）</w:t>
            </w:r>
          </w:p>
        </w:tc>
        <w:tc>
          <w:tcPr>
            <w:tcW w:w="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ascii="宋体" w:hAnsi="宋体"/>
                <w:color w:val="auto"/>
                <w:sz w:val="24"/>
                <w:szCs w:val="20"/>
                <w:highlight w:val="none"/>
              </w:rPr>
            </w:pPr>
            <w:r>
              <w:rPr>
                <w:rFonts w:hint="eastAsia" w:ascii="宋体" w:hAnsi="宋体"/>
                <w:color w:val="auto"/>
                <w:sz w:val="24"/>
                <w:szCs w:val="20"/>
                <w:highlight w:val="none"/>
                <w:lang w:val="en-US" w:eastAsia="zh-CN"/>
              </w:rPr>
              <w:t>0-</w:t>
            </w:r>
            <w:r>
              <w:rPr>
                <w:rFonts w:hint="eastAsia" w:ascii="宋体" w:hAnsi="宋体"/>
                <w:color w:val="auto"/>
                <w:sz w:val="24"/>
                <w:szCs w:val="20"/>
                <w:highlight w:val="none"/>
              </w:rPr>
              <w:t>1</w:t>
            </w:r>
            <w:r>
              <w:rPr>
                <w:rFonts w:ascii="宋体" w:hAnsi="宋体"/>
                <w:color w:val="auto"/>
                <w:sz w:val="24"/>
                <w:szCs w:val="20"/>
                <w:highlight w:val="none"/>
              </w:rPr>
              <w:t>5</w:t>
            </w:r>
          </w:p>
        </w:tc>
        <w:tc>
          <w:tcPr>
            <w:tcW w:w="51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val="0"/>
              <w:spacing w:line="440" w:lineRule="exact"/>
              <w:jc w:val="center"/>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客观分</w:t>
            </w:r>
          </w:p>
        </w:tc>
      </w:tr>
    </w:tbl>
    <w:p>
      <w:pPr>
        <w:widowControl/>
        <w:spacing w:line="360" w:lineRule="auto"/>
        <w:rPr>
          <w:rFonts w:ascii="宋体" w:hAnsi="宋体" w:cs="宋体"/>
          <w:color w:val="auto"/>
          <w:sz w:val="24"/>
          <w:highlight w:val="none"/>
        </w:rPr>
      </w:pPr>
      <w:r>
        <w:rPr>
          <w:rFonts w:hint="eastAsia" w:ascii="宋体" w:hAnsi="宋体" w:cs="宋体"/>
          <w:b/>
          <w:color w:val="auto"/>
          <w:sz w:val="24"/>
          <w:highlight w:val="none"/>
        </w:rPr>
        <w:t>备注：</w:t>
      </w:r>
      <w:r>
        <w:rPr>
          <w:rFonts w:hint="eastAsia" w:ascii="宋体" w:hAnsi="宋体" w:cs="宋体"/>
          <w:color w:val="auto"/>
          <w:sz w:val="24"/>
          <w:highlight w:val="none"/>
        </w:rPr>
        <w:t>1、评分条款中涉及的业绩、荣誉、人员、社保等分公司均有效。</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响应文件中如附有外文资料，必须逐一对应翻译成中文并加盖响应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3、响应人编制响应文件（商务技术文件部分）时，建议按此目录（序号和内容）提供评审标准相应的商务技术资料。 </w:t>
      </w:r>
    </w:p>
    <w:p>
      <w:pPr>
        <w:widowControl/>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2、价格分（20分）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69" w:type="dxa"/>
            <w:vAlign w:val="center"/>
          </w:tcPr>
          <w:p>
            <w:pPr>
              <w:adjustRightInd/>
              <w:spacing w:line="360" w:lineRule="exact"/>
              <w:jc w:val="center"/>
              <w:rPr>
                <w:rFonts w:ascii="宋体" w:hAnsi="宋体" w:cs="宋体"/>
                <w:color w:val="auto"/>
                <w:sz w:val="24"/>
                <w:highlight w:val="none"/>
              </w:rPr>
            </w:pPr>
            <w:r>
              <w:rPr>
                <w:rFonts w:hint="eastAsia" w:ascii="宋体" w:hAnsi="宋体" w:cs="宋体"/>
                <w:color w:val="auto"/>
                <w:sz w:val="24"/>
                <w:highlight w:val="none"/>
              </w:rPr>
              <w:t>价格权值</w:t>
            </w:r>
          </w:p>
        </w:tc>
        <w:tc>
          <w:tcPr>
            <w:tcW w:w="6890" w:type="dxa"/>
            <w:vAlign w:val="center"/>
          </w:tcPr>
          <w:p>
            <w:pPr>
              <w:adjustRightInd/>
              <w:spacing w:line="360" w:lineRule="exact"/>
              <w:jc w:val="center"/>
              <w:rPr>
                <w:rFonts w:ascii="宋体" w:hAnsi="宋体" w:cs="宋体"/>
                <w:color w:val="auto"/>
                <w:sz w:val="24"/>
                <w:highlight w:val="none"/>
              </w:rPr>
            </w:pPr>
            <w:r>
              <w:rPr>
                <w:rFonts w:hint="eastAsia" w:ascii="宋体" w:hAnsi="宋体" w:cs="宋体"/>
                <w:color w:val="auto"/>
                <w:sz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169" w:type="dxa"/>
            <w:vAlign w:val="center"/>
          </w:tcPr>
          <w:p>
            <w:pPr>
              <w:adjustRightInd/>
              <w:spacing w:line="360" w:lineRule="exact"/>
              <w:jc w:val="center"/>
              <w:rPr>
                <w:rFonts w:ascii="宋体" w:hAnsi="宋体" w:cs="宋体"/>
                <w:color w:val="auto"/>
                <w:sz w:val="24"/>
                <w:highlight w:val="none"/>
              </w:rPr>
            </w:pPr>
            <w:r>
              <w:rPr>
                <w:rFonts w:hint="eastAsia" w:ascii="宋体" w:hAnsi="宋体" w:cs="宋体"/>
                <w:color w:val="auto"/>
                <w:sz w:val="24"/>
                <w:highlight w:val="none"/>
              </w:rPr>
              <w:t>价格权值=0.20</w:t>
            </w:r>
          </w:p>
        </w:tc>
        <w:tc>
          <w:tcPr>
            <w:tcW w:w="6890" w:type="dxa"/>
            <w:vAlign w:val="center"/>
          </w:tcPr>
          <w:p>
            <w:pPr>
              <w:adjustRightInd/>
              <w:spacing w:line="360" w:lineRule="exact"/>
              <w:jc w:val="left"/>
              <w:rPr>
                <w:rFonts w:ascii="宋体" w:hAnsi="宋体" w:cs="宋体"/>
                <w:color w:val="auto"/>
                <w:sz w:val="24"/>
                <w:highlight w:val="none"/>
              </w:rPr>
            </w:pPr>
            <w:r>
              <w:rPr>
                <w:rFonts w:hint="eastAsia" w:ascii="宋体" w:hAnsi="宋体" w:cs="宋体"/>
                <w:color w:val="auto"/>
                <w:sz w:val="24"/>
                <w:highlight w:val="none"/>
              </w:rPr>
              <w:t>最低有效响应价格为评标基准价</w:t>
            </w:r>
          </w:p>
          <w:p>
            <w:pPr>
              <w:adjustRightInd/>
              <w:spacing w:line="360" w:lineRule="exact"/>
              <w:jc w:val="left"/>
              <w:rPr>
                <w:rFonts w:ascii="宋体" w:hAnsi="宋体" w:cs="宋体"/>
                <w:color w:val="auto"/>
                <w:sz w:val="24"/>
                <w:highlight w:val="none"/>
              </w:rPr>
            </w:pPr>
            <w:r>
              <w:rPr>
                <w:rFonts w:hint="eastAsia" w:ascii="宋体" w:hAnsi="宋体" w:cs="宋体"/>
                <w:color w:val="auto"/>
                <w:sz w:val="24"/>
                <w:highlight w:val="none"/>
              </w:rPr>
              <w:t>响应报价得分=(评标基准价／响应报价)×价格权值×100</w:t>
            </w:r>
          </w:p>
          <w:p>
            <w:pPr>
              <w:adjustRightInd/>
              <w:spacing w:line="360" w:lineRule="exact"/>
              <w:jc w:val="left"/>
              <w:rPr>
                <w:rFonts w:ascii="宋体" w:hAnsi="宋体" w:cs="宋体"/>
                <w:color w:val="auto"/>
                <w:sz w:val="24"/>
                <w:highlight w:val="none"/>
              </w:rPr>
            </w:pPr>
            <w:r>
              <w:rPr>
                <w:rFonts w:hint="eastAsia" w:ascii="宋体" w:hAnsi="宋体" w:cs="宋体"/>
                <w:color w:val="auto"/>
                <w:sz w:val="24"/>
                <w:highlight w:val="none"/>
              </w:rPr>
              <w:t>（计算得分保留小数点后2位）</w:t>
            </w:r>
          </w:p>
        </w:tc>
      </w:tr>
    </w:tbl>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ind w:firstLine="281" w:firstLineChars="100"/>
        <w:jc w:val="center"/>
        <w:rPr>
          <w:rFonts w:hint="eastAsia" w:cs="宋体"/>
          <w:b/>
          <w:bCs/>
          <w:color w:val="auto"/>
          <w:sz w:val="28"/>
          <w:szCs w:val="28"/>
          <w:highlight w:val="none"/>
        </w:rPr>
      </w:pPr>
    </w:p>
    <w:p>
      <w:pPr>
        <w:pStyle w:val="82"/>
        <w:jc w:val="center"/>
        <w:rPr>
          <w:rFonts w:cs="宋体"/>
          <w:b/>
          <w:bCs/>
          <w:color w:val="auto"/>
          <w:sz w:val="28"/>
          <w:szCs w:val="28"/>
          <w:highlight w:val="none"/>
          <w:lang w:val="en-US"/>
        </w:rPr>
      </w:pPr>
      <w:r>
        <w:rPr>
          <w:rFonts w:hint="eastAsia" w:cs="宋体"/>
          <w:b/>
          <w:bCs/>
          <w:color w:val="auto"/>
          <w:sz w:val="28"/>
          <w:szCs w:val="28"/>
          <w:highlight w:val="none"/>
        </w:rPr>
        <w:t>标项</w:t>
      </w:r>
      <w:r>
        <w:rPr>
          <w:rFonts w:hint="eastAsia" w:cs="宋体"/>
          <w:b/>
          <w:bCs/>
          <w:color w:val="auto"/>
          <w:sz w:val="28"/>
          <w:szCs w:val="28"/>
          <w:highlight w:val="none"/>
          <w:lang w:val="en-US"/>
        </w:rPr>
        <w:t>2：医保基金综合管理系统</w:t>
      </w:r>
    </w:p>
    <w:p>
      <w:pPr>
        <w:pStyle w:val="82"/>
        <w:ind w:firstLine="241" w:firstLineChars="100"/>
        <w:rPr>
          <w:rFonts w:cs="宋体"/>
          <w:b/>
          <w:color w:val="auto"/>
          <w:szCs w:val="24"/>
          <w:highlight w:val="none"/>
          <w:lang w:val="en-US"/>
        </w:rPr>
      </w:pPr>
      <w:r>
        <w:rPr>
          <w:rFonts w:hint="eastAsia" w:cs="宋体"/>
          <w:b/>
          <w:color w:val="auto"/>
          <w:szCs w:val="24"/>
          <w:highlight w:val="none"/>
          <w:lang w:val="en-US"/>
        </w:rPr>
        <w:t>1、商务技术（80分）</w:t>
      </w:r>
    </w:p>
    <w:tbl>
      <w:tblPr>
        <w:tblStyle w:val="65"/>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80"/>
        <w:gridCol w:w="4933"/>
        <w:gridCol w:w="90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51" w:type="dxa"/>
            <w:vAlign w:val="center"/>
          </w:tcPr>
          <w:p>
            <w:pPr>
              <w:jc w:val="center"/>
              <w:rPr>
                <w:rFonts w:ascii="宋体" w:hAnsi="宋体" w:cs="宋体"/>
                <w:b/>
                <w:bCs/>
                <w:color w:val="auto"/>
                <w:kern w:val="0"/>
                <w:sz w:val="24"/>
                <w:highlight w:val="none"/>
              </w:rPr>
            </w:pPr>
            <w:r>
              <w:rPr>
                <w:rStyle w:val="970"/>
                <w:rFonts w:hint="eastAsia" w:ascii="宋体" w:hAnsi="宋体" w:cs="宋体"/>
                <w:b/>
                <w:bCs/>
                <w:color w:val="auto"/>
                <w:sz w:val="24"/>
                <w:highlight w:val="none"/>
              </w:rPr>
              <w:t>序号</w:t>
            </w:r>
          </w:p>
        </w:tc>
        <w:tc>
          <w:tcPr>
            <w:tcW w:w="1180" w:type="dxa"/>
            <w:vAlign w:val="center"/>
          </w:tcPr>
          <w:p>
            <w:pPr>
              <w:jc w:val="center"/>
              <w:rPr>
                <w:rStyle w:val="970"/>
                <w:rFonts w:ascii="宋体" w:hAnsi="宋体" w:cs="宋体"/>
                <w:b/>
                <w:bCs/>
                <w:color w:val="auto"/>
                <w:sz w:val="24"/>
                <w:highlight w:val="none"/>
              </w:rPr>
            </w:pPr>
            <w:r>
              <w:rPr>
                <w:rStyle w:val="970"/>
                <w:rFonts w:hint="eastAsia" w:ascii="宋体" w:hAnsi="宋体" w:cs="宋体"/>
                <w:b/>
                <w:bCs/>
                <w:color w:val="auto"/>
                <w:sz w:val="24"/>
                <w:highlight w:val="none"/>
              </w:rPr>
              <w:t>评分内容</w:t>
            </w:r>
          </w:p>
        </w:tc>
        <w:tc>
          <w:tcPr>
            <w:tcW w:w="4933" w:type="dxa"/>
            <w:vAlign w:val="center"/>
          </w:tcPr>
          <w:p>
            <w:pPr>
              <w:jc w:val="center"/>
              <w:rPr>
                <w:rStyle w:val="970"/>
                <w:rFonts w:ascii="宋体" w:hAnsi="宋体" w:cs="宋体"/>
                <w:b/>
                <w:bCs/>
                <w:color w:val="auto"/>
                <w:sz w:val="24"/>
                <w:highlight w:val="none"/>
              </w:rPr>
            </w:pPr>
            <w:r>
              <w:rPr>
                <w:rStyle w:val="970"/>
                <w:rFonts w:hint="eastAsia" w:ascii="宋体" w:hAnsi="宋体" w:cs="宋体"/>
                <w:b/>
                <w:bCs/>
                <w:color w:val="auto"/>
                <w:sz w:val="24"/>
                <w:highlight w:val="none"/>
              </w:rPr>
              <w:t>评审细则</w:t>
            </w:r>
          </w:p>
        </w:tc>
        <w:tc>
          <w:tcPr>
            <w:tcW w:w="900" w:type="dxa"/>
            <w:vAlign w:val="center"/>
          </w:tcPr>
          <w:p>
            <w:pPr>
              <w:jc w:val="center"/>
              <w:rPr>
                <w:rStyle w:val="970"/>
                <w:rFonts w:ascii="宋体" w:hAnsi="宋体" w:cs="宋体"/>
                <w:b/>
                <w:bCs/>
                <w:color w:val="auto"/>
                <w:sz w:val="24"/>
                <w:highlight w:val="none"/>
              </w:rPr>
            </w:pPr>
            <w:r>
              <w:rPr>
                <w:rStyle w:val="970"/>
                <w:rFonts w:hint="eastAsia" w:ascii="宋体" w:hAnsi="宋体" w:cs="宋体"/>
                <w:b/>
                <w:bCs/>
                <w:color w:val="auto"/>
                <w:sz w:val="24"/>
                <w:highlight w:val="none"/>
              </w:rPr>
              <w:t>分值区间</w:t>
            </w:r>
          </w:p>
        </w:tc>
        <w:tc>
          <w:tcPr>
            <w:tcW w:w="1154" w:type="dxa"/>
            <w:vAlign w:val="center"/>
          </w:tcPr>
          <w:p>
            <w:pPr>
              <w:jc w:val="center"/>
              <w:rPr>
                <w:rStyle w:val="970"/>
                <w:rFonts w:ascii="宋体" w:hAnsi="宋体" w:cs="宋体"/>
                <w:b/>
                <w:bCs/>
                <w:color w:val="auto"/>
                <w:sz w:val="24"/>
                <w:highlight w:val="none"/>
              </w:rPr>
            </w:pPr>
            <w:r>
              <w:rPr>
                <w:rStyle w:val="970"/>
                <w:rFonts w:hint="eastAsia" w:ascii="宋体" w:hAnsi="宋体" w:cs="宋体"/>
                <w:b/>
                <w:bCs/>
                <w:color w:val="auto"/>
                <w:sz w:val="24"/>
                <w:highlight w:val="none"/>
              </w:rPr>
              <w:t>主/客</w:t>
            </w:r>
          </w:p>
          <w:p>
            <w:pPr>
              <w:jc w:val="center"/>
              <w:rPr>
                <w:rStyle w:val="970"/>
                <w:rFonts w:ascii="宋体" w:hAnsi="宋体" w:cs="宋体"/>
                <w:b/>
                <w:bCs/>
                <w:color w:val="auto"/>
                <w:sz w:val="24"/>
                <w:highlight w:val="none"/>
              </w:rPr>
            </w:pPr>
            <w:r>
              <w:rPr>
                <w:rStyle w:val="970"/>
                <w:rFonts w:hint="eastAsia" w:ascii="宋体" w:hAnsi="宋体" w:cs="宋体"/>
                <w:b/>
                <w:bCs/>
                <w:color w:val="auto"/>
                <w:sz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restart"/>
            <w:shd w:val="clear" w:color="auto" w:fill="auto"/>
            <w:vAlign w:val="center"/>
          </w:tcPr>
          <w:p>
            <w:pPr>
              <w:jc w:val="center"/>
              <w:rPr>
                <w:rStyle w:val="970"/>
                <w:rFonts w:ascii="宋体" w:hAnsi="宋体" w:cs="宋体"/>
                <w:color w:val="auto"/>
                <w:sz w:val="24"/>
                <w:highlight w:val="none"/>
              </w:rPr>
            </w:pPr>
            <w:r>
              <w:rPr>
                <w:rStyle w:val="970"/>
                <w:rFonts w:hint="eastAsia" w:ascii="宋体" w:hAnsi="宋体" w:cs="宋体"/>
                <w:color w:val="auto"/>
                <w:sz w:val="24"/>
                <w:highlight w:val="none"/>
              </w:rPr>
              <w:t>商务分</w:t>
            </w:r>
          </w:p>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（10分）</w:t>
            </w:r>
          </w:p>
        </w:tc>
        <w:tc>
          <w:tcPr>
            <w:tcW w:w="1180" w:type="dxa"/>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项目案例</w:t>
            </w:r>
          </w:p>
        </w:tc>
        <w:tc>
          <w:tcPr>
            <w:tcW w:w="4933" w:type="dxa"/>
            <w:shd w:val="clear" w:color="auto" w:fill="auto"/>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sz w:val="24"/>
                <w:highlight w:val="none"/>
              </w:rPr>
              <w:t>1、所响应产品具有自2022年1月1日起成功销售医院端医保基金综合管理系统案例合同，每个案例1分，最高3分。（不包含第三方数据服务合同，需提供合同双方盖章复印件和验收报告证明，否则不得分）。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0-3分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shd w:val="clear" w:color="auto" w:fill="auto"/>
            <w:vAlign w:val="center"/>
          </w:tcPr>
          <w:p>
            <w:pPr>
              <w:widowControl/>
              <w:spacing w:line="360" w:lineRule="auto"/>
              <w:jc w:val="center"/>
              <w:rPr>
                <w:rFonts w:ascii="宋体" w:hAnsi="宋体" w:cs="宋体"/>
                <w:color w:val="auto"/>
                <w:sz w:val="24"/>
                <w:highlight w:val="none"/>
              </w:rPr>
            </w:pPr>
          </w:p>
        </w:tc>
        <w:tc>
          <w:tcPr>
            <w:tcW w:w="1180" w:type="dxa"/>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公司资质</w:t>
            </w:r>
          </w:p>
        </w:tc>
        <w:tc>
          <w:tcPr>
            <w:tcW w:w="4933" w:type="dxa"/>
            <w:shd w:val="clear" w:color="auto" w:fill="auto"/>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sz w:val="24"/>
                <w:highlight w:val="none"/>
              </w:rPr>
              <w:t>具有医保规则事前审核系统、医保规则事中监管系统、医保规则事后分析报告系统、医保反馈系统和医保基金智能两库管理系统软件著作权证书，每提供一个得1分，最高5分。（提供证书复印件并加盖公章，否则不得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0-5分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shd w:val="clear" w:color="auto" w:fill="auto"/>
            <w:vAlign w:val="center"/>
          </w:tcPr>
          <w:p>
            <w:pPr>
              <w:widowControl/>
              <w:spacing w:line="360" w:lineRule="auto"/>
              <w:jc w:val="center"/>
              <w:rPr>
                <w:rFonts w:ascii="宋体" w:hAnsi="宋体" w:cs="宋体"/>
                <w:color w:val="auto"/>
                <w:sz w:val="24"/>
                <w:highlight w:val="none"/>
              </w:rPr>
            </w:pPr>
          </w:p>
        </w:tc>
        <w:tc>
          <w:tcPr>
            <w:tcW w:w="1180" w:type="dxa"/>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认证证书</w:t>
            </w:r>
          </w:p>
        </w:tc>
        <w:tc>
          <w:tcPr>
            <w:tcW w:w="4933" w:type="dxa"/>
            <w:shd w:val="clear" w:color="auto" w:fill="auto"/>
            <w:vAlign w:val="center"/>
          </w:tcPr>
          <w:p>
            <w:pPr>
              <w:widowControl/>
              <w:spacing w:line="40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1、供应商具有有效的企业知识产权管理体系认证证书，得2分，最高2分。认证范围需</w:t>
            </w:r>
            <w:bookmarkStart w:id="383" w:name="_Hlk152515767"/>
            <w:r>
              <w:rPr>
                <w:rFonts w:hint="eastAsia" w:ascii="宋体" w:hAnsi="宋体" w:cs="宋体"/>
                <w:color w:val="auto"/>
                <w:kern w:val="0"/>
                <w:sz w:val="24"/>
                <w:highlight w:val="none"/>
                <w:lang w:bidi="ar"/>
              </w:rPr>
              <w:t>包含“飞检自查自纠”关键字眼</w:t>
            </w:r>
            <w:bookmarkEnd w:id="383"/>
            <w:r>
              <w:rPr>
                <w:rFonts w:hint="eastAsia" w:ascii="宋体" w:hAnsi="宋体" w:cs="宋体"/>
                <w:color w:val="auto"/>
                <w:kern w:val="0"/>
                <w:sz w:val="24"/>
                <w:highlight w:val="none"/>
                <w:lang w:bidi="ar"/>
              </w:rPr>
              <w:t>，否则此项不得分。</w:t>
            </w:r>
          </w:p>
          <w:p>
            <w:pPr>
              <w:widowControl/>
              <w:spacing w:line="40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2、供应商</w:t>
            </w:r>
            <w:bookmarkStart w:id="384" w:name="_Hlk152515620"/>
            <w:r>
              <w:rPr>
                <w:rFonts w:hint="eastAsia" w:ascii="宋体" w:hAnsi="宋体" w:cs="宋体"/>
                <w:color w:val="auto"/>
                <w:kern w:val="0"/>
                <w:sz w:val="24"/>
                <w:highlight w:val="none"/>
                <w:lang w:bidi="ar"/>
              </w:rPr>
              <w:t>所响应产品与国产化操作系统和数据库具有兼容性互认</w:t>
            </w:r>
            <w:bookmarkEnd w:id="384"/>
            <w:r>
              <w:rPr>
                <w:rFonts w:hint="eastAsia" w:ascii="宋体" w:hAnsi="宋体" w:cs="宋体"/>
                <w:color w:val="auto"/>
                <w:kern w:val="0"/>
                <w:sz w:val="24"/>
                <w:highlight w:val="none"/>
                <w:lang w:bidi="ar"/>
              </w:rPr>
              <w:t>的得2分，最高2分。</w:t>
            </w:r>
          </w:p>
          <w:p>
            <w:pPr>
              <w:widowControl/>
              <w:spacing w:line="40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3、供应商具有有效的ISO20000信息技术服务管理体系认证、售后服务体系认证证书、ISO22301业务连续性管理体系认证和SA8000社会责任管理体系认证，每提供一个得1分，最高4分。</w:t>
            </w:r>
          </w:p>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（提供证书复印件并加盖公章，否则不得分）。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0-8分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restart"/>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技术分</w:t>
            </w:r>
          </w:p>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（65分）</w:t>
            </w:r>
          </w:p>
        </w:tc>
        <w:tc>
          <w:tcPr>
            <w:tcW w:w="1180" w:type="dxa"/>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基本技术</w:t>
            </w:r>
          </w:p>
        </w:tc>
        <w:tc>
          <w:tcPr>
            <w:tcW w:w="4933" w:type="dxa"/>
            <w:shd w:val="clear" w:color="auto" w:fill="auto"/>
            <w:vAlign w:val="center"/>
          </w:tcPr>
          <w:p>
            <w:pPr>
              <w:widowControl/>
              <w:spacing w:line="360" w:lineRule="auto"/>
              <w:jc w:val="left"/>
              <w:rPr>
                <w:rFonts w:hAnsi="宋体" w:cs="宋体"/>
                <w:color w:val="auto"/>
                <w:kern w:val="0"/>
                <w:sz w:val="24"/>
                <w:szCs w:val="24"/>
                <w:highlight w:val="none"/>
                <w:lang w:bidi="ar"/>
              </w:rPr>
            </w:pPr>
            <w:r>
              <w:rPr>
                <w:rFonts w:hint="eastAsia" w:ascii="宋体" w:hAnsi="宋体" w:cs="宋体"/>
                <w:color w:val="auto"/>
                <w:sz w:val="24"/>
                <w:highlight w:val="none"/>
              </w:rPr>
              <w:t>满足招标文件要求的得20分，其中含“</w:t>
            </w:r>
            <w:r>
              <w:rPr>
                <w:rFonts w:hint="eastAsia" w:ascii="宋体" w:hAnsi="宋体" w:cs="宋体"/>
                <w:b/>
                <w:bCs/>
                <w:color w:val="auto"/>
                <w:sz w:val="24"/>
                <w:highlight w:val="none"/>
              </w:rPr>
              <w:t>■</w:t>
            </w:r>
            <w:r>
              <w:rPr>
                <w:rFonts w:hint="eastAsia" w:ascii="宋体" w:hAnsi="宋体" w:cs="宋体"/>
                <w:color w:val="auto"/>
                <w:sz w:val="24"/>
                <w:highlight w:val="none"/>
              </w:rPr>
              <w:t>”功能，如有负偏离，每项扣2分，其他项负偏离每项扣1分。</w:t>
            </w:r>
            <w:r>
              <w:rPr>
                <w:rFonts w:hint="eastAsia" w:hAnsi="宋体" w:cs="宋体"/>
                <w:color w:val="auto"/>
                <w:sz w:val="24"/>
                <w:szCs w:val="24"/>
                <w:highlight w:val="none"/>
              </w:rPr>
              <w:t>“</w:t>
            </w:r>
            <w:r>
              <w:rPr>
                <w:rFonts w:hint="eastAsia" w:hAnsi="宋体" w:cs="宋体"/>
                <w:b/>
                <w:bCs/>
                <w:color w:val="auto"/>
                <w:sz w:val="24"/>
                <w:highlight w:val="none"/>
              </w:rPr>
              <w:t>■</w:t>
            </w:r>
            <w:r>
              <w:rPr>
                <w:rFonts w:hint="eastAsia" w:hAnsi="宋体" w:cs="宋体"/>
                <w:color w:val="auto"/>
                <w:sz w:val="24"/>
                <w:szCs w:val="24"/>
                <w:highlight w:val="none"/>
              </w:rPr>
              <w:t>”功能需提供系统截图证明。</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0-20分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shd w:val="clear" w:color="auto" w:fill="auto"/>
            <w:vAlign w:val="center"/>
          </w:tcPr>
          <w:p>
            <w:pPr>
              <w:widowControl/>
              <w:spacing w:line="360" w:lineRule="auto"/>
              <w:jc w:val="center"/>
              <w:rPr>
                <w:rFonts w:ascii="宋体" w:hAnsi="宋体" w:cs="宋体"/>
                <w:color w:val="auto"/>
                <w:sz w:val="24"/>
                <w:highlight w:val="none"/>
              </w:rPr>
            </w:pPr>
          </w:p>
        </w:tc>
        <w:tc>
          <w:tcPr>
            <w:tcW w:w="1180" w:type="dxa"/>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人员资质</w:t>
            </w:r>
          </w:p>
        </w:tc>
        <w:tc>
          <w:tcPr>
            <w:tcW w:w="4933" w:type="dxa"/>
            <w:shd w:val="clear" w:color="auto" w:fill="auto"/>
            <w:vAlign w:val="center"/>
          </w:tcPr>
          <w:p>
            <w:pPr>
              <w:widowControl/>
              <w:spacing w:line="360" w:lineRule="auto"/>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1、项目经理1人，具有信息技术类专业本科及以上学历、三级计算机数据库技术证书和项目管理专业人士（PMP）证书，每项得1分，最高得3分；</w:t>
            </w:r>
          </w:p>
          <w:p>
            <w:pPr>
              <w:widowControl/>
              <w:spacing w:line="360" w:lineRule="auto"/>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2、项目团队成员具有医学硕士研究生及以上学位和医学类初级或以上职称，每1人得2分，最高得2分；</w:t>
            </w:r>
          </w:p>
          <w:p>
            <w:pPr>
              <w:widowControl/>
              <w:spacing w:line="360" w:lineRule="auto"/>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3、项目团队成员具有药学专业硕士研究生或以上学历、药学类资格（职称）和中药学资格（职称）人员，每1人得3分，最高得3分；</w:t>
            </w:r>
          </w:p>
          <w:p>
            <w:pPr>
              <w:widowControl/>
              <w:spacing w:line="360" w:lineRule="auto"/>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4、项目团队成员具有数据库系统工程师证书人员，每1人得2分，最高得2分；</w:t>
            </w:r>
          </w:p>
          <w:p>
            <w:pPr>
              <w:widowControl/>
              <w:spacing w:line="360" w:lineRule="auto"/>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5、项目团队成员具有产品经理国际资格认证人员(NPDP)的，每1人得2分，最高得2分；</w:t>
            </w:r>
          </w:p>
          <w:p>
            <w:pPr>
              <w:pStyle w:val="35"/>
              <w:spacing w:line="360" w:lineRule="auto"/>
              <w:rPr>
                <w:rFonts w:hAnsi="宋体" w:cs="宋体"/>
                <w:color w:val="auto"/>
                <w:sz w:val="24"/>
                <w:szCs w:val="24"/>
                <w:highlight w:val="none"/>
                <w:lang w:bidi="ar"/>
              </w:rPr>
            </w:pPr>
            <w:r>
              <w:rPr>
                <w:rFonts w:hint="eastAsia" w:hAnsi="宋体" w:cs="宋体"/>
                <w:color w:val="auto"/>
                <w:kern w:val="0"/>
                <w:sz w:val="24"/>
                <w:szCs w:val="24"/>
                <w:highlight w:val="none"/>
                <w:lang w:bidi="ar"/>
              </w:rPr>
              <w:t>（提供证书复印件并加盖公章，否则不得分）。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0-12分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shd w:val="clear" w:color="auto" w:fill="auto"/>
            <w:vAlign w:val="center"/>
          </w:tcPr>
          <w:p>
            <w:pPr>
              <w:spacing w:line="360" w:lineRule="auto"/>
              <w:jc w:val="center"/>
              <w:rPr>
                <w:rFonts w:ascii="宋体" w:hAnsi="宋体" w:cs="宋体"/>
                <w:color w:val="auto"/>
                <w:sz w:val="24"/>
                <w:highlight w:val="none"/>
              </w:rPr>
            </w:pPr>
          </w:p>
        </w:tc>
        <w:tc>
          <w:tcPr>
            <w:tcW w:w="1180"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总体方案设计</w:t>
            </w:r>
          </w:p>
        </w:tc>
        <w:tc>
          <w:tcPr>
            <w:tcW w:w="4933" w:type="dxa"/>
            <w:vAlign w:val="center"/>
          </w:tcPr>
          <w:p>
            <w:pPr>
              <w:spacing w:after="120" w:line="360" w:lineRule="auto"/>
              <w:rPr>
                <w:rFonts w:ascii="宋体" w:hAnsi="宋体" w:cs="宋体"/>
                <w:color w:val="auto"/>
                <w:sz w:val="24"/>
                <w:highlight w:val="none"/>
              </w:rPr>
            </w:pPr>
            <w:r>
              <w:rPr>
                <w:rFonts w:hint="eastAsia" w:ascii="宋体" w:hAnsi="宋体" w:cs="宋体"/>
                <w:color w:val="auto"/>
                <w:sz w:val="24"/>
                <w:highlight w:val="none"/>
              </w:rPr>
              <w:t>总体方案设计、建设方案、软件开发方案等情况，详细阐述系统的体系架构、功能模块、实现思路和关键技术，以及对功能设计和实施计划的建议（0-5分）。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0-5分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vAlign w:val="center"/>
          </w:tcPr>
          <w:p>
            <w:pPr>
              <w:widowControl/>
              <w:spacing w:line="360" w:lineRule="auto"/>
              <w:jc w:val="center"/>
              <w:rPr>
                <w:rFonts w:ascii="宋体" w:hAnsi="宋体" w:cs="宋体"/>
                <w:color w:val="auto"/>
                <w:sz w:val="24"/>
                <w:highlight w:val="none"/>
              </w:rPr>
            </w:pPr>
          </w:p>
        </w:tc>
        <w:tc>
          <w:tcPr>
            <w:tcW w:w="1180" w:type="dxa"/>
            <w:vAlign w:val="center"/>
          </w:tcPr>
          <w:p>
            <w:pPr>
              <w:widowControl/>
              <w:spacing w:line="360" w:lineRule="auto"/>
              <w:rPr>
                <w:rFonts w:ascii="宋体" w:hAnsi="宋体" w:cs="宋体"/>
                <w:color w:val="auto"/>
                <w:sz w:val="24"/>
                <w:highlight w:val="none"/>
              </w:rPr>
            </w:pPr>
            <w:r>
              <w:rPr>
                <w:rFonts w:hint="eastAsia" w:ascii="宋体" w:hAnsi="宋体" w:cs="宋体"/>
                <w:color w:val="auto"/>
                <w:sz w:val="24"/>
                <w:highlight w:val="none"/>
              </w:rPr>
              <w:t>实施方案</w:t>
            </w:r>
          </w:p>
        </w:tc>
        <w:tc>
          <w:tcPr>
            <w:tcW w:w="4933" w:type="dxa"/>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sz w:val="24"/>
                <w:highlight w:val="none"/>
              </w:rPr>
              <w:t>实施方案的科学性、先进性、可行性和扩展性、前瞻性，优势（0-3分）</w:t>
            </w:r>
            <w:r>
              <w:rPr>
                <w:rFonts w:hint="eastAsia" w:ascii="宋体" w:hAnsi="宋体" w:cs="宋体"/>
                <w:color w:val="auto"/>
                <w:kern w:val="0"/>
                <w:sz w:val="24"/>
                <w:highlight w:val="none"/>
              </w:rPr>
              <w:t>。</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0-3分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1" w:type="dxa"/>
            <w:vMerge w:val="continue"/>
            <w:vAlign w:val="center"/>
          </w:tcPr>
          <w:p>
            <w:pPr>
              <w:widowControl/>
              <w:spacing w:line="360" w:lineRule="auto"/>
              <w:rPr>
                <w:rFonts w:ascii="宋体" w:hAnsi="宋体" w:cs="宋体"/>
                <w:color w:val="auto"/>
                <w:sz w:val="24"/>
                <w:highlight w:val="none"/>
              </w:rPr>
            </w:pPr>
          </w:p>
        </w:tc>
        <w:tc>
          <w:tcPr>
            <w:tcW w:w="1180" w:type="dxa"/>
            <w:vAlign w:val="center"/>
          </w:tcPr>
          <w:p>
            <w:pPr>
              <w:widowControl/>
              <w:spacing w:line="360" w:lineRule="auto"/>
              <w:rPr>
                <w:rFonts w:ascii="宋体" w:hAnsi="宋体" w:cs="宋体"/>
                <w:color w:val="auto"/>
                <w:sz w:val="24"/>
                <w:highlight w:val="none"/>
              </w:rPr>
            </w:pPr>
            <w:r>
              <w:rPr>
                <w:rFonts w:hint="eastAsia" w:ascii="宋体" w:hAnsi="宋体" w:cs="宋体"/>
                <w:color w:val="auto"/>
                <w:sz w:val="24"/>
                <w:highlight w:val="none"/>
              </w:rPr>
              <w:t>应急方案</w:t>
            </w:r>
          </w:p>
        </w:tc>
        <w:tc>
          <w:tcPr>
            <w:tcW w:w="4933" w:type="dxa"/>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sz w:val="24"/>
                <w:highlight w:val="none"/>
              </w:rPr>
              <w:t>系统的应急方案设计的合理性，考虑用户实际使用需求，考虑本项目对当前和未来发展的要求（0-2分）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0-2分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51" w:type="dxa"/>
            <w:vMerge w:val="continue"/>
            <w:vAlign w:val="center"/>
          </w:tcPr>
          <w:p>
            <w:pPr>
              <w:widowControl/>
              <w:spacing w:line="360" w:lineRule="auto"/>
              <w:jc w:val="center"/>
              <w:rPr>
                <w:rFonts w:ascii="宋体" w:hAnsi="宋体" w:cs="宋体"/>
                <w:color w:val="auto"/>
                <w:sz w:val="24"/>
                <w:highlight w:val="none"/>
              </w:rPr>
            </w:pPr>
          </w:p>
        </w:tc>
        <w:tc>
          <w:tcPr>
            <w:tcW w:w="118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培训方案</w:t>
            </w:r>
          </w:p>
        </w:tc>
        <w:tc>
          <w:tcPr>
            <w:tcW w:w="4933" w:type="dxa"/>
            <w:vAlign w:val="center"/>
          </w:tcPr>
          <w:p>
            <w:pPr>
              <w:widowControl/>
              <w:spacing w:line="360" w:lineRule="auto"/>
              <w:rPr>
                <w:rFonts w:ascii="宋体" w:hAnsi="宋体" w:cs="宋体"/>
                <w:color w:val="auto"/>
                <w:sz w:val="24"/>
                <w:highlight w:val="none"/>
              </w:rPr>
            </w:pPr>
            <w:r>
              <w:rPr>
                <w:rFonts w:hint="eastAsia" w:ascii="宋体" w:hAnsi="宋体" w:cs="宋体"/>
                <w:color w:val="auto"/>
                <w:sz w:val="24"/>
                <w:highlight w:val="none"/>
              </w:rPr>
              <w:t>培训方案合理性和可行性。系统计算机管理人员培训，重点培训为软件的安装、维护、调试、配置及使用技能；业务人员培训，重点对相应应用的操作、使用（0-3分）。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0-3分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1" w:type="dxa"/>
            <w:vMerge w:val="continue"/>
            <w:shd w:val="clear" w:color="auto" w:fill="auto"/>
            <w:vAlign w:val="center"/>
          </w:tcPr>
          <w:p>
            <w:pPr>
              <w:widowControl/>
              <w:spacing w:line="360" w:lineRule="auto"/>
              <w:jc w:val="center"/>
              <w:rPr>
                <w:rFonts w:ascii="宋体" w:hAnsi="宋体" w:cs="宋体"/>
                <w:color w:val="auto"/>
                <w:sz w:val="24"/>
                <w:highlight w:val="none"/>
              </w:rPr>
            </w:pPr>
          </w:p>
        </w:tc>
        <w:tc>
          <w:tcPr>
            <w:tcW w:w="1180" w:type="dxa"/>
            <w:shd w:val="clear" w:color="auto" w:fill="auto"/>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售后服务</w:t>
            </w:r>
          </w:p>
        </w:tc>
        <w:tc>
          <w:tcPr>
            <w:tcW w:w="4933" w:type="dxa"/>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售后服务方案，包括但不限于服务响应时间、故障解决方案</w:t>
            </w:r>
            <w:r>
              <w:rPr>
                <w:rFonts w:hint="eastAsia" w:ascii="宋体" w:hAnsi="宋体" w:cs="宋体"/>
                <w:color w:val="auto"/>
                <w:sz w:val="24"/>
                <w:highlight w:val="none"/>
              </w:rPr>
              <w:t>（0-3分）</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0-3分</w:t>
            </w:r>
          </w:p>
        </w:tc>
        <w:tc>
          <w:tcPr>
            <w:tcW w:w="1154"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51" w:type="dxa"/>
            <w:vMerge w:val="continue"/>
            <w:shd w:val="clear" w:color="auto" w:fill="auto"/>
            <w:vAlign w:val="center"/>
          </w:tcPr>
          <w:p>
            <w:pPr>
              <w:widowControl/>
              <w:spacing w:line="360" w:lineRule="auto"/>
              <w:jc w:val="center"/>
              <w:rPr>
                <w:rFonts w:ascii="宋体" w:hAnsi="宋体" w:cs="宋体"/>
                <w:color w:val="auto"/>
                <w:sz w:val="24"/>
                <w:highlight w:val="none"/>
              </w:rPr>
            </w:pPr>
          </w:p>
        </w:tc>
        <w:tc>
          <w:tcPr>
            <w:tcW w:w="1180" w:type="dxa"/>
            <w:shd w:val="clear" w:color="auto" w:fill="auto"/>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软件演示</w:t>
            </w:r>
          </w:p>
        </w:tc>
        <w:tc>
          <w:tcPr>
            <w:tcW w:w="493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演示方式：</w:t>
            </w:r>
            <w:r>
              <w:rPr>
                <w:rFonts w:hint="eastAsia" w:ascii="宋体" w:hAnsi="宋体" w:cs="宋体"/>
                <w:bCs/>
                <w:color w:val="auto"/>
                <w:sz w:val="24"/>
                <w:highlight w:val="none"/>
              </w:rPr>
              <w:t>针对含</w:t>
            </w:r>
            <w:r>
              <w:rPr>
                <w:rFonts w:hint="eastAsia" w:ascii="宋体" w:hAnsi="宋体" w:cs="宋体"/>
                <w:color w:val="auto"/>
                <w:sz w:val="24"/>
                <w:highlight w:val="none"/>
              </w:rPr>
              <w:t>“</w:t>
            </w:r>
            <w:r>
              <w:rPr>
                <w:rFonts w:hint="eastAsia" w:ascii="宋体" w:hAnsi="宋体" w:cs="宋体"/>
                <w:b/>
                <w:bCs/>
                <w:color w:val="auto"/>
                <w:sz w:val="24"/>
                <w:highlight w:val="none"/>
              </w:rPr>
              <w:t>■</w:t>
            </w:r>
            <w:r>
              <w:rPr>
                <w:rFonts w:hint="eastAsia" w:ascii="宋体" w:hAnsi="宋体" w:cs="宋体"/>
                <w:color w:val="auto"/>
                <w:sz w:val="24"/>
                <w:highlight w:val="none"/>
              </w:rPr>
              <w:t xml:space="preserve">”功能项进行演示，共4项，每项4分，共16分。演示时间不超过10分钟，演示所需数据及环境由供应商自备。 </w:t>
            </w:r>
          </w:p>
          <w:p>
            <w:pPr>
              <w:widowControl/>
              <w:spacing w:line="360" w:lineRule="auto"/>
              <w:jc w:val="left"/>
              <w:rPr>
                <w:rFonts w:hint="eastAsia" w:ascii="宋体" w:hAnsi="宋体" w:eastAsia="宋体" w:cs="宋体"/>
                <w:color w:val="auto"/>
                <w:kern w:val="0"/>
                <w:sz w:val="24"/>
                <w:highlight w:val="none"/>
                <w:lang w:eastAsia="zh-CN"/>
              </w:rPr>
            </w:pPr>
            <w:r>
              <w:rPr>
                <w:rFonts w:hint="eastAsia" w:ascii="宋体" w:hAnsi="宋体" w:cs="宋体"/>
                <w:color w:val="auto"/>
                <w:sz w:val="24"/>
                <w:highlight w:val="none"/>
              </w:rPr>
              <w:t>演示点：项目建设内容中带“</w:t>
            </w:r>
            <w:r>
              <w:rPr>
                <w:rFonts w:hint="eastAsia" w:ascii="宋体" w:hAnsi="宋体" w:cs="宋体"/>
                <w:b/>
                <w:bCs/>
                <w:color w:val="auto"/>
                <w:sz w:val="24"/>
                <w:highlight w:val="none"/>
              </w:rPr>
              <w:t>■</w:t>
            </w:r>
            <w:r>
              <w:rPr>
                <w:rFonts w:hint="eastAsia" w:ascii="宋体" w:hAnsi="宋体" w:cs="宋体"/>
                <w:color w:val="auto"/>
                <w:sz w:val="24"/>
                <w:highlight w:val="none"/>
              </w:rPr>
              <w:t>”号功能点逐条进行演示</w:t>
            </w:r>
            <w:r>
              <w:rPr>
                <w:rFonts w:hint="eastAsia" w:ascii="宋体" w:hAnsi="宋体" w:cs="宋体"/>
                <w:color w:val="auto"/>
                <w:sz w:val="24"/>
                <w:highlight w:val="none"/>
                <w:lang w:eastAsia="zh-CN"/>
              </w:rPr>
              <w:t>，评标委员会综合评定。</w:t>
            </w:r>
          </w:p>
        </w:tc>
        <w:tc>
          <w:tcPr>
            <w:tcW w:w="900" w:type="dxa"/>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0-16分</w:t>
            </w:r>
          </w:p>
        </w:tc>
        <w:tc>
          <w:tcPr>
            <w:tcW w:w="1154" w:type="dxa"/>
            <w:vAlign w:val="center"/>
          </w:tcPr>
          <w:p>
            <w:pPr>
              <w:widowControl/>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主观分</w:t>
            </w:r>
          </w:p>
        </w:tc>
      </w:tr>
    </w:tbl>
    <w:p>
      <w:pPr>
        <w:widowControl/>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备注：</w:t>
      </w:r>
      <w:r>
        <w:rPr>
          <w:rFonts w:hint="eastAsia" w:ascii="宋体" w:hAnsi="宋体" w:cs="宋体"/>
          <w:color w:val="auto"/>
          <w:sz w:val="24"/>
          <w:highlight w:val="none"/>
        </w:rPr>
        <w:t>1、评分条款中涉及的业绩、荣誉、人员、社保等分公司均有效。</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响应文件中如附有外文资料，必须逐一对应翻译成中文并加盖响应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3、响应人编制响应文件（商务技术文件部分）时，建议按此目录（序号和内容）提供评审标准相应的商务技术资料。 </w:t>
      </w:r>
    </w:p>
    <w:p>
      <w:pPr>
        <w:widowControl/>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2、价格分（20分）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2169" w:type="dxa"/>
            <w:vAlign w:val="center"/>
          </w:tcPr>
          <w:p>
            <w:pPr>
              <w:adjustRightInd/>
              <w:spacing w:line="360" w:lineRule="exact"/>
              <w:jc w:val="center"/>
              <w:rPr>
                <w:rFonts w:ascii="宋体" w:hAnsi="宋体" w:cs="宋体"/>
                <w:color w:val="auto"/>
                <w:sz w:val="24"/>
                <w:highlight w:val="none"/>
              </w:rPr>
            </w:pPr>
            <w:r>
              <w:rPr>
                <w:rFonts w:hint="eastAsia" w:ascii="宋体" w:hAnsi="宋体" w:cs="宋体"/>
                <w:color w:val="auto"/>
                <w:sz w:val="24"/>
                <w:highlight w:val="none"/>
              </w:rPr>
              <w:t>价格权值</w:t>
            </w:r>
          </w:p>
        </w:tc>
        <w:tc>
          <w:tcPr>
            <w:tcW w:w="6229" w:type="dxa"/>
            <w:vAlign w:val="center"/>
          </w:tcPr>
          <w:p>
            <w:pPr>
              <w:adjustRightInd/>
              <w:spacing w:line="360" w:lineRule="exact"/>
              <w:jc w:val="center"/>
              <w:rPr>
                <w:rFonts w:ascii="宋体" w:hAnsi="宋体" w:cs="宋体"/>
                <w:color w:val="auto"/>
                <w:sz w:val="24"/>
                <w:highlight w:val="none"/>
              </w:rPr>
            </w:pPr>
            <w:r>
              <w:rPr>
                <w:rFonts w:hint="eastAsia" w:ascii="宋体" w:hAnsi="宋体" w:cs="宋体"/>
                <w:color w:val="auto"/>
                <w:sz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169" w:type="dxa"/>
            <w:vAlign w:val="center"/>
          </w:tcPr>
          <w:p>
            <w:pPr>
              <w:adjustRightInd/>
              <w:spacing w:line="360" w:lineRule="exact"/>
              <w:jc w:val="center"/>
              <w:rPr>
                <w:rFonts w:ascii="宋体" w:hAnsi="宋体" w:cs="宋体"/>
                <w:color w:val="auto"/>
                <w:sz w:val="24"/>
                <w:highlight w:val="none"/>
              </w:rPr>
            </w:pPr>
            <w:r>
              <w:rPr>
                <w:rFonts w:hint="eastAsia" w:ascii="宋体" w:hAnsi="宋体" w:cs="宋体"/>
                <w:color w:val="auto"/>
                <w:sz w:val="24"/>
                <w:highlight w:val="none"/>
              </w:rPr>
              <w:t>价格权值=0.20</w:t>
            </w:r>
          </w:p>
        </w:tc>
        <w:tc>
          <w:tcPr>
            <w:tcW w:w="6229" w:type="dxa"/>
            <w:vAlign w:val="center"/>
          </w:tcPr>
          <w:p>
            <w:pPr>
              <w:adjustRightInd/>
              <w:spacing w:line="360" w:lineRule="exact"/>
              <w:jc w:val="left"/>
              <w:rPr>
                <w:rFonts w:ascii="宋体" w:hAnsi="宋体" w:cs="宋体"/>
                <w:color w:val="auto"/>
                <w:sz w:val="24"/>
                <w:highlight w:val="none"/>
              </w:rPr>
            </w:pPr>
            <w:r>
              <w:rPr>
                <w:rFonts w:hint="eastAsia" w:ascii="宋体" w:hAnsi="宋体" w:cs="宋体"/>
                <w:color w:val="auto"/>
                <w:sz w:val="24"/>
                <w:highlight w:val="none"/>
              </w:rPr>
              <w:t>最低有效响应价格为评标基准价</w:t>
            </w:r>
          </w:p>
          <w:p>
            <w:pPr>
              <w:adjustRightInd/>
              <w:spacing w:line="360" w:lineRule="exact"/>
              <w:jc w:val="left"/>
              <w:rPr>
                <w:rFonts w:ascii="宋体" w:hAnsi="宋体" w:cs="宋体"/>
                <w:color w:val="auto"/>
                <w:sz w:val="24"/>
                <w:highlight w:val="none"/>
              </w:rPr>
            </w:pPr>
            <w:r>
              <w:rPr>
                <w:rFonts w:hint="eastAsia" w:ascii="宋体" w:hAnsi="宋体" w:cs="宋体"/>
                <w:color w:val="auto"/>
                <w:sz w:val="24"/>
                <w:highlight w:val="none"/>
              </w:rPr>
              <w:t>响应报价得分=(评标基准价／响应报价)×价格权值×100</w:t>
            </w:r>
          </w:p>
          <w:p>
            <w:pPr>
              <w:adjustRightInd/>
              <w:spacing w:line="360" w:lineRule="exact"/>
              <w:jc w:val="left"/>
              <w:rPr>
                <w:rFonts w:ascii="宋体" w:hAnsi="宋体" w:cs="宋体"/>
                <w:color w:val="auto"/>
                <w:sz w:val="24"/>
                <w:highlight w:val="none"/>
              </w:rPr>
            </w:pPr>
            <w:r>
              <w:rPr>
                <w:rFonts w:hint="eastAsia" w:ascii="宋体" w:hAnsi="宋体" w:cs="宋体"/>
                <w:color w:val="auto"/>
                <w:sz w:val="24"/>
                <w:highlight w:val="none"/>
              </w:rPr>
              <w:t>（计算得分保留小数点后2位）</w:t>
            </w:r>
          </w:p>
        </w:tc>
      </w:tr>
    </w:tbl>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pStyle w:val="63"/>
        <w:rPr>
          <w:color w:val="auto"/>
          <w:highlight w:val="none"/>
        </w:rPr>
      </w:pPr>
    </w:p>
    <w:p>
      <w:pPr>
        <w:snapToGrid w:val="0"/>
        <w:spacing w:line="570" w:lineRule="exact"/>
        <w:rPr>
          <w:rFonts w:ascii="宋体" w:hAnsi="宋体" w:cs="宋体"/>
          <w:b/>
          <w:color w:val="auto"/>
          <w:sz w:val="28"/>
          <w:szCs w:val="28"/>
          <w:highlight w:val="none"/>
        </w:rPr>
      </w:pPr>
      <w:r>
        <w:rPr>
          <w:rFonts w:hint="eastAsia" w:ascii="宋体" w:hAnsi="宋体" w:cs="宋体"/>
          <w:b/>
          <w:color w:val="auto"/>
          <w:sz w:val="28"/>
          <w:szCs w:val="28"/>
          <w:highlight w:val="none"/>
        </w:rPr>
        <w:t>一、交易方法</w:t>
      </w:r>
    </w:p>
    <w:p>
      <w:pPr>
        <w:adjustRightInd/>
        <w:spacing w:line="570" w:lineRule="exact"/>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综合评分法，是指响应文件满足公开竞争文件全部实质性要求，且按照评审因素的量化指标评审得分最高的响应人为成交候选人的评标方法。</w:t>
      </w:r>
    </w:p>
    <w:p>
      <w:pPr>
        <w:snapToGrid w:val="0"/>
        <w:spacing w:line="570" w:lineRule="exact"/>
        <w:rPr>
          <w:rFonts w:ascii="宋体" w:hAnsi="宋体" w:cs="宋体"/>
          <w:b/>
          <w:color w:val="auto"/>
          <w:sz w:val="28"/>
          <w:szCs w:val="28"/>
          <w:highlight w:val="none"/>
        </w:rPr>
      </w:pPr>
      <w:r>
        <w:rPr>
          <w:rFonts w:hint="eastAsia" w:ascii="宋体" w:hAnsi="宋体" w:cs="宋体"/>
          <w:b/>
          <w:color w:val="auto"/>
          <w:sz w:val="28"/>
          <w:szCs w:val="28"/>
          <w:highlight w:val="none"/>
        </w:rPr>
        <w:t>二、交易标准</w:t>
      </w:r>
    </w:p>
    <w:p>
      <w:pPr>
        <w:spacing w:line="57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2.评标标准：</w:t>
      </w:r>
      <w:r>
        <w:rPr>
          <w:rFonts w:hint="eastAsia" w:ascii="宋体" w:hAnsi="宋体" w:cs="宋体"/>
          <w:color w:val="auto"/>
          <w:kern w:val="0"/>
          <w:sz w:val="24"/>
          <w:highlight w:val="none"/>
        </w:rPr>
        <w:t>见交易办法前附表。</w:t>
      </w:r>
    </w:p>
    <w:p>
      <w:pPr>
        <w:snapToGrid w:val="0"/>
        <w:spacing w:line="570" w:lineRule="exact"/>
        <w:rPr>
          <w:rFonts w:ascii="宋体" w:hAnsi="宋体" w:cs="宋体"/>
          <w:b/>
          <w:color w:val="auto"/>
          <w:sz w:val="28"/>
          <w:szCs w:val="28"/>
          <w:highlight w:val="none"/>
        </w:rPr>
      </w:pPr>
      <w:r>
        <w:rPr>
          <w:rFonts w:hint="eastAsia" w:ascii="宋体" w:hAnsi="宋体" w:cs="宋体"/>
          <w:b/>
          <w:color w:val="auto"/>
          <w:sz w:val="28"/>
          <w:szCs w:val="28"/>
          <w:highlight w:val="none"/>
        </w:rPr>
        <w:t>三、交易程序</w:t>
      </w:r>
    </w:p>
    <w:bookmarkEnd w:id="15"/>
    <w:p>
      <w:pPr>
        <w:spacing w:line="570" w:lineRule="exact"/>
        <w:ind w:firstLine="472" w:firstLineChars="196"/>
        <w:rPr>
          <w:rFonts w:ascii="宋体" w:hAnsi="宋体" w:cs="宋体"/>
          <w:color w:val="auto"/>
          <w:kern w:val="0"/>
          <w:sz w:val="24"/>
          <w:highlight w:val="none"/>
        </w:rPr>
      </w:pPr>
      <w:bookmarkStart w:id="385" w:name="第五部分"/>
      <w:bookmarkStart w:id="386" w:name="_Toc86217003"/>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评审委员会应当对符合资格的响应人的响应文件进行符合性审查，以确定其是否满足公开竞争文件的实质性要求。不满足公开竞争文件的实质性要求的，交易无效。</w:t>
      </w:r>
    </w:p>
    <w:p>
      <w:pPr>
        <w:spacing w:line="57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3.2比较与评价。</w:t>
      </w:r>
      <w:r>
        <w:rPr>
          <w:rFonts w:hint="eastAsia" w:ascii="宋体" w:hAnsi="宋体" w:cs="宋体"/>
          <w:color w:val="auto"/>
          <w:kern w:val="0"/>
          <w:sz w:val="24"/>
          <w:highlight w:val="none"/>
        </w:rPr>
        <w:t>评审委员会应当按照公开竞争文件中规定的评标方法和标准，对符合性审查合格的响应文件进行商务和技术评估，综合比较与评价。</w:t>
      </w:r>
    </w:p>
    <w:p>
      <w:pPr>
        <w:spacing w:line="57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评审委员会各成员应当独立对每个响应人的商务和技术文件进行评价，并汇总商务技术得分情况。</w:t>
      </w:r>
    </w:p>
    <w:p>
      <w:pPr>
        <w:spacing w:line="570" w:lineRule="exact"/>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6"/>
        <w:spacing w:before="0" w:line="570" w:lineRule="exact"/>
        <w:ind w:firstLine="508" w:firstLineChars="212"/>
        <w:rPr>
          <w:rFonts w:ascii="宋体" w:hAnsi="宋体" w:cs="宋体"/>
          <w:color w:val="auto"/>
          <w:kern w:val="0"/>
          <w:highlight w:val="none"/>
        </w:rPr>
      </w:pPr>
      <w:r>
        <w:rPr>
          <w:rFonts w:hint="eastAsia" w:ascii="宋体" w:hAnsi="宋体" w:cs="宋体"/>
          <w:color w:val="auto"/>
          <w:kern w:val="0"/>
          <w:highlight w:val="none"/>
        </w:rPr>
        <w:t>3.4.1响应文件报价出现前后不一致的，按照下列规定修正：</w:t>
      </w:r>
    </w:p>
    <w:p>
      <w:pPr>
        <w:pStyle w:val="136"/>
        <w:spacing w:before="0" w:line="57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3.4.1.1响应文件中交易一览表(报价表)内容与响应文件中相应内容不一致的，以交易一览表(报价表)为准；</w:t>
      </w:r>
    </w:p>
    <w:p>
      <w:pPr>
        <w:pStyle w:val="136"/>
        <w:spacing w:before="0" w:line="57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6"/>
        <w:spacing w:before="0" w:line="57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3.4.1.3单价金额小数点或者百分比有明显错位的，以交易一览表的总价为准，并修改单价；</w:t>
      </w:r>
    </w:p>
    <w:p>
      <w:pPr>
        <w:pStyle w:val="136"/>
        <w:spacing w:before="0" w:line="57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6"/>
        <w:spacing w:before="0" w:line="57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w:t>
      </w:r>
    </w:p>
    <w:p>
      <w:pPr>
        <w:snapToGrid w:val="0"/>
        <w:spacing w:line="57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3.4.2响应文件出现不是唯一的、有选择性交易报价的，交易无效。</w:t>
      </w:r>
    </w:p>
    <w:p>
      <w:pPr>
        <w:snapToGrid w:val="0"/>
        <w:spacing w:line="57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3.4.3交易报价超过公开竞争文件中规定的预算金额或者最高限价的，交易无效。</w:t>
      </w:r>
    </w:p>
    <w:p>
      <w:pPr>
        <w:pStyle w:val="136"/>
        <w:spacing w:before="0" w:line="57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审委员会认为响应人的报价明显低于其他通过符合性审查响应人的报价，有可能影响产品质量或者不能诚信履约的，应当要求其在合理的时间内提供书面说明，必要时提交相关证明材料；响应人不能证明其报价合理性的，评审委员会应当将其作为无效投标处理。</w:t>
      </w:r>
    </w:p>
    <w:p>
      <w:pPr>
        <w:spacing w:line="570" w:lineRule="exact"/>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交易报价由低到高顺序排列。得分且交易报价相同的并列。响应文件满足公开竞争文件全部实质性要求，且按照评审因素的量化指标评审得分最高的响应人为排名第一的成交候选人。</w:t>
      </w:r>
    </w:p>
    <w:p>
      <w:pPr>
        <w:spacing w:line="57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3.6编写评审报告。</w:t>
      </w:r>
      <w:r>
        <w:rPr>
          <w:rFonts w:hint="eastAsia" w:ascii="宋体" w:hAnsi="宋体" w:cs="宋体"/>
          <w:color w:val="auto"/>
          <w:kern w:val="0"/>
          <w:sz w:val="24"/>
          <w:highlight w:val="none"/>
        </w:rPr>
        <w:t>评审委员会根据全体评标成员签字的原始评标记录和评标结果编写评审报告。评审委员会成员对需要共同认定的事项存在争议的，应当按照少数服从多数的原则作出结论。持不同意见的评审委员会成员应当在评审报告上签署不同意见及理由，否则视为同意评审报告。</w:t>
      </w:r>
    </w:p>
    <w:p>
      <w:pPr>
        <w:snapToGrid w:val="0"/>
        <w:spacing w:line="570" w:lineRule="exact"/>
        <w:rPr>
          <w:rFonts w:ascii="宋体" w:hAnsi="宋体" w:cs="宋体"/>
          <w:b/>
          <w:color w:val="auto"/>
          <w:sz w:val="28"/>
          <w:szCs w:val="28"/>
          <w:highlight w:val="none"/>
        </w:rPr>
      </w:pPr>
      <w:r>
        <w:rPr>
          <w:rFonts w:hint="eastAsia" w:ascii="宋体" w:hAnsi="宋体" w:cs="宋体"/>
          <w:b/>
          <w:color w:val="auto"/>
          <w:sz w:val="28"/>
          <w:szCs w:val="28"/>
          <w:highlight w:val="none"/>
        </w:rPr>
        <w:t>四、评标中的其他事项</w:t>
      </w:r>
    </w:p>
    <w:p>
      <w:pPr>
        <w:pStyle w:val="136"/>
        <w:spacing w:before="0" w:line="570" w:lineRule="exact"/>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4.1响应人澄清、说明或者补正。</w:t>
      </w:r>
      <w:r>
        <w:rPr>
          <w:rFonts w:hint="eastAsia" w:ascii="宋体" w:hAnsi="宋体" w:cs="宋体"/>
          <w:color w:val="auto"/>
          <w:kern w:val="0"/>
          <w:szCs w:val="24"/>
          <w:highlight w:val="none"/>
        </w:rPr>
        <w:t>对于响应文件中含义不明确、同类问题表述不一致或者有明显文字和计算错误的内容需要响应人作出必要的澄清、说明或者补正的，评审委员会和响应人通过电子交易平台交换数据电文，响应人提交使用电子签名的相关数据电文或通过平台上传加盖公章的扫描件。给予响应人提交澄清、说明或补正的时间不得少于半小时，响应人已经明确表示澄清说明或补正完毕的除外。响应人的澄清、说明或者补正不得超出响应文件的范围或者改变响应文件的实质性内容。</w:t>
      </w:r>
    </w:p>
    <w:p>
      <w:pPr>
        <w:pStyle w:val="27"/>
        <w:spacing w:line="570" w:lineRule="exact"/>
        <w:ind w:left="954" w:leftChars="226" w:hanging="479" w:firstLineChars="0"/>
        <w:rPr>
          <w:rFonts w:cs="宋体"/>
          <w:color w:val="auto"/>
          <w:szCs w:val="21"/>
          <w:highlight w:val="none"/>
        </w:rPr>
      </w:pPr>
      <w:r>
        <w:rPr>
          <w:rFonts w:hint="eastAsia" w:cs="宋体"/>
          <w:b/>
          <w:color w:val="auto"/>
          <w:kern w:val="0"/>
          <w:highlight w:val="none"/>
        </w:rPr>
        <w:t>4.2交易无效。</w:t>
      </w:r>
      <w:r>
        <w:rPr>
          <w:rFonts w:hint="eastAsia" w:cs="宋体"/>
          <w:color w:val="auto"/>
          <w:szCs w:val="21"/>
          <w:highlight w:val="none"/>
        </w:rPr>
        <w:t>有下列情形之一的，交易无效：</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4.2.1响应人不具备公开竞争文件中规定的资格要求的（响应人未提供有效的资格文件的，视为响应人不具备公开竞争文件中规定的资格要求）；</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4.2.2响应文件未按照公开竞争文件要求签署、盖章的；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4.2.3响应文件含有交易发起人不能接受的附加条件的；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4.2.4响应文件中承诺的交易有效期少于公开竞争文件中载明的交易有效期的；</w:t>
      </w:r>
    </w:p>
    <w:p>
      <w:pPr>
        <w:snapToGrid w:val="0"/>
        <w:spacing w:line="570" w:lineRule="exact"/>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4.2.5响应文件出现不是唯一的、有选择性交易报价的；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4.2.6交易报价超过公开竞争文件中规定的预算金额或者最高限价的；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4.2.7报价明显低于其他通过符合性审查响应人的报价，有可能影响产品质量或者不能诚信履约的，未能按要求提供书面说明或者提交相关证明材料，不能证明其报价合理性的；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4.2.8响应人对根据修正原则修正后的报价不确认的；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4.2.9响应人提供虚假材料投标的；</w:t>
      </w:r>
    </w:p>
    <w:p>
      <w:pPr>
        <w:spacing w:line="57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4.2.10响应人有恶意串通、妨碍其他响应人的竞争行为、损害交易发起人或者其他响应人的合法权益情形的；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4.2.11响应人未在电子交易平台传输递交响应文件的，交易无效；</w:t>
      </w:r>
    </w:p>
    <w:p>
      <w:pPr>
        <w:pStyle w:val="6"/>
        <w:spacing w:line="570" w:lineRule="exact"/>
        <w:ind w:left="862" w:leftChars="205"/>
        <w:rPr>
          <w:rFonts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4.2.12响应文件不满足公开竞争文件的其它实质性要求的；</w:t>
      </w:r>
    </w:p>
    <w:p>
      <w:pPr>
        <w:spacing w:line="57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4.2.13法律、法规、规章（适用本市的）及省级以上规范性文件（适用本市的）规定的其他无效情形。</w:t>
      </w:r>
    </w:p>
    <w:p>
      <w:pPr>
        <w:pStyle w:val="27"/>
        <w:snapToGrid w:val="0"/>
        <w:spacing w:line="570" w:lineRule="exact"/>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根据《中华人民共和国政府采购法》第三十六条之规定，在交易过程中，出现下列情形之一的，应予废标：</w:t>
      </w:r>
    </w:p>
    <w:p>
      <w:pPr>
        <w:pStyle w:val="27"/>
        <w:snapToGrid w:val="0"/>
        <w:spacing w:line="570" w:lineRule="exact"/>
        <w:rPr>
          <w:rFonts w:cs="宋体"/>
          <w:color w:val="auto"/>
          <w:highlight w:val="none"/>
        </w:rPr>
      </w:pPr>
      <w:r>
        <w:rPr>
          <w:rFonts w:hint="eastAsia" w:cs="宋体"/>
          <w:color w:val="auto"/>
          <w:highlight w:val="none"/>
        </w:rPr>
        <w:t>5.1符合专业条件的响应人或者对公开竞争文件作实质响应的响应人不足3家的；</w:t>
      </w:r>
    </w:p>
    <w:p>
      <w:pPr>
        <w:pStyle w:val="27"/>
        <w:snapToGrid w:val="0"/>
        <w:spacing w:line="570" w:lineRule="exact"/>
        <w:rPr>
          <w:rFonts w:cs="宋体"/>
          <w:color w:val="auto"/>
          <w:highlight w:val="none"/>
        </w:rPr>
      </w:pPr>
      <w:r>
        <w:rPr>
          <w:rFonts w:hint="eastAsia" w:cs="宋体"/>
          <w:color w:val="auto"/>
          <w:highlight w:val="none"/>
        </w:rPr>
        <w:t>5.2出现影响采购公正的违法、违规行为的；</w:t>
      </w:r>
    </w:p>
    <w:p>
      <w:pPr>
        <w:pStyle w:val="27"/>
        <w:snapToGrid w:val="0"/>
        <w:spacing w:line="570" w:lineRule="exact"/>
        <w:rPr>
          <w:rFonts w:cs="宋体"/>
          <w:color w:val="auto"/>
          <w:highlight w:val="none"/>
        </w:rPr>
      </w:pPr>
      <w:r>
        <w:rPr>
          <w:rFonts w:hint="eastAsia" w:cs="宋体"/>
          <w:color w:val="auto"/>
          <w:highlight w:val="none"/>
        </w:rPr>
        <w:t>5.3响应人的报价均超过了采购预算，交易发起人不能支付的；</w:t>
      </w:r>
    </w:p>
    <w:p>
      <w:pPr>
        <w:pStyle w:val="27"/>
        <w:snapToGrid w:val="0"/>
        <w:spacing w:line="570" w:lineRule="exact"/>
        <w:rPr>
          <w:rFonts w:cs="宋体"/>
          <w:color w:val="auto"/>
          <w:highlight w:val="none"/>
        </w:rPr>
      </w:pPr>
      <w:r>
        <w:rPr>
          <w:rFonts w:hint="eastAsia" w:cs="宋体"/>
          <w:color w:val="auto"/>
          <w:highlight w:val="none"/>
        </w:rPr>
        <w:t>5.4因重大变故，采购任务取消的。</w:t>
      </w:r>
    </w:p>
    <w:p>
      <w:pPr>
        <w:pStyle w:val="27"/>
        <w:snapToGrid w:val="0"/>
        <w:spacing w:line="570" w:lineRule="exact"/>
        <w:rPr>
          <w:rFonts w:cs="宋体"/>
          <w:color w:val="auto"/>
          <w:highlight w:val="none"/>
        </w:rPr>
      </w:pPr>
      <w:r>
        <w:rPr>
          <w:rFonts w:hint="eastAsia" w:cs="宋体"/>
          <w:color w:val="auto"/>
          <w:highlight w:val="none"/>
        </w:rPr>
        <w:t>废标后，代理机构应当将废标理由通知所有响应人。</w:t>
      </w:r>
    </w:p>
    <w:p>
      <w:pPr>
        <w:pStyle w:val="27"/>
        <w:snapToGrid w:val="0"/>
        <w:spacing w:line="570" w:lineRule="exact"/>
        <w:ind w:firstLine="590" w:firstLineChars="245"/>
        <w:rPr>
          <w:rFonts w:cs="宋体"/>
          <w:color w:val="auto"/>
          <w:highlight w:val="none"/>
        </w:rPr>
      </w:pPr>
      <w:r>
        <w:rPr>
          <w:rFonts w:hint="eastAsia" w:cs="宋体"/>
          <w:b/>
          <w:color w:val="auto"/>
          <w:highlight w:val="none"/>
        </w:rPr>
        <w:t>6.修改公开竞争文件，重新组织交易活动。</w:t>
      </w:r>
      <w:r>
        <w:rPr>
          <w:rFonts w:hint="eastAsia" w:cs="宋体"/>
          <w:color w:val="auto"/>
          <w:highlight w:val="none"/>
        </w:rPr>
        <w:t>评审委员会发现公开竞争文件存在歧义、重大缺陷导致评标工作无法进行，或者公开竞争文件内容违反国家有关强制性规定的，将停止评审工作，并与交易发起人、代理机构沟通并作书面记录。交易发起人、代理机构确认后，将修改公开竞争文件，重新组织交易活动。</w:t>
      </w:r>
    </w:p>
    <w:p>
      <w:pPr>
        <w:pStyle w:val="27"/>
        <w:snapToGrid w:val="0"/>
        <w:spacing w:line="570" w:lineRule="exact"/>
        <w:ind w:firstLine="590" w:firstLineChars="245"/>
        <w:rPr>
          <w:rFonts w:cs="宋体"/>
          <w:color w:val="auto"/>
          <w:highlight w:val="none"/>
        </w:rPr>
      </w:pPr>
      <w:r>
        <w:rPr>
          <w:rFonts w:hint="eastAsia" w:cs="宋体"/>
          <w:b/>
          <w:color w:val="auto"/>
          <w:kern w:val="0"/>
          <w:highlight w:val="none"/>
        </w:rPr>
        <w:t>7.重新开展交易。</w:t>
      </w:r>
      <w:r>
        <w:rPr>
          <w:rFonts w:hint="eastAsia" w:cs="宋体"/>
          <w:color w:val="auto"/>
          <w:highlight w:val="none"/>
        </w:rPr>
        <w:t>影响或者可能影响</w:t>
      </w:r>
      <w:r>
        <w:rPr>
          <w:rFonts w:hint="eastAsia" w:cs="宋体"/>
          <w:color w:val="auto"/>
          <w:kern w:val="0"/>
          <w:highlight w:val="none"/>
        </w:rPr>
        <w:t>成交</w:t>
      </w:r>
      <w:r>
        <w:rPr>
          <w:rFonts w:hint="eastAsia" w:cs="宋体"/>
          <w:color w:val="auto"/>
          <w:highlight w:val="none"/>
        </w:rPr>
        <w:t>、成交结果的，依照下列规定处理：</w:t>
      </w:r>
    </w:p>
    <w:p>
      <w:pPr>
        <w:pStyle w:val="27"/>
        <w:snapToGrid w:val="0"/>
        <w:spacing w:line="570" w:lineRule="exact"/>
        <w:ind w:firstLine="600" w:firstLineChars="250"/>
        <w:rPr>
          <w:rFonts w:cs="宋体"/>
          <w:color w:val="auto"/>
          <w:highlight w:val="none"/>
        </w:rPr>
      </w:pPr>
      <w:r>
        <w:rPr>
          <w:rFonts w:hint="eastAsia" w:cs="宋体"/>
          <w:color w:val="auto"/>
          <w:highlight w:val="none"/>
        </w:rPr>
        <w:t>7.1未确定</w:t>
      </w:r>
      <w:r>
        <w:rPr>
          <w:rFonts w:hint="eastAsia" w:cs="宋体"/>
          <w:color w:val="auto"/>
          <w:kern w:val="0"/>
          <w:highlight w:val="none"/>
        </w:rPr>
        <w:t>成交</w:t>
      </w:r>
      <w:r>
        <w:rPr>
          <w:rFonts w:hint="eastAsia" w:cs="宋体"/>
          <w:color w:val="auto"/>
          <w:highlight w:val="none"/>
        </w:rPr>
        <w:t>或者成交人的，终止本次交易活动，重新开展交易活动。</w:t>
      </w:r>
    </w:p>
    <w:p>
      <w:pPr>
        <w:pStyle w:val="27"/>
        <w:snapToGrid w:val="0"/>
        <w:spacing w:line="570" w:lineRule="exact"/>
        <w:ind w:firstLine="600" w:firstLineChars="250"/>
        <w:rPr>
          <w:rFonts w:cs="宋体"/>
          <w:color w:val="auto"/>
          <w:highlight w:val="none"/>
        </w:rPr>
      </w:pPr>
      <w:r>
        <w:rPr>
          <w:rFonts w:hint="eastAsia" w:cs="宋体"/>
          <w:color w:val="auto"/>
          <w:highlight w:val="none"/>
        </w:rPr>
        <w:t>7.2已确定</w:t>
      </w:r>
      <w:r>
        <w:rPr>
          <w:rFonts w:hint="eastAsia" w:cs="宋体"/>
          <w:color w:val="auto"/>
          <w:kern w:val="0"/>
          <w:highlight w:val="none"/>
        </w:rPr>
        <w:t>成交</w:t>
      </w:r>
      <w:r>
        <w:rPr>
          <w:rFonts w:hint="eastAsia" w:cs="宋体"/>
          <w:color w:val="auto"/>
          <w:highlight w:val="none"/>
        </w:rPr>
        <w:t>或者成交人但尚未签订合同的，</w:t>
      </w:r>
      <w:r>
        <w:rPr>
          <w:rFonts w:hint="eastAsia" w:cs="宋体"/>
          <w:color w:val="auto"/>
          <w:kern w:val="0"/>
          <w:highlight w:val="none"/>
        </w:rPr>
        <w:t>成交</w:t>
      </w:r>
      <w:r>
        <w:rPr>
          <w:rFonts w:hint="eastAsia" w:cs="宋体"/>
          <w:color w:val="auto"/>
          <w:highlight w:val="none"/>
        </w:rPr>
        <w:t>或者成交结果无效，从合格的</w:t>
      </w:r>
      <w:r>
        <w:rPr>
          <w:rFonts w:hint="eastAsia" w:cs="宋体"/>
          <w:color w:val="auto"/>
          <w:kern w:val="0"/>
          <w:highlight w:val="none"/>
        </w:rPr>
        <w:t>成交</w:t>
      </w:r>
      <w:r>
        <w:rPr>
          <w:rFonts w:hint="eastAsia" w:cs="宋体"/>
          <w:color w:val="auto"/>
          <w:highlight w:val="none"/>
        </w:rPr>
        <w:t>或者成交候选人中另行确定</w:t>
      </w:r>
      <w:r>
        <w:rPr>
          <w:rFonts w:hint="eastAsia" w:cs="宋体"/>
          <w:color w:val="auto"/>
          <w:kern w:val="0"/>
          <w:highlight w:val="none"/>
        </w:rPr>
        <w:t>成交</w:t>
      </w:r>
      <w:r>
        <w:rPr>
          <w:rFonts w:hint="eastAsia" w:cs="宋体"/>
          <w:color w:val="auto"/>
          <w:highlight w:val="none"/>
        </w:rPr>
        <w:t>或者成交人；没有合格的</w:t>
      </w:r>
      <w:r>
        <w:rPr>
          <w:rFonts w:hint="eastAsia" w:cs="宋体"/>
          <w:color w:val="auto"/>
          <w:kern w:val="0"/>
          <w:highlight w:val="none"/>
        </w:rPr>
        <w:t>成交</w:t>
      </w:r>
      <w:r>
        <w:rPr>
          <w:rFonts w:hint="eastAsia" w:cs="宋体"/>
          <w:color w:val="auto"/>
          <w:highlight w:val="none"/>
        </w:rPr>
        <w:t>或者成交候选人的，重新开展交易活动。</w:t>
      </w:r>
    </w:p>
    <w:p>
      <w:pPr>
        <w:pStyle w:val="27"/>
        <w:snapToGrid w:val="0"/>
        <w:spacing w:line="570" w:lineRule="exact"/>
        <w:ind w:firstLine="600" w:firstLineChars="250"/>
        <w:rPr>
          <w:rFonts w:cs="宋体"/>
          <w:color w:val="auto"/>
          <w:highlight w:val="none"/>
        </w:rPr>
      </w:pPr>
      <w:r>
        <w:rPr>
          <w:rFonts w:hint="eastAsia" w:cs="宋体"/>
          <w:color w:val="auto"/>
          <w:highlight w:val="none"/>
        </w:rPr>
        <w:t>7.3书面合同已签订但尚未履行的，撤销合同，从合格的</w:t>
      </w:r>
      <w:r>
        <w:rPr>
          <w:rFonts w:hint="eastAsia" w:cs="宋体"/>
          <w:color w:val="auto"/>
          <w:kern w:val="0"/>
          <w:highlight w:val="none"/>
        </w:rPr>
        <w:t>成交</w:t>
      </w:r>
      <w:r>
        <w:rPr>
          <w:rFonts w:hint="eastAsia" w:cs="宋体"/>
          <w:color w:val="auto"/>
          <w:highlight w:val="none"/>
        </w:rPr>
        <w:t>或者成交候选人中另行确定</w:t>
      </w:r>
      <w:r>
        <w:rPr>
          <w:rFonts w:hint="eastAsia" w:cs="宋体"/>
          <w:color w:val="auto"/>
          <w:kern w:val="0"/>
          <w:highlight w:val="none"/>
        </w:rPr>
        <w:t>成交</w:t>
      </w:r>
      <w:r>
        <w:rPr>
          <w:rFonts w:hint="eastAsia" w:cs="宋体"/>
          <w:color w:val="auto"/>
          <w:highlight w:val="none"/>
        </w:rPr>
        <w:t>或者成交人；没有合格的</w:t>
      </w:r>
      <w:r>
        <w:rPr>
          <w:rFonts w:hint="eastAsia" w:cs="宋体"/>
          <w:color w:val="auto"/>
          <w:kern w:val="0"/>
          <w:highlight w:val="none"/>
        </w:rPr>
        <w:t>成交</w:t>
      </w:r>
      <w:r>
        <w:rPr>
          <w:rFonts w:hint="eastAsia" w:cs="宋体"/>
          <w:color w:val="auto"/>
          <w:highlight w:val="none"/>
        </w:rPr>
        <w:t>或者成交候选人的，重新开展交易活动。</w:t>
      </w:r>
    </w:p>
    <w:p>
      <w:pPr>
        <w:pStyle w:val="27"/>
        <w:snapToGrid w:val="0"/>
        <w:spacing w:line="570" w:lineRule="exact"/>
        <w:rPr>
          <w:rFonts w:cs="宋体"/>
          <w:color w:val="auto"/>
          <w:highlight w:val="none"/>
        </w:rPr>
      </w:pPr>
      <w:r>
        <w:rPr>
          <w:rFonts w:hint="eastAsia" w:cs="宋体"/>
          <w:color w:val="auto"/>
          <w:highlight w:val="none"/>
        </w:rPr>
        <w:t>7.4书面合同已经履行，给交易发起人、响应人造成损失的，由责任人承担赔偿责任。</w:t>
      </w:r>
    </w:p>
    <w:p>
      <w:pPr>
        <w:pStyle w:val="27"/>
        <w:snapToGrid w:val="0"/>
        <w:spacing w:line="570" w:lineRule="exact"/>
        <w:rPr>
          <w:rFonts w:cs="宋体"/>
          <w:color w:val="auto"/>
          <w:highlight w:val="none"/>
        </w:rPr>
      </w:pPr>
      <w:r>
        <w:rPr>
          <w:rFonts w:hint="eastAsia" w:cs="宋体"/>
          <w:color w:val="auto"/>
          <w:highlight w:val="none"/>
        </w:rPr>
        <w:t>7.5交易当事人有其他违反政府采购法</w:t>
      </w:r>
      <w:r>
        <w:rPr>
          <w:rFonts w:hint="eastAsia" w:cs="宋体"/>
          <w:color w:val="auto"/>
          <w:kern w:val="0"/>
          <w:highlight w:val="none"/>
        </w:rPr>
        <w:t>或者政府采购法实施条例等法律法规规定</w:t>
      </w:r>
      <w:r>
        <w:rPr>
          <w:rFonts w:hint="eastAsia" w:cs="宋体"/>
          <w:color w:val="auto"/>
          <w:highlight w:val="none"/>
        </w:rPr>
        <w:t>的行为，经改正后仍然影响或者可能影响</w:t>
      </w:r>
      <w:r>
        <w:rPr>
          <w:rFonts w:hint="eastAsia" w:cs="宋体"/>
          <w:color w:val="auto"/>
          <w:kern w:val="0"/>
          <w:highlight w:val="none"/>
        </w:rPr>
        <w:t>成交</w:t>
      </w:r>
      <w:r>
        <w:rPr>
          <w:rFonts w:hint="eastAsia" w:cs="宋体"/>
          <w:color w:val="auto"/>
          <w:highlight w:val="none"/>
        </w:rPr>
        <w:t>、成交结果或者依法被认定为</w:t>
      </w:r>
      <w:r>
        <w:rPr>
          <w:rFonts w:hint="eastAsia" w:cs="宋体"/>
          <w:color w:val="auto"/>
          <w:kern w:val="0"/>
          <w:highlight w:val="none"/>
        </w:rPr>
        <w:t>成交</w:t>
      </w:r>
      <w:r>
        <w:rPr>
          <w:rFonts w:hint="eastAsia" w:cs="宋体"/>
          <w:color w:val="auto"/>
          <w:highlight w:val="none"/>
        </w:rPr>
        <w:t>、成交无效的，依照7.1-7.4规定处理。</w:t>
      </w:r>
    </w:p>
    <w:p>
      <w:pPr>
        <w:pStyle w:val="27"/>
        <w:snapToGrid w:val="0"/>
        <w:spacing w:line="360" w:lineRule="auto"/>
        <w:rPr>
          <w:rFonts w:cs="宋体"/>
          <w:color w:val="auto"/>
          <w:highlight w:val="none"/>
        </w:rPr>
      </w:pPr>
      <w:r>
        <w:rPr>
          <w:rFonts w:hint="eastAsia" w:cs="宋体"/>
          <w:color w:val="auto"/>
          <w:highlight w:val="none"/>
        </w:rPr>
        <w:t xml:space="preserve"> </w:t>
      </w:r>
    </w:p>
    <w:p>
      <w:pPr>
        <w:pStyle w:val="19"/>
        <w:rPr>
          <w:rFonts w:hAnsi="宋体" w:cs="宋体"/>
          <w:color w:val="auto"/>
          <w:highlight w:val="none"/>
        </w:rPr>
      </w:pPr>
    </w:p>
    <w:p>
      <w:pPr>
        <w:rPr>
          <w:rFonts w:ascii="宋体" w:hAnsi="宋体" w:cs="宋体"/>
          <w:color w:val="auto"/>
          <w:highlight w:val="none"/>
        </w:rPr>
      </w:pPr>
    </w:p>
    <w:p>
      <w:pPr>
        <w:rPr>
          <w:rFonts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18" w:leftChars="342" w:firstLine="119" w:firstLineChars="33"/>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pStyle w:val="27"/>
        <w:snapToGrid w:val="0"/>
        <w:spacing w:line="360" w:lineRule="auto"/>
        <w:rPr>
          <w:rFonts w:cs="宋体"/>
          <w:color w:val="auto"/>
          <w:highlight w:val="none"/>
        </w:rPr>
      </w:pPr>
      <w:r>
        <w:rPr>
          <w:rFonts w:hint="eastAsia" w:cs="宋体"/>
          <w:color w:val="auto"/>
          <w:highlight w:val="none"/>
        </w:rPr>
        <w:t>合同编号：</w:t>
      </w:r>
    </w:p>
    <w:p>
      <w:pPr>
        <w:pStyle w:val="27"/>
        <w:snapToGrid w:val="0"/>
        <w:spacing w:line="360" w:lineRule="auto"/>
        <w:rPr>
          <w:rFonts w:cs="宋体"/>
          <w:color w:val="auto"/>
          <w:highlight w:val="none"/>
        </w:rPr>
      </w:pPr>
      <w:r>
        <w:rPr>
          <w:rFonts w:hint="eastAsia" w:cs="宋体"/>
          <w:color w:val="auto"/>
          <w:highlight w:val="none"/>
        </w:rPr>
        <w:t>签订地点：                                 签订时间：2023年  月  日</w:t>
      </w:r>
    </w:p>
    <w:p>
      <w:pPr>
        <w:pStyle w:val="27"/>
        <w:snapToGrid w:val="0"/>
        <w:spacing w:line="360" w:lineRule="auto"/>
        <w:rPr>
          <w:rFonts w:cs="宋体"/>
          <w:color w:val="auto"/>
          <w:highlight w:val="none"/>
        </w:rPr>
      </w:pPr>
      <w:r>
        <w:rPr>
          <w:rFonts w:hint="eastAsia" w:cs="宋体"/>
          <w:color w:val="auto"/>
          <w:highlight w:val="none"/>
        </w:rPr>
        <w:t>项目名称：</w:t>
      </w:r>
    </w:p>
    <w:p>
      <w:pPr>
        <w:pStyle w:val="27"/>
        <w:snapToGrid w:val="0"/>
        <w:spacing w:line="360" w:lineRule="auto"/>
        <w:rPr>
          <w:rFonts w:cs="宋体"/>
          <w:color w:val="auto"/>
          <w:highlight w:val="none"/>
        </w:rPr>
      </w:pPr>
      <w:r>
        <w:rPr>
          <w:rFonts w:hint="eastAsia" w:cs="宋体"/>
          <w:color w:val="auto"/>
          <w:highlight w:val="none"/>
        </w:rPr>
        <w:t xml:space="preserve">甲方（需方）：                                     </w:t>
      </w:r>
    </w:p>
    <w:p>
      <w:pPr>
        <w:pStyle w:val="27"/>
        <w:snapToGrid w:val="0"/>
        <w:spacing w:line="360" w:lineRule="auto"/>
        <w:rPr>
          <w:rFonts w:cs="宋体"/>
          <w:color w:val="auto"/>
          <w:highlight w:val="none"/>
        </w:rPr>
      </w:pPr>
      <w:r>
        <w:rPr>
          <w:rFonts w:hint="eastAsia" w:cs="宋体"/>
          <w:color w:val="auto"/>
          <w:highlight w:val="none"/>
        </w:rPr>
        <w:t xml:space="preserve">乙方（供方）：                                     </w:t>
      </w:r>
    </w:p>
    <w:p>
      <w:pPr>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highlight w:val="none"/>
        </w:rPr>
        <w:t>供、需双方根据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项目（交易编号  -  -   ）成交结果和公开竞争文件的要求，并经双方协调一致，订立本合同。</w:t>
      </w:r>
    </w:p>
    <w:p>
      <w:pPr>
        <w:pStyle w:val="27"/>
        <w:snapToGrid w:val="0"/>
        <w:spacing w:line="360" w:lineRule="auto"/>
        <w:rPr>
          <w:rFonts w:cs="宋体"/>
          <w:color w:val="auto"/>
          <w:highlight w:val="none"/>
        </w:rPr>
      </w:pPr>
      <w:r>
        <w:rPr>
          <w:rFonts w:hint="eastAsia" w:cs="宋体"/>
          <w:color w:val="auto"/>
          <w:highlight w:val="none"/>
        </w:rPr>
        <w:t>一、合同文件：</w:t>
      </w:r>
    </w:p>
    <w:p>
      <w:pPr>
        <w:pStyle w:val="27"/>
        <w:snapToGrid w:val="0"/>
        <w:spacing w:line="360" w:lineRule="auto"/>
        <w:rPr>
          <w:rFonts w:cs="宋体"/>
          <w:color w:val="auto"/>
          <w:highlight w:val="none"/>
        </w:rPr>
      </w:pPr>
      <w:r>
        <w:rPr>
          <w:rFonts w:hint="eastAsia" w:cs="宋体"/>
          <w:color w:val="auto"/>
          <w:highlight w:val="none"/>
        </w:rPr>
        <w:t>1、合同条款。</w:t>
      </w:r>
    </w:p>
    <w:p>
      <w:pPr>
        <w:pStyle w:val="27"/>
        <w:snapToGrid w:val="0"/>
        <w:spacing w:line="360" w:lineRule="auto"/>
        <w:rPr>
          <w:rFonts w:cs="宋体"/>
          <w:color w:val="auto"/>
          <w:highlight w:val="none"/>
        </w:rPr>
      </w:pPr>
      <w:r>
        <w:rPr>
          <w:rFonts w:hint="eastAsia" w:cs="宋体"/>
          <w:color w:val="auto"/>
          <w:highlight w:val="none"/>
        </w:rPr>
        <w:t>2、成交通知书。</w:t>
      </w:r>
    </w:p>
    <w:p>
      <w:pPr>
        <w:pStyle w:val="27"/>
        <w:snapToGrid w:val="0"/>
        <w:spacing w:line="360" w:lineRule="auto"/>
        <w:rPr>
          <w:rFonts w:cs="宋体"/>
          <w:color w:val="auto"/>
          <w:highlight w:val="none"/>
        </w:rPr>
      </w:pPr>
      <w:r>
        <w:rPr>
          <w:rFonts w:hint="eastAsia" w:cs="宋体"/>
          <w:color w:val="auto"/>
          <w:highlight w:val="none"/>
        </w:rPr>
        <w:t>3、公开竞争文件。</w:t>
      </w:r>
    </w:p>
    <w:p>
      <w:pPr>
        <w:pStyle w:val="27"/>
        <w:snapToGrid w:val="0"/>
        <w:spacing w:line="360" w:lineRule="auto"/>
        <w:rPr>
          <w:rFonts w:cs="宋体"/>
          <w:color w:val="auto"/>
          <w:highlight w:val="none"/>
        </w:rPr>
      </w:pPr>
      <w:r>
        <w:rPr>
          <w:rFonts w:hint="eastAsia" w:cs="宋体"/>
          <w:color w:val="auto"/>
          <w:highlight w:val="none"/>
        </w:rPr>
        <w:t>4、更正公告。</w:t>
      </w:r>
    </w:p>
    <w:p>
      <w:pPr>
        <w:pStyle w:val="27"/>
        <w:snapToGrid w:val="0"/>
        <w:spacing w:line="360" w:lineRule="auto"/>
        <w:rPr>
          <w:rFonts w:cs="宋体"/>
          <w:color w:val="auto"/>
          <w:highlight w:val="none"/>
        </w:rPr>
      </w:pPr>
      <w:r>
        <w:rPr>
          <w:rFonts w:hint="eastAsia" w:cs="宋体"/>
          <w:color w:val="auto"/>
          <w:highlight w:val="none"/>
        </w:rPr>
        <w:t>5、成交单位响应文件。</w:t>
      </w:r>
    </w:p>
    <w:p>
      <w:pPr>
        <w:pStyle w:val="27"/>
        <w:snapToGrid w:val="0"/>
        <w:spacing w:line="360" w:lineRule="auto"/>
        <w:rPr>
          <w:rFonts w:cs="宋体"/>
          <w:color w:val="auto"/>
          <w:highlight w:val="none"/>
        </w:rPr>
      </w:pPr>
      <w:r>
        <w:rPr>
          <w:rFonts w:hint="eastAsia" w:cs="宋体"/>
          <w:color w:val="auto"/>
          <w:highlight w:val="none"/>
        </w:rPr>
        <w:t>6、其他。</w:t>
      </w:r>
    </w:p>
    <w:p>
      <w:pPr>
        <w:pStyle w:val="27"/>
        <w:snapToGrid w:val="0"/>
        <w:spacing w:line="360" w:lineRule="auto"/>
        <w:rPr>
          <w:rFonts w:cs="宋体"/>
          <w:color w:val="auto"/>
          <w:highlight w:val="none"/>
        </w:rPr>
      </w:pPr>
      <w:r>
        <w:rPr>
          <w:rFonts w:hint="eastAsia" w:cs="宋体"/>
          <w:color w:val="auto"/>
          <w:highlight w:val="none"/>
        </w:rPr>
        <w:t>二、合同金额: 本合同金额为（大写）</w:t>
      </w:r>
      <w:r>
        <w:rPr>
          <w:rFonts w:hint="eastAsia" w:cs="宋体"/>
          <w:color w:val="auto"/>
          <w:highlight w:val="none"/>
          <w:u w:val="single"/>
        </w:rPr>
        <w:t>　　　　</w:t>
      </w:r>
      <w:r>
        <w:rPr>
          <w:rFonts w:hint="eastAsia" w:cs="宋体"/>
          <w:color w:val="auto"/>
          <w:highlight w:val="none"/>
        </w:rPr>
        <w:t>元（￥</w:t>
      </w:r>
      <w:r>
        <w:rPr>
          <w:rFonts w:hint="eastAsia" w:cs="宋体"/>
          <w:color w:val="auto"/>
          <w:highlight w:val="none"/>
          <w:u w:val="single"/>
        </w:rPr>
        <w:t>　　　　</w:t>
      </w:r>
      <w:r>
        <w:rPr>
          <w:rFonts w:hint="eastAsia" w:cs="宋体"/>
          <w:color w:val="auto"/>
          <w:highlight w:val="none"/>
        </w:rPr>
        <w:t>元）人民币。</w:t>
      </w:r>
    </w:p>
    <w:p>
      <w:pPr>
        <w:pStyle w:val="27"/>
        <w:snapToGrid w:val="0"/>
        <w:spacing w:line="360" w:lineRule="auto"/>
        <w:rPr>
          <w:rFonts w:cs="宋体"/>
          <w:color w:val="auto"/>
          <w:highlight w:val="none"/>
        </w:rPr>
      </w:pPr>
      <w:r>
        <w:rPr>
          <w:rFonts w:hint="eastAsia" w:cs="宋体"/>
          <w:color w:val="auto"/>
          <w:highlight w:val="none"/>
        </w:rPr>
        <w:t>附：</w:t>
      </w:r>
    </w:p>
    <w:p>
      <w:pPr>
        <w:pStyle w:val="27"/>
        <w:snapToGrid w:val="0"/>
        <w:spacing w:line="360" w:lineRule="auto"/>
        <w:rPr>
          <w:rFonts w:cs="宋体"/>
          <w:color w:val="auto"/>
          <w:highlight w:val="none"/>
        </w:rPr>
      </w:pPr>
      <w:r>
        <w:rPr>
          <w:rFonts w:hint="eastAsia" w:cs="宋体"/>
          <w:color w:val="auto"/>
          <w:highlight w:val="none"/>
        </w:rPr>
        <w:t>《项目清单内容》</w:t>
      </w:r>
    </w:p>
    <w:tbl>
      <w:tblPr>
        <w:tblStyle w:val="65"/>
        <w:tblW w:w="8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637"/>
        <w:gridCol w:w="1972"/>
        <w:gridCol w:w="961"/>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成交内容</w:t>
            </w: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2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成交总价（元）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pStyle w:val="27"/>
        <w:snapToGrid w:val="0"/>
        <w:spacing w:line="360" w:lineRule="auto"/>
        <w:rPr>
          <w:rFonts w:cs="宋体"/>
          <w:color w:val="auto"/>
          <w:highlight w:val="none"/>
        </w:rPr>
      </w:pPr>
      <w:r>
        <w:rPr>
          <w:rFonts w:hint="eastAsia" w:cs="宋体"/>
          <w:color w:val="auto"/>
          <w:highlight w:val="none"/>
        </w:rPr>
        <w:t>三、技术资料</w:t>
      </w:r>
    </w:p>
    <w:p>
      <w:pPr>
        <w:pStyle w:val="27"/>
        <w:snapToGrid w:val="0"/>
        <w:spacing w:line="360" w:lineRule="auto"/>
        <w:rPr>
          <w:rFonts w:cs="宋体"/>
          <w:color w:val="auto"/>
          <w:highlight w:val="none"/>
        </w:rPr>
      </w:pPr>
      <w:r>
        <w:rPr>
          <w:rFonts w:hint="eastAsia" w:cs="宋体"/>
          <w:color w:val="auto"/>
          <w:highlight w:val="none"/>
        </w:rPr>
        <w:t>1.乙方应按公开竞争文件规定的时间向甲方提供有关技术资料。</w:t>
      </w:r>
    </w:p>
    <w:p>
      <w:pPr>
        <w:pStyle w:val="27"/>
        <w:snapToGrid w:val="0"/>
        <w:spacing w:line="360" w:lineRule="auto"/>
        <w:rPr>
          <w:rFonts w:cs="宋体"/>
          <w:color w:val="auto"/>
          <w:highlight w:val="none"/>
        </w:rPr>
      </w:pPr>
      <w:r>
        <w:rPr>
          <w:rFonts w:hint="eastAsia" w:cs="宋体"/>
          <w:color w:val="auto"/>
          <w:highlight w:val="none"/>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27"/>
        <w:snapToGrid w:val="0"/>
        <w:spacing w:line="360" w:lineRule="auto"/>
        <w:rPr>
          <w:rFonts w:cs="宋体"/>
          <w:color w:val="auto"/>
          <w:highlight w:val="none"/>
        </w:rPr>
      </w:pPr>
      <w:r>
        <w:rPr>
          <w:rFonts w:hint="eastAsia" w:cs="宋体"/>
          <w:color w:val="auto"/>
          <w:highlight w:val="none"/>
        </w:rPr>
        <w:t>四、转包或分包</w:t>
      </w:r>
    </w:p>
    <w:p>
      <w:pPr>
        <w:pStyle w:val="27"/>
        <w:snapToGrid w:val="0"/>
        <w:spacing w:line="360" w:lineRule="auto"/>
        <w:rPr>
          <w:rFonts w:cs="宋体"/>
          <w:color w:val="auto"/>
          <w:highlight w:val="none"/>
        </w:rPr>
      </w:pPr>
      <w:r>
        <w:rPr>
          <w:rFonts w:hint="eastAsia" w:cs="宋体"/>
          <w:color w:val="auto"/>
          <w:highlight w:val="none"/>
        </w:rPr>
        <w:t>1.本合同范围的服务，应由乙方直接提供，乙方不得将本合同范围的服务全部或部分分包给他人供应；</w:t>
      </w:r>
    </w:p>
    <w:p>
      <w:pPr>
        <w:pStyle w:val="27"/>
        <w:snapToGrid w:val="0"/>
        <w:spacing w:line="360" w:lineRule="auto"/>
        <w:rPr>
          <w:rFonts w:cs="宋体"/>
          <w:color w:val="auto"/>
          <w:highlight w:val="none"/>
        </w:rPr>
      </w:pPr>
      <w:r>
        <w:rPr>
          <w:rFonts w:hint="eastAsia" w:cs="宋体"/>
          <w:color w:val="auto"/>
          <w:highlight w:val="none"/>
        </w:rPr>
        <w:t>2.如有转让和未经甲方同意的分包行为，甲方有权解除合同，追究乙方的违约责任。</w:t>
      </w:r>
    </w:p>
    <w:p>
      <w:pPr>
        <w:pStyle w:val="27"/>
        <w:snapToGrid w:val="0"/>
        <w:spacing w:line="360" w:lineRule="auto"/>
        <w:rPr>
          <w:rFonts w:cs="宋体"/>
          <w:color w:val="auto"/>
          <w:highlight w:val="none"/>
        </w:rPr>
      </w:pPr>
      <w:r>
        <w:rPr>
          <w:rFonts w:hint="eastAsia" w:cs="宋体"/>
          <w:color w:val="auto"/>
          <w:highlight w:val="none"/>
        </w:rPr>
        <w:t>五、服务质量保证期</w:t>
      </w:r>
    </w:p>
    <w:p>
      <w:pPr>
        <w:pStyle w:val="27"/>
        <w:snapToGrid w:val="0"/>
        <w:spacing w:line="360" w:lineRule="auto"/>
        <w:rPr>
          <w:rFonts w:cs="宋体"/>
          <w:color w:val="auto"/>
          <w:highlight w:val="none"/>
        </w:rPr>
      </w:pPr>
      <w:r>
        <w:rPr>
          <w:rFonts w:hint="eastAsia" w:cs="宋体"/>
          <w:color w:val="auto"/>
          <w:highlight w:val="none"/>
        </w:rPr>
        <w:t>1. 服务时间：</w:t>
      </w:r>
    </w:p>
    <w:p>
      <w:pPr>
        <w:pStyle w:val="27"/>
        <w:snapToGrid w:val="0"/>
        <w:spacing w:line="360" w:lineRule="auto"/>
        <w:rPr>
          <w:rFonts w:cs="宋体"/>
          <w:color w:val="auto"/>
          <w:highlight w:val="none"/>
        </w:rPr>
      </w:pPr>
      <w:r>
        <w:rPr>
          <w:rFonts w:hint="eastAsia" w:cs="宋体"/>
          <w:color w:val="auto"/>
          <w:highlight w:val="none"/>
        </w:rPr>
        <w:t>六、合同履行时间、履行方式及履行地点</w:t>
      </w:r>
    </w:p>
    <w:p>
      <w:pPr>
        <w:pStyle w:val="27"/>
        <w:snapToGrid w:val="0"/>
        <w:spacing w:line="360" w:lineRule="auto"/>
        <w:rPr>
          <w:rFonts w:cs="宋体"/>
          <w:color w:val="auto"/>
          <w:highlight w:val="none"/>
        </w:rPr>
      </w:pPr>
      <w:r>
        <w:rPr>
          <w:rFonts w:hint="eastAsia" w:cs="宋体"/>
          <w:color w:val="auto"/>
          <w:highlight w:val="none"/>
        </w:rPr>
        <w:t>1. 履行时间：</w:t>
      </w:r>
    </w:p>
    <w:p>
      <w:pPr>
        <w:pStyle w:val="27"/>
        <w:snapToGrid w:val="0"/>
        <w:spacing w:line="360" w:lineRule="auto"/>
        <w:rPr>
          <w:rFonts w:cs="宋体"/>
          <w:color w:val="auto"/>
          <w:highlight w:val="none"/>
        </w:rPr>
      </w:pPr>
      <w:r>
        <w:rPr>
          <w:rFonts w:hint="eastAsia" w:cs="宋体"/>
          <w:color w:val="auto"/>
          <w:highlight w:val="none"/>
        </w:rPr>
        <w:t>2. 履行方式：按合同履行。</w:t>
      </w:r>
    </w:p>
    <w:p>
      <w:pPr>
        <w:pStyle w:val="27"/>
        <w:snapToGrid w:val="0"/>
        <w:spacing w:line="360" w:lineRule="auto"/>
        <w:rPr>
          <w:rFonts w:cs="宋体"/>
          <w:color w:val="auto"/>
          <w:highlight w:val="none"/>
        </w:rPr>
      </w:pPr>
      <w:r>
        <w:rPr>
          <w:rFonts w:hint="eastAsia" w:cs="宋体"/>
          <w:color w:val="auto"/>
          <w:highlight w:val="none"/>
        </w:rPr>
        <w:t>3. 履行地点：甲方指定地点内。</w:t>
      </w:r>
    </w:p>
    <w:p>
      <w:pPr>
        <w:pStyle w:val="27"/>
        <w:snapToGrid w:val="0"/>
        <w:spacing w:line="360" w:lineRule="auto"/>
        <w:rPr>
          <w:rFonts w:cs="宋体"/>
          <w:color w:val="auto"/>
          <w:highlight w:val="none"/>
        </w:rPr>
      </w:pPr>
      <w:r>
        <w:rPr>
          <w:rFonts w:hint="eastAsia" w:cs="宋体"/>
          <w:color w:val="auto"/>
          <w:highlight w:val="none"/>
        </w:rPr>
        <w:t>七、款项支付</w:t>
      </w:r>
    </w:p>
    <w:p>
      <w:pPr>
        <w:pStyle w:val="27"/>
        <w:snapToGrid w:val="0"/>
        <w:spacing w:line="360" w:lineRule="auto"/>
        <w:rPr>
          <w:rFonts w:cs="宋体"/>
          <w:color w:val="auto"/>
          <w:highlight w:val="none"/>
        </w:rPr>
      </w:pPr>
      <w:r>
        <w:rPr>
          <w:rFonts w:hint="eastAsia" w:cs="宋体"/>
          <w:color w:val="auto"/>
          <w:highlight w:val="none"/>
        </w:rPr>
        <w:t>参照交易需求。</w:t>
      </w:r>
    </w:p>
    <w:p>
      <w:pPr>
        <w:pStyle w:val="27"/>
        <w:snapToGrid w:val="0"/>
        <w:spacing w:line="360" w:lineRule="auto"/>
        <w:rPr>
          <w:rFonts w:cs="宋体"/>
          <w:color w:val="auto"/>
          <w:highlight w:val="none"/>
        </w:rPr>
      </w:pPr>
      <w:r>
        <w:rPr>
          <w:rFonts w:hint="eastAsia" w:cs="宋体"/>
          <w:color w:val="auto"/>
          <w:highlight w:val="none"/>
        </w:rPr>
        <w:t>十、税费</w:t>
      </w:r>
    </w:p>
    <w:p>
      <w:pPr>
        <w:pStyle w:val="27"/>
        <w:snapToGrid w:val="0"/>
        <w:spacing w:line="360" w:lineRule="auto"/>
        <w:rPr>
          <w:rFonts w:cs="宋体"/>
          <w:color w:val="auto"/>
          <w:highlight w:val="none"/>
        </w:rPr>
      </w:pPr>
      <w:r>
        <w:rPr>
          <w:rFonts w:hint="eastAsia" w:cs="宋体"/>
          <w:color w:val="auto"/>
          <w:highlight w:val="none"/>
        </w:rPr>
        <w:t>本合同执行中相关的一切税费均由乙方负担。</w:t>
      </w:r>
    </w:p>
    <w:p>
      <w:pPr>
        <w:pStyle w:val="27"/>
        <w:snapToGrid w:val="0"/>
        <w:spacing w:line="360" w:lineRule="auto"/>
        <w:rPr>
          <w:rFonts w:cs="宋体"/>
          <w:color w:val="auto"/>
          <w:highlight w:val="none"/>
        </w:rPr>
      </w:pPr>
      <w:r>
        <w:rPr>
          <w:rFonts w:hint="eastAsia" w:cs="宋体"/>
          <w:color w:val="auto"/>
          <w:highlight w:val="none"/>
        </w:rPr>
        <w:t>十一、质量保证及后续服务</w:t>
      </w:r>
    </w:p>
    <w:p>
      <w:pPr>
        <w:pStyle w:val="27"/>
        <w:snapToGrid w:val="0"/>
        <w:spacing w:line="360" w:lineRule="auto"/>
        <w:rPr>
          <w:rFonts w:cs="宋体"/>
          <w:color w:val="auto"/>
          <w:highlight w:val="none"/>
        </w:rPr>
      </w:pPr>
      <w:r>
        <w:rPr>
          <w:rFonts w:hint="eastAsia" w:cs="宋体"/>
          <w:color w:val="auto"/>
          <w:highlight w:val="none"/>
        </w:rPr>
        <w:t>1. 乙方应按公开竞争文件规定向甲方提供服务。</w:t>
      </w:r>
    </w:p>
    <w:p>
      <w:pPr>
        <w:pStyle w:val="27"/>
        <w:snapToGrid w:val="0"/>
        <w:spacing w:line="360" w:lineRule="auto"/>
        <w:rPr>
          <w:rFonts w:cs="宋体"/>
          <w:color w:val="auto"/>
          <w:highlight w:val="none"/>
        </w:rPr>
      </w:pPr>
      <w:r>
        <w:rPr>
          <w:rFonts w:hint="eastAsia" w:cs="宋体"/>
          <w:color w:val="auto"/>
          <w:highlight w:val="none"/>
        </w:rPr>
        <w:t>2. 乙方提供的服务发生问题或产出重大不良影响的，除按结算条款扣除结算金额外，乙方应负责免费提供后续善后服务，同时承担相应责任。</w:t>
      </w:r>
    </w:p>
    <w:p>
      <w:pPr>
        <w:pStyle w:val="27"/>
        <w:snapToGrid w:val="0"/>
        <w:spacing w:line="360" w:lineRule="auto"/>
        <w:rPr>
          <w:rFonts w:cs="宋体"/>
          <w:color w:val="auto"/>
          <w:highlight w:val="none"/>
        </w:rPr>
      </w:pPr>
      <w:r>
        <w:rPr>
          <w:rFonts w:hint="eastAsia" w:cs="宋体"/>
          <w:color w:val="auto"/>
          <w:highlight w:val="none"/>
        </w:rPr>
        <w:t>十二、违约责任</w:t>
      </w:r>
    </w:p>
    <w:p>
      <w:pPr>
        <w:pStyle w:val="27"/>
        <w:snapToGrid w:val="0"/>
        <w:spacing w:line="360" w:lineRule="auto"/>
        <w:rPr>
          <w:rFonts w:cs="宋体"/>
          <w:color w:val="auto"/>
          <w:highlight w:val="none"/>
        </w:rPr>
      </w:pPr>
      <w:r>
        <w:rPr>
          <w:rFonts w:hint="eastAsia" w:cs="宋体"/>
          <w:color w:val="auto"/>
          <w:highlight w:val="none"/>
        </w:rPr>
        <w:t>1.甲方无正当理由拒绝接收服务的，甲方向乙方偿付合同款项百分之五作为违约金。</w:t>
      </w:r>
    </w:p>
    <w:p>
      <w:pPr>
        <w:pStyle w:val="27"/>
        <w:snapToGrid w:val="0"/>
        <w:spacing w:line="360" w:lineRule="auto"/>
        <w:rPr>
          <w:rFonts w:cs="宋体"/>
          <w:color w:val="auto"/>
          <w:highlight w:val="none"/>
        </w:rPr>
      </w:pPr>
      <w:r>
        <w:rPr>
          <w:rFonts w:hint="eastAsia" w:cs="宋体"/>
          <w:color w:val="auto"/>
          <w:highlight w:val="none"/>
        </w:rPr>
        <w:t>2.乙方未能如期提供服务的，每日向甲方支付合同款项的千分之六作为违约金。乙方超过约定日期10个工作日仍不能提供服务的，甲方可解除本合同，追究乙赔偿责任。4.如发现乙方违反公开竞争文件、响应文件和合同的有关规定，甲方有权根据约定和《杭州市政府采购响应人合同履行和售后服务考核暂行办法》，对乙方进行处罚，并有权提前终止合同。</w:t>
      </w:r>
    </w:p>
    <w:p>
      <w:pPr>
        <w:pStyle w:val="27"/>
        <w:snapToGrid w:val="0"/>
        <w:spacing w:line="360" w:lineRule="auto"/>
        <w:rPr>
          <w:rFonts w:cs="宋体"/>
          <w:color w:val="auto"/>
          <w:highlight w:val="none"/>
        </w:rPr>
      </w:pPr>
      <w:r>
        <w:rPr>
          <w:rFonts w:hint="eastAsia" w:cs="宋体"/>
          <w:color w:val="auto"/>
          <w:highlight w:val="none"/>
        </w:rPr>
        <w:t>十三、争议的解决</w:t>
      </w:r>
    </w:p>
    <w:p>
      <w:pPr>
        <w:pStyle w:val="27"/>
        <w:snapToGrid w:val="0"/>
        <w:spacing w:line="360" w:lineRule="auto"/>
        <w:rPr>
          <w:rFonts w:cs="宋体"/>
          <w:color w:val="auto"/>
          <w:highlight w:val="none"/>
        </w:rPr>
      </w:pPr>
      <w:r>
        <w:rPr>
          <w:rFonts w:hint="eastAsia" w:cs="宋体"/>
          <w:color w:val="auto"/>
          <w:highlight w:val="none"/>
        </w:rPr>
        <w:t>因本合同引起的或与本合同有关的任何争议，合同双方应首先通过协商解决，达成书面协议，如协商不成，可选择下列方式解决。</w:t>
      </w:r>
    </w:p>
    <w:p>
      <w:pPr>
        <w:pStyle w:val="27"/>
        <w:snapToGrid w:val="0"/>
        <w:spacing w:line="360" w:lineRule="auto"/>
        <w:rPr>
          <w:rFonts w:cs="宋体"/>
          <w:color w:val="auto"/>
          <w:highlight w:val="none"/>
        </w:rPr>
      </w:pPr>
      <w:r>
        <w:rPr>
          <w:rFonts w:hint="eastAsia" w:cs="宋体"/>
          <w:color w:val="auto"/>
          <w:highlight w:val="none"/>
        </w:rPr>
        <w:t>（1）提请杭州仲裁委员会按照该会仲裁规则进行仲裁，仲裁裁决是终局的，对合同双方均有约束力。</w:t>
      </w:r>
    </w:p>
    <w:p>
      <w:pPr>
        <w:pStyle w:val="27"/>
        <w:snapToGrid w:val="0"/>
        <w:spacing w:line="360" w:lineRule="auto"/>
        <w:rPr>
          <w:rFonts w:cs="宋体"/>
          <w:color w:val="auto"/>
          <w:highlight w:val="none"/>
        </w:rPr>
      </w:pPr>
      <w:r>
        <w:rPr>
          <w:rFonts w:hint="eastAsia" w:cs="宋体"/>
          <w:color w:val="auto"/>
          <w:highlight w:val="none"/>
        </w:rPr>
        <w:t>（2）向有管辖权的人民法院提起诉讼。</w:t>
      </w:r>
    </w:p>
    <w:p>
      <w:pPr>
        <w:pStyle w:val="27"/>
        <w:snapToGrid w:val="0"/>
        <w:spacing w:line="360" w:lineRule="auto"/>
        <w:rPr>
          <w:rFonts w:cs="宋体"/>
          <w:color w:val="auto"/>
          <w:highlight w:val="none"/>
        </w:rPr>
      </w:pPr>
      <w:r>
        <w:rPr>
          <w:rFonts w:hint="eastAsia" w:cs="宋体"/>
          <w:color w:val="auto"/>
          <w:highlight w:val="none"/>
        </w:rPr>
        <w:t>十四、合同生效</w:t>
      </w:r>
    </w:p>
    <w:p>
      <w:pPr>
        <w:pStyle w:val="27"/>
        <w:snapToGrid w:val="0"/>
        <w:spacing w:line="360" w:lineRule="auto"/>
        <w:rPr>
          <w:rFonts w:cs="宋体"/>
          <w:color w:val="auto"/>
          <w:highlight w:val="none"/>
        </w:rPr>
      </w:pPr>
      <w:r>
        <w:rPr>
          <w:rFonts w:hint="eastAsia" w:cs="宋体"/>
          <w:color w:val="auto"/>
          <w:highlight w:val="none"/>
        </w:rPr>
        <w:t>1.成交方持成交通知书作为与需方签订合同的凭证。</w:t>
      </w:r>
    </w:p>
    <w:p>
      <w:pPr>
        <w:pStyle w:val="27"/>
        <w:snapToGrid w:val="0"/>
        <w:spacing w:line="360" w:lineRule="auto"/>
        <w:rPr>
          <w:rFonts w:cs="宋体"/>
          <w:color w:val="auto"/>
          <w:highlight w:val="none"/>
        </w:rPr>
      </w:pPr>
      <w:r>
        <w:rPr>
          <w:rFonts w:hint="eastAsia" w:cs="宋体"/>
          <w:color w:val="auto"/>
          <w:highlight w:val="none"/>
        </w:rPr>
        <w:t>2.本合同经需、供双方法定代表人或其授权委托人签字并加盖单位公章后生效。</w:t>
      </w:r>
    </w:p>
    <w:p>
      <w:pPr>
        <w:pStyle w:val="27"/>
        <w:snapToGrid w:val="0"/>
        <w:spacing w:line="360" w:lineRule="auto"/>
        <w:rPr>
          <w:rFonts w:cs="宋体"/>
          <w:color w:val="auto"/>
          <w:highlight w:val="none"/>
        </w:rPr>
      </w:pPr>
    </w:p>
    <w:p>
      <w:pPr>
        <w:pStyle w:val="27"/>
        <w:snapToGrid w:val="0"/>
        <w:spacing w:line="360" w:lineRule="auto"/>
        <w:rPr>
          <w:rFonts w:cs="宋体"/>
          <w:color w:val="auto"/>
          <w:highlight w:val="none"/>
        </w:rPr>
      </w:pPr>
      <w:r>
        <w:rPr>
          <w:rFonts w:hint="eastAsia" w:cs="宋体"/>
          <w:color w:val="auto"/>
          <w:highlight w:val="none"/>
        </w:rPr>
        <w:t>需方（盖章）：                     供方（盖章）：</w:t>
      </w:r>
    </w:p>
    <w:p>
      <w:pPr>
        <w:pStyle w:val="27"/>
        <w:snapToGrid w:val="0"/>
        <w:spacing w:line="360" w:lineRule="auto"/>
        <w:rPr>
          <w:rFonts w:cs="宋体"/>
          <w:color w:val="auto"/>
          <w:highlight w:val="none"/>
        </w:rPr>
      </w:pPr>
      <w:r>
        <w:rPr>
          <w:rFonts w:hint="eastAsia" w:cs="宋体"/>
          <w:color w:val="auto"/>
          <w:highlight w:val="none"/>
        </w:rPr>
        <w:t>地址：                             地址：</w:t>
      </w:r>
    </w:p>
    <w:p>
      <w:pPr>
        <w:pStyle w:val="27"/>
        <w:snapToGrid w:val="0"/>
        <w:spacing w:line="360" w:lineRule="auto"/>
        <w:rPr>
          <w:rFonts w:cs="宋体"/>
          <w:color w:val="auto"/>
          <w:highlight w:val="none"/>
        </w:rPr>
      </w:pPr>
      <w:r>
        <w:rPr>
          <w:rFonts w:hint="eastAsia" w:cs="宋体"/>
          <w:color w:val="auto"/>
          <w:highlight w:val="none"/>
        </w:rPr>
        <w:t>法定代表人（或委托代理人）签名：   法定代表人（或委托代理人）签名：</w:t>
      </w:r>
    </w:p>
    <w:p>
      <w:pPr>
        <w:pStyle w:val="27"/>
        <w:snapToGrid w:val="0"/>
        <w:spacing w:line="360" w:lineRule="auto"/>
        <w:rPr>
          <w:rFonts w:cs="宋体"/>
          <w:color w:val="auto"/>
          <w:highlight w:val="none"/>
        </w:rPr>
      </w:pPr>
      <w:r>
        <w:rPr>
          <w:rFonts w:hint="eastAsia" w:cs="宋体"/>
          <w:color w:val="auto"/>
          <w:highlight w:val="none"/>
        </w:rPr>
        <w:t>联系电话：                         联系电话：</w:t>
      </w:r>
    </w:p>
    <w:p>
      <w:pPr>
        <w:pStyle w:val="27"/>
        <w:snapToGrid w:val="0"/>
        <w:spacing w:line="360" w:lineRule="auto"/>
        <w:rPr>
          <w:rFonts w:cs="宋体"/>
          <w:color w:val="auto"/>
          <w:highlight w:val="none"/>
        </w:rPr>
      </w:pPr>
      <w:r>
        <w:rPr>
          <w:rFonts w:hint="eastAsia" w:cs="宋体"/>
          <w:color w:val="auto"/>
          <w:highlight w:val="none"/>
        </w:rPr>
        <w:t>邮政编码：                         邮政编码：</w:t>
      </w:r>
    </w:p>
    <w:p>
      <w:pPr>
        <w:pStyle w:val="27"/>
        <w:snapToGrid w:val="0"/>
        <w:spacing w:line="360" w:lineRule="auto"/>
        <w:rPr>
          <w:rFonts w:cs="宋体"/>
          <w:color w:val="auto"/>
          <w:highlight w:val="none"/>
        </w:rPr>
      </w:pPr>
      <w:r>
        <w:rPr>
          <w:rFonts w:hint="eastAsia" w:cs="宋体"/>
          <w:color w:val="auto"/>
          <w:highlight w:val="none"/>
        </w:rPr>
        <w:t xml:space="preserve">开户银行：                         开户银行：      </w:t>
      </w:r>
    </w:p>
    <w:p>
      <w:pPr>
        <w:pStyle w:val="27"/>
        <w:snapToGrid w:val="0"/>
        <w:spacing w:line="360" w:lineRule="auto"/>
        <w:rPr>
          <w:rFonts w:cs="宋体"/>
          <w:color w:val="auto"/>
          <w:highlight w:val="none"/>
        </w:rPr>
      </w:pPr>
      <w:r>
        <w:rPr>
          <w:rFonts w:hint="eastAsia" w:cs="宋体"/>
          <w:color w:val="auto"/>
          <w:highlight w:val="none"/>
        </w:rPr>
        <w:t>帐号：                             帐号：</w:t>
      </w:r>
    </w:p>
    <w:p>
      <w:pPr>
        <w:rPr>
          <w:rFonts w:ascii="宋体" w:hAnsi="宋体" w:cs="宋体"/>
          <w:color w:val="auto"/>
          <w:sz w:val="24"/>
          <w:highlight w:val="none"/>
        </w:rPr>
      </w:pPr>
      <w:r>
        <w:rPr>
          <w:rFonts w:hint="eastAsia" w:ascii="宋体" w:hAnsi="宋体" w:cs="宋体"/>
          <w:color w:val="auto"/>
          <w:sz w:val="24"/>
          <w:highlight w:val="none"/>
        </w:rPr>
        <w:br w:type="page"/>
      </w:r>
    </w:p>
    <w:p>
      <w:pPr>
        <w:rPr>
          <w:color w:val="auto"/>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85"/>
      <w:r>
        <w:rPr>
          <w:rFonts w:hint="eastAsia" w:ascii="宋体" w:hAnsi="宋体" w:cs="宋体"/>
          <w:b/>
          <w:color w:val="auto"/>
          <w:sz w:val="36"/>
          <w:szCs w:val="20"/>
          <w:highlight w:val="none"/>
        </w:rPr>
        <w:t xml:space="preserve"> </w:t>
      </w:r>
      <w:bookmarkEnd w:id="386"/>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（1）符合参加交易活动应当具备的一般条件的承诺函…………………（页码）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符合参加交易活动应当具备的一般条件的承诺函</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u w:val="single"/>
        </w:rPr>
        <w:t>（交易发起人）、（代理机构）：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u w:val="single"/>
        </w:rPr>
        <w:t>（项目名称）【交易编号：    】</w:t>
      </w:r>
      <w:r>
        <w:rPr>
          <w:rFonts w:hint="eastAsia" w:ascii="宋体" w:hAnsi="宋体" w:cs="宋体"/>
          <w:color w:val="auto"/>
          <w:sz w:val="24"/>
          <w:highlight w:val="none"/>
        </w:rPr>
        <w:t>交易活动，郑重承诺：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（一）具备以下条件：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5、参加交易活动前三年内，在经营活动中没有重大违法记录；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响应人名称(电子签名)：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（根据交易公告本项目的特定资格要求提供相应的材料；未要求的，无需提供）</w:t>
      </w:r>
    </w:p>
    <w:p>
      <w:pPr>
        <w:spacing w:line="360" w:lineRule="auto"/>
        <w:jc w:val="center"/>
        <w:rPr>
          <w:rFonts w:ascii="宋体" w:hAnsi="宋体" w:cs="宋体"/>
          <w:color w:val="auto"/>
          <w:kern w:val="0"/>
          <w:sz w:val="24"/>
          <w:highlight w:val="none"/>
          <w:lang w:val="zh-CN"/>
        </w:rPr>
      </w:pPr>
    </w:p>
    <w:p>
      <w:pPr>
        <w:widowControl/>
        <w:spacing w:line="360" w:lineRule="auto"/>
        <w:ind w:left="15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pacing w:line="360" w:lineRule="auto"/>
        <w:jc w:val="center"/>
        <w:outlineLvl w:val="0"/>
        <w:rPr>
          <w:rFonts w:ascii="宋体" w:hAnsi="宋体" w:cs="宋体"/>
          <w:b/>
          <w:color w:val="auto"/>
          <w:kern w:val="0"/>
          <w:sz w:val="36"/>
          <w:szCs w:val="36"/>
          <w:highlight w:val="none"/>
        </w:rPr>
      </w:pPr>
    </w:p>
    <w:p>
      <w:pPr>
        <w:snapToGrid w:val="0"/>
        <w:spacing w:line="360" w:lineRule="auto"/>
        <w:ind w:right="480"/>
        <w:jc w:val="center"/>
        <w:rPr>
          <w:rFonts w:ascii="宋体" w:hAnsi="宋体" w:cs="宋体"/>
          <w:b/>
          <w:color w:val="auto"/>
          <w:kern w:val="0"/>
          <w:sz w:val="32"/>
          <w:szCs w:val="32"/>
          <w:highlight w:val="none"/>
        </w:rPr>
      </w:pPr>
    </w:p>
    <w:p>
      <w:pPr>
        <w:spacing w:line="360" w:lineRule="auto"/>
        <w:jc w:val="center"/>
        <w:outlineLvl w:val="0"/>
        <w:rPr>
          <w:rFonts w:ascii="宋体" w:hAnsi="宋体" w:cs="宋体"/>
          <w:b/>
          <w:color w:val="auto"/>
          <w:kern w:val="0"/>
          <w:sz w:val="36"/>
          <w:szCs w:val="36"/>
          <w:highlight w:val="none"/>
        </w:rPr>
      </w:pPr>
    </w:p>
    <w:p>
      <w:pPr>
        <w:snapToGrid w:val="0"/>
        <w:spacing w:line="360" w:lineRule="auto"/>
        <w:ind w:right="480"/>
        <w:jc w:val="center"/>
        <w:rPr>
          <w:rFonts w:ascii="宋体" w:hAnsi="宋体" w:cs="宋体"/>
          <w:b/>
          <w:color w:val="auto"/>
          <w:kern w:val="0"/>
          <w:sz w:val="32"/>
          <w:szCs w:val="32"/>
          <w:highlight w:val="none"/>
        </w:rPr>
      </w:pPr>
    </w:p>
    <w:p>
      <w:pPr>
        <w:spacing w:line="360" w:lineRule="auto"/>
        <w:jc w:val="center"/>
        <w:outlineLvl w:val="0"/>
        <w:rPr>
          <w:rFonts w:ascii="宋体" w:hAnsi="宋体" w:cs="宋体"/>
          <w:b/>
          <w:color w:val="auto"/>
          <w:kern w:val="0"/>
          <w:sz w:val="36"/>
          <w:szCs w:val="36"/>
          <w:highlight w:val="none"/>
        </w:rPr>
      </w:pPr>
    </w:p>
    <w:p>
      <w:pP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br w:type="page"/>
      </w:r>
    </w:p>
    <w:p>
      <w:pPr>
        <w:spacing w:line="360" w:lineRule="auto"/>
        <w:ind w:right="42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jc w:val="distribute"/>
        <w:rPr>
          <w:rFonts w:ascii="宋体" w:hAnsi="宋体" w:cs="宋体"/>
          <w:color w:val="auto"/>
          <w:highlight w:val="none"/>
        </w:rPr>
      </w:pPr>
      <w:r>
        <w:rPr>
          <w:rFonts w:hint="eastAsia" w:ascii="宋体" w:hAnsi="宋体" w:cs="宋体"/>
          <w:color w:val="auto"/>
          <w:sz w:val="24"/>
          <w:highlight w:val="none"/>
        </w:rPr>
        <w:t>（1）交易函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jc w:val="distribute"/>
        <w:rPr>
          <w:rFonts w:ascii="宋体" w:hAnsi="宋体" w:cs="宋体"/>
          <w:color w:val="auto"/>
          <w:sz w:val="24"/>
          <w:highlight w:val="none"/>
        </w:rPr>
      </w:pPr>
      <w:r>
        <w:rPr>
          <w:rFonts w:hint="eastAsia" w:ascii="宋体" w:hAnsi="宋体" w:cs="宋体"/>
          <w:color w:val="auto"/>
          <w:sz w:val="24"/>
          <w:highlight w:val="none"/>
        </w:rPr>
        <w:t>（3）营业执照</w:t>
      </w:r>
      <w:r>
        <w:rPr>
          <w:rFonts w:hint="eastAsia" w:ascii="宋体" w:hAnsi="宋体" w:cs="宋体"/>
          <w:color w:val="auto"/>
          <w:highlight w:val="none"/>
        </w:rPr>
        <w:t>………………………………………………………………………………（页码）</w:t>
      </w:r>
    </w:p>
    <w:p>
      <w:pPr>
        <w:snapToGrid w:val="0"/>
        <w:spacing w:line="360" w:lineRule="auto"/>
        <w:ind w:firstLine="480" w:firstLineChars="200"/>
        <w:jc w:val="distribute"/>
        <w:rPr>
          <w:rFonts w:ascii="宋体" w:hAnsi="宋体" w:cs="宋体"/>
          <w:color w:val="auto"/>
          <w:highlight w:val="none"/>
        </w:rPr>
      </w:pPr>
      <w:r>
        <w:rPr>
          <w:rFonts w:hint="eastAsia" w:ascii="宋体" w:hAnsi="宋体" w:cs="宋体"/>
          <w:color w:val="auto"/>
          <w:sz w:val="24"/>
          <w:highlight w:val="none"/>
        </w:rPr>
        <w:t>（4）符合性审查资料</w:t>
      </w:r>
      <w:r>
        <w:rPr>
          <w:rFonts w:hint="eastAsia" w:ascii="宋体" w:hAnsi="宋体" w:cs="宋体"/>
          <w:color w:val="auto"/>
          <w:highlight w:val="none"/>
        </w:rPr>
        <w:t>………………………………………………………………………（页码）</w:t>
      </w:r>
    </w:p>
    <w:p>
      <w:pPr>
        <w:snapToGrid w:val="0"/>
        <w:spacing w:line="360" w:lineRule="auto"/>
        <w:ind w:firstLine="480" w:firstLineChars="200"/>
        <w:jc w:val="distribute"/>
        <w:rPr>
          <w:rFonts w:ascii="宋体" w:hAnsi="宋体" w:cs="宋体"/>
          <w:color w:val="auto"/>
          <w:sz w:val="24"/>
          <w:highlight w:val="none"/>
        </w:rPr>
      </w:pPr>
      <w:r>
        <w:rPr>
          <w:rFonts w:hint="eastAsia" w:ascii="宋体" w:hAnsi="宋体" w:cs="宋体"/>
          <w:color w:val="auto"/>
          <w:sz w:val="24"/>
          <w:highlight w:val="none"/>
        </w:rPr>
        <w:t>（5）评审标准相应的商务技术资料</w:t>
      </w:r>
      <w:r>
        <w:rPr>
          <w:rFonts w:hint="eastAsia" w:ascii="宋体" w:hAnsi="宋体" w:cs="宋体"/>
          <w:color w:val="auto"/>
          <w:highlight w:val="none"/>
        </w:rPr>
        <w:t>……………………………………………………（页码）</w:t>
      </w:r>
    </w:p>
    <w:p>
      <w:pPr>
        <w:snapToGrid w:val="0"/>
        <w:spacing w:line="360" w:lineRule="auto"/>
        <w:ind w:firstLine="480" w:firstLineChars="200"/>
        <w:jc w:val="distribute"/>
        <w:rPr>
          <w:rFonts w:ascii="宋体" w:hAnsi="宋体" w:cs="宋体"/>
          <w:color w:val="auto"/>
          <w:sz w:val="24"/>
          <w:highlight w:val="none"/>
        </w:rPr>
      </w:pPr>
      <w:r>
        <w:rPr>
          <w:rFonts w:hint="eastAsia" w:ascii="宋体" w:hAnsi="宋体" w:cs="宋体"/>
          <w:color w:val="auto"/>
          <w:sz w:val="24"/>
          <w:highlight w:val="none"/>
        </w:rPr>
        <w:t>（6）商务技术偏离表</w:t>
      </w:r>
      <w:r>
        <w:rPr>
          <w:rFonts w:hint="eastAsia" w:ascii="宋体" w:hAnsi="宋体" w:cs="宋体"/>
          <w:color w:val="auto"/>
          <w:highlight w:val="none"/>
        </w:rPr>
        <w:t>………………………………………………………………………（页码）</w:t>
      </w:r>
    </w:p>
    <w:p>
      <w:pPr>
        <w:snapToGrid w:val="0"/>
        <w:spacing w:line="360" w:lineRule="auto"/>
        <w:ind w:left="479" w:leftChars="228"/>
        <w:jc w:val="distribute"/>
        <w:rPr>
          <w:rFonts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val="zh-CN"/>
        </w:rPr>
        <w:t>响应人廉洁自律承诺书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一、交易函</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u w:val="single"/>
        </w:rPr>
        <w:t>（交易发起人）、（代理机构）：</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u w:val="single"/>
        </w:rPr>
        <w:t>（项目名称）【交易编号：        】</w:t>
      </w:r>
      <w:r>
        <w:rPr>
          <w:rFonts w:hint="eastAsia" w:ascii="宋体" w:hAnsi="宋体" w:cs="宋体"/>
          <w:color w:val="auto"/>
          <w:sz w:val="24"/>
          <w:highlight w:val="none"/>
        </w:rPr>
        <w:t>招标的有关活动，并对此项目进行投标。为此：</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1、我方承诺交易有效期从提交响应文件的截止之日起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本响应文件在交易有效期满之前均具有约束力。</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2、我方的响应文件包括以下内容：</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2.1.2本项目的特定资格要求（如果有）。</w:t>
      </w:r>
    </w:p>
    <w:p>
      <w:pPr>
        <w:snapToGrid w:val="0"/>
        <w:spacing w:line="440" w:lineRule="exact"/>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2.2.1交易函；</w:t>
      </w:r>
      <w:r>
        <w:rPr>
          <w:rFonts w:hint="eastAsia" w:ascii="宋体" w:hAnsi="宋体" w:cs="宋体"/>
          <w:color w:val="auto"/>
          <w:sz w:val="24"/>
          <w:highlight w:val="none"/>
          <w:lang w:val="zh-CN"/>
        </w:rPr>
        <w:t xml:space="preserve"> </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2.2.3营业执照；</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2.2.4符合性审查资料；</w:t>
      </w:r>
    </w:p>
    <w:p>
      <w:pPr>
        <w:snapToGrid w:val="0"/>
        <w:spacing w:line="440" w:lineRule="exact"/>
        <w:ind w:left="420" w:leftChars="200" w:firstLine="480" w:firstLineChars="200"/>
        <w:rPr>
          <w:rFonts w:ascii="宋体" w:hAnsi="宋体" w:cs="宋体"/>
          <w:color w:val="auto"/>
          <w:highlight w:val="none"/>
        </w:rPr>
      </w:pPr>
      <w:r>
        <w:rPr>
          <w:rFonts w:hint="eastAsia" w:ascii="宋体" w:hAnsi="宋体" w:cs="宋体"/>
          <w:color w:val="auto"/>
          <w:sz w:val="24"/>
          <w:highlight w:val="none"/>
        </w:rPr>
        <w:t>2.2.5评审标准相应的商务技术资料；</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2.2.6商务技术偏离表；</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2.2.7</w:t>
      </w:r>
      <w:r>
        <w:rPr>
          <w:rFonts w:hint="eastAsia" w:ascii="宋体" w:hAnsi="宋体" w:cs="宋体"/>
          <w:color w:val="auto"/>
          <w:sz w:val="24"/>
          <w:highlight w:val="none"/>
          <w:lang w:val="zh-CN"/>
        </w:rPr>
        <w:t>响应人廉洁自律承诺书。</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44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2.3.1交易一览表（报价表）。</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3、我方承诺除商务技术偏离表列出的偏离外，我方响应公开竞争文件的全部要求。</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4、如我方成交，我方承诺：</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4.1在收到成交通知书后，在成交通知书规定的期限内与你方签订合同； </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4.3按照公开竞争文件要求提交履约保证金； </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44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40" w:lineRule="exact"/>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响应人名称（电子签名）：                          </w:t>
      </w:r>
    </w:p>
    <w:p>
      <w:pPr>
        <w:spacing w:line="440" w:lineRule="exact"/>
        <w:jc w:val="center"/>
        <w:rPr>
          <w:rFonts w:ascii="宋体" w:hAnsi="宋体" w:cs="宋体"/>
          <w:color w:val="auto"/>
          <w:kern w:val="0"/>
          <w:sz w:val="24"/>
          <w:highlight w:val="none"/>
          <w:u w:val="singl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color w:val="auto"/>
          <w:sz w:val="24"/>
          <w:highlight w:val="none"/>
        </w:rPr>
        <w:t>注：按本格式和要求提供。</w:t>
      </w:r>
    </w:p>
    <w:p>
      <w:pPr>
        <w:pStyle w:val="5"/>
        <w:rPr>
          <w:rFonts w:hAnsi="宋体" w:cs="宋体"/>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（交易发起人）、（代理机构）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u w:val="single"/>
        </w:rPr>
        <w:t>（项目名称）【交易编号：       】</w:t>
      </w:r>
      <w:r>
        <w:rPr>
          <w:rFonts w:hint="eastAsia" w:ascii="宋体" w:hAnsi="宋体" w:cs="宋体"/>
          <w:color w:val="auto"/>
          <w:kern w:val="0"/>
          <w:sz w:val="24"/>
          <w:highlight w:val="none"/>
          <w:lang w:val="zh-CN"/>
        </w:rPr>
        <w:t>交易项目的一切事项，其法律后果由我方承担。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响应人名称(电子签名)：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lang w:val="zh-CN"/>
        </w:rPr>
      </w:pPr>
      <w:r>
        <w:rPr>
          <w:rFonts w:hint="eastAsia" w:ascii="宋体" w:hAnsi="宋体" w:cs="宋体"/>
          <w:b/>
          <w:color w:val="auto"/>
          <w:kern w:val="0"/>
          <w:sz w:val="32"/>
          <w:szCs w:val="32"/>
          <w:highlight w:val="none"/>
          <w:lang w:val="zh-CN"/>
        </w:rPr>
        <w:t xml:space="preserve">    </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的身份证明（适用于法定代表人、单位负责人或者自然人本人代表响应人参加投标）</w:t>
      </w:r>
    </w:p>
    <w:p>
      <w:pPr>
        <w:pStyle w:val="154"/>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4"/>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4"/>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响应人名称(电子签名)：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三、营业执照</w:t>
      </w:r>
    </w:p>
    <w:p>
      <w:pPr>
        <w:jc w:val="center"/>
        <w:rPr>
          <w:rFonts w:ascii="宋体" w:hAnsi="宋体" w:cs="宋体"/>
          <w:b/>
          <w:color w:val="auto"/>
          <w:kern w:val="0"/>
          <w:sz w:val="32"/>
          <w:szCs w:val="32"/>
          <w:highlight w:val="none"/>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4"/>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p>
    <w:p>
      <w:pPr>
        <w:snapToGrid w:val="0"/>
        <w:spacing w:line="360" w:lineRule="auto"/>
        <w:ind w:firstLine="576"/>
        <w:jc w:val="center"/>
        <w:rPr>
          <w:rFonts w:ascii="宋体" w:hAnsi="宋体" w:cs="宋体"/>
          <w:color w:val="auto"/>
          <w:kern w:val="0"/>
          <w:sz w:val="24"/>
          <w:highlight w:val="none"/>
          <w:lang w:val="zh-CN"/>
        </w:rPr>
      </w:pP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响应人名称(电子签名)：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397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356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响应文件中的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97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响应文件按照公开竞争文件要求签署、盖章。</w:t>
            </w:r>
          </w:p>
        </w:tc>
        <w:tc>
          <w:tcPr>
            <w:tcW w:w="356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需要使用电子签名或者签字盖章的响应文件的组成部分</w:t>
            </w:r>
          </w:p>
        </w:tc>
        <w:tc>
          <w:tcPr>
            <w:tcW w:w="1418" w:type="dxa"/>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见响应文件</w:t>
            </w:r>
          </w:p>
          <w:p>
            <w:pPr>
              <w:jc w:val="cente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397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响应文件中承诺的交易有效期不少于公开竞争文件中载明的交易有效期。</w:t>
            </w:r>
          </w:p>
        </w:tc>
        <w:tc>
          <w:tcPr>
            <w:tcW w:w="356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交易函</w:t>
            </w:r>
          </w:p>
        </w:tc>
        <w:tc>
          <w:tcPr>
            <w:tcW w:w="1418" w:type="dxa"/>
            <w:vAlign w:val="center"/>
          </w:tcPr>
          <w:p>
            <w:pPr>
              <w:jc w:val="cente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397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响应文件满足公开竞争文件的其它实质性要求。</w:t>
            </w:r>
          </w:p>
        </w:tc>
        <w:tc>
          <w:tcPr>
            <w:tcW w:w="3566"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公开竞争文件其它实质性要求相应的材料（“▲” 系指实质性要求条款，公开竞争文件无其它实质性要求的，无需提供）</w:t>
            </w:r>
          </w:p>
        </w:tc>
        <w:tc>
          <w:tcPr>
            <w:tcW w:w="1418" w:type="dxa"/>
            <w:vAlign w:val="center"/>
          </w:tcPr>
          <w:p>
            <w:pPr>
              <w:jc w:val="cente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五、评审标准相应的商务技术资料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（按公开竞争文件第四部分交易办法前附表中“响应文件中评审标准相应的商务技术资料目录”提供资料。）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63"/>
        <w:rPr>
          <w:rFonts w:hAnsi="宋体" w:cs="宋体"/>
          <w:b/>
          <w:color w:val="auto"/>
          <w:kern w:val="0"/>
          <w:sz w:val="32"/>
          <w:szCs w:val="32"/>
          <w:highlight w:val="none"/>
        </w:rPr>
      </w:pPr>
    </w:p>
    <w:p>
      <w:pPr>
        <w:pStyle w:val="53"/>
        <w:rPr>
          <w:rFonts w:ascii="宋体" w:hAnsi="宋体" w:cs="宋体"/>
          <w:color w:val="auto"/>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pacing w:line="360" w:lineRule="auto"/>
        <w:ind w:right="42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公开竞争文件章节及具体内容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响应文件章节及具体内容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响应人保证：除商务技术偏离表列出的偏离外，响应人响应公开竞争文件的全部要求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jc w:val="center"/>
        <w:rPr>
          <w:rFonts w:ascii="宋体" w:hAnsi="宋体" w:cs="宋体"/>
          <w:b/>
          <w:color w:val="auto"/>
          <w:kern w:val="0"/>
          <w:sz w:val="32"/>
          <w:szCs w:val="32"/>
          <w:highlight w:val="none"/>
        </w:rPr>
      </w:pPr>
      <w:r>
        <w:rPr>
          <w:rFonts w:hint="eastAsia" w:ascii="宋体" w:hAnsi="宋体" w:cs="宋体"/>
          <w:b/>
          <w:bCs/>
          <w:color w:val="auto"/>
          <w:sz w:val="32"/>
          <w:szCs w:val="32"/>
          <w:highlight w:val="none"/>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响应人廉洁自律承诺书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（交易发起人）、（代理机构）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w:t>
      </w:r>
      <w:r>
        <w:rPr>
          <w:rFonts w:hint="eastAsia" w:ascii="宋体" w:hAnsi="宋体" w:cs="宋体"/>
          <w:color w:val="auto"/>
          <w:kern w:val="0"/>
          <w:sz w:val="24"/>
          <w:highlight w:val="none"/>
        </w:rPr>
        <w:t>成交</w:t>
      </w:r>
      <w:r>
        <w:rPr>
          <w:rFonts w:hint="eastAsia" w:ascii="宋体" w:hAnsi="宋体" w:cs="宋体"/>
          <w:color w:val="auto"/>
          <w:kern w:val="0"/>
          <w:sz w:val="24"/>
          <w:highlight w:val="none"/>
          <w:lang w:val="zh-CN"/>
        </w:rPr>
        <w:t>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w:t>
      </w:r>
      <w:r>
        <w:rPr>
          <w:rFonts w:hint="eastAsia" w:ascii="宋体" w:hAnsi="宋体" w:cs="宋体"/>
          <w:color w:val="auto"/>
          <w:kern w:val="0"/>
          <w:sz w:val="24"/>
          <w:highlight w:val="none"/>
        </w:rPr>
        <w:t>成交</w:t>
      </w:r>
      <w:r>
        <w:rPr>
          <w:rFonts w:hint="eastAsia" w:ascii="宋体" w:hAnsi="宋体" w:cs="宋体"/>
          <w:color w:val="auto"/>
          <w:kern w:val="0"/>
          <w:sz w:val="24"/>
          <w:highlight w:val="none"/>
          <w:lang w:val="zh-CN"/>
        </w:rPr>
        <w:t>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响应人名称（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（1）交易一览表（报价表）………………………………………………………（页码）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注：各标项报价文件请单独编制，单独上传。</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一、交易一览表（报价表）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（交易发起人）、（代理机构）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按你方公开竞争文件要求，我们，本响应文件签字方，谨此向你方发出要约如下：如你方接受本投标，我方承诺按照如下交易一览表（报价表）的价格完成</w:t>
      </w:r>
      <w:r>
        <w:rPr>
          <w:rFonts w:hint="eastAsia" w:ascii="宋体" w:hAnsi="宋体" w:cs="宋体"/>
          <w:color w:val="auto"/>
          <w:sz w:val="24"/>
          <w:highlight w:val="none"/>
          <w:u w:val="single"/>
        </w:rPr>
        <w:t>（项目名称）</w:t>
      </w:r>
      <w:r>
        <w:rPr>
          <w:rFonts w:hint="eastAsia" w:ascii="宋体" w:hAnsi="宋体" w:cs="宋体"/>
          <w:color w:val="auto"/>
          <w:kern w:val="0"/>
          <w:sz w:val="24"/>
          <w:highlight w:val="none"/>
          <w:u w:val="single"/>
          <w:lang w:val="zh-CN"/>
        </w:rPr>
        <w:t>【交易编号：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napToGrid w:val="0"/>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交易一览表（报价表）(单位均为人民币元）</w:t>
      </w:r>
    </w:p>
    <w:p>
      <w:pPr>
        <w:spacing w:line="360" w:lineRule="auto"/>
        <w:ind w:firstLine="482" w:firstLineChars="200"/>
        <w:rPr>
          <w:b/>
          <w:color w:val="auto"/>
          <w:highlight w:val="none"/>
          <w:lang w:val="zh-CN"/>
        </w:rPr>
      </w:pPr>
      <w:r>
        <w:rPr>
          <w:rFonts w:hint="eastAsia" w:hAnsi="宋体" w:cs="宋体"/>
          <w:b/>
          <w:color w:val="auto"/>
          <w:kern w:val="0"/>
          <w:sz w:val="24"/>
          <w:highlight w:val="none"/>
          <w:lang w:val="zh-CN"/>
        </w:rPr>
        <w:t>标项</w:t>
      </w:r>
      <w:r>
        <w:rPr>
          <w:rFonts w:hint="eastAsia" w:hAnsi="宋体" w:cs="宋体"/>
          <w:b/>
          <w:color w:val="auto"/>
          <w:kern w:val="0"/>
          <w:sz w:val="24"/>
          <w:highlight w:val="none"/>
        </w:rPr>
        <w:t>1</w:t>
      </w:r>
      <w:r>
        <w:rPr>
          <w:rFonts w:hint="eastAsia" w:ascii="宋体" w:hAnsi="宋体" w:cs="宋体"/>
          <w:b/>
          <w:color w:val="auto"/>
          <w:sz w:val="24"/>
          <w:highlight w:val="none"/>
        </w:rPr>
        <w:t>：</w:t>
      </w:r>
      <w:r>
        <w:rPr>
          <w:rFonts w:hint="eastAsia" w:ascii="宋体" w:hAnsi="宋体" w:cs="宋体"/>
          <w:b/>
          <w:color w:val="auto"/>
          <w:spacing w:val="-6"/>
          <w:sz w:val="24"/>
          <w:highlight w:val="none"/>
        </w:rPr>
        <w:t>数据库维保</w:t>
      </w:r>
    </w:p>
    <w:tbl>
      <w:tblPr>
        <w:tblStyle w:val="65"/>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591"/>
        <w:gridCol w:w="2201"/>
        <w:gridCol w:w="3401"/>
        <w:gridCol w:w="1332"/>
        <w:gridCol w:w="1548"/>
        <w:gridCol w:w="948"/>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具体内容</w:t>
            </w:r>
          </w:p>
        </w:tc>
        <w:tc>
          <w:tcPr>
            <w:tcW w:w="34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具体服务</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总价</w:t>
            </w: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bl>
    <w:p>
      <w:pPr>
        <w:snapToGrid w:val="0"/>
        <w:spacing w:line="360" w:lineRule="auto"/>
        <w:ind w:left="480"/>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1、响应人需按本表格式填写，不得自行更改。</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交易发起人将以合同形式有偿取得货物或服务，不接受响应人给予的赠品、回扣或者与交易无关的其他商品、服务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响应文件含有交易发起人不能接受的附加条件的，交易无效</w:t>
      </w:r>
      <w:r>
        <w:rPr>
          <w:rFonts w:hint="eastAsia" w:ascii="宋体" w:hAnsi="宋体" w:cs="宋体"/>
          <w:b/>
          <w:color w:val="auto"/>
          <w:kern w:val="0"/>
          <w:sz w:val="24"/>
          <w:highlight w:val="none"/>
          <w:lang w:val="zh-CN"/>
        </w:rPr>
        <w:t>；交易内容未包含在《交易一览表（报价表）》名称栏中，响应人不能作出合理解释的，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响应文件含有交易发起人不能接受的附加条件的，交易无效。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4、特别提示：代理机构将对项目名称和项目编号，成交响应人名称、地址和</w:t>
      </w:r>
      <w:r>
        <w:rPr>
          <w:rFonts w:hint="eastAsia" w:ascii="宋体" w:hAnsi="宋体" w:cs="宋体"/>
          <w:color w:val="auto"/>
          <w:kern w:val="0"/>
          <w:sz w:val="24"/>
          <w:highlight w:val="none"/>
        </w:rPr>
        <w:t>成交</w:t>
      </w:r>
      <w:r>
        <w:rPr>
          <w:rFonts w:hint="eastAsia" w:ascii="宋体" w:hAnsi="宋体" w:cs="宋体"/>
          <w:color w:val="auto"/>
          <w:kern w:val="0"/>
          <w:sz w:val="24"/>
          <w:highlight w:val="none"/>
          <w:lang w:val="zh-CN"/>
        </w:rPr>
        <w:t>金额等予以公示。</w:t>
      </w:r>
    </w:p>
    <w:p>
      <w:pPr>
        <w:spacing w:line="360" w:lineRule="auto"/>
        <w:ind w:firstLine="482" w:firstLineChars="200"/>
        <w:rPr>
          <w:rFonts w:ascii="宋体" w:hAnsi="宋体" w:cs="宋体"/>
          <w:b/>
          <w:color w:val="auto"/>
          <w:kern w:val="0"/>
          <w:sz w:val="24"/>
          <w:highlight w:val="none"/>
        </w:rPr>
      </w:pPr>
    </w:p>
    <w:p>
      <w:pPr>
        <w:autoSpaceDE w:val="0"/>
        <w:autoSpaceDN w:val="0"/>
        <w:spacing w:line="360" w:lineRule="auto"/>
        <w:ind w:left="2" w:leftChars="1" w:right="1120" w:firstLine="7680" w:firstLineChars="3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响应人名称（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p>
    <w:p>
      <w:pPr>
        <w:autoSpaceDE w:val="0"/>
        <w:autoSpaceDN w:val="0"/>
        <w:spacing w:line="360" w:lineRule="auto"/>
        <w:ind w:left="2" w:leftChars="1" w:right="1120" w:firstLine="7680" w:firstLineChars="3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35"/>
        <w:rPr>
          <w:rFonts w:hAnsi="宋体" w:cs="宋体"/>
          <w:color w:val="auto"/>
          <w:kern w:val="0"/>
          <w:sz w:val="24"/>
          <w:highlight w:val="none"/>
          <w:lang w:val="zh-CN"/>
        </w:rPr>
      </w:pPr>
    </w:p>
    <w:p>
      <w:pPr>
        <w:pStyle w:val="696"/>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一、交易一览表（报价表）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（交易发起人）、（代理机构）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按你方公开竞争文件要求，我们，本响应文件签字方，谨此向你方发出要约如下：如你方接受本投标，我方承诺按照如下交易一览表（报价表）的价格完成</w:t>
      </w:r>
      <w:r>
        <w:rPr>
          <w:rFonts w:hint="eastAsia" w:ascii="宋体" w:hAnsi="宋体" w:cs="宋体"/>
          <w:color w:val="auto"/>
          <w:sz w:val="24"/>
          <w:highlight w:val="none"/>
          <w:u w:val="single"/>
        </w:rPr>
        <w:t>（项目名称）</w:t>
      </w:r>
      <w:r>
        <w:rPr>
          <w:rFonts w:hint="eastAsia" w:ascii="宋体" w:hAnsi="宋体" w:cs="宋体"/>
          <w:color w:val="auto"/>
          <w:kern w:val="0"/>
          <w:sz w:val="24"/>
          <w:highlight w:val="none"/>
          <w:u w:val="single"/>
          <w:lang w:val="zh-CN"/>
        </w:rPr>
        <w:t>【交易编号：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napToGrid w:val="0"/>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交易一览表（报价表）(单位均为人民币元）</w:t>
      </w:r>
    </w:p>
    <w:p>
      <w:pPr>
        <w:spacing w:line="360" w:lineRule="auto"/>
        <w:ind w:firstLine="482" w:firstLineChars="200"/>
        <w:rPr>
          <w:b/>
          <w:color w:val="auto"/>
          <w:highlight w:val="none"/>
          <w:lang w:val="zh-CN"/>
        </w:rPr>
      </w:pPr>
      <w:r>
        <w:rPr>
          <w:rFonts w:hint="eastAsia" w:hAnsi="宋体" w:cs="宋体"/>
          <w:b/>
          <w:color w:val="auto"/>
          <w:kern w:val="0"/>
          <w:sz w:val="24"/>
          <w:highlight w:val="none"/>
          <w:lang w:val="zh-CN"/>
        </w:rPr>
        <w:t>标项</w:t>
      </w:r>
      <w:r>
        <w:rPr>
          <w:rFonts w:hint="eastAsia" w:hAnsi="宋体" w:cs="宋体"/>
          <w:b/>
          <w:color w:val="auto"/>
          <w:kern w:val="0"/>
          <w:sz w:val="24"/>
          <w:highlight w:val="none"/>
        </w:rPr>
        <w:t>2</w:t>
      </w:r>
      <w:r>
        <w:rPr>
          <w:rFonts w:hint="eastAsia" w:ascii="宋体" w:hAnsi="宋体" w:cs="宋体"/>
          <w:b/>
          <w:color w:val="auto"/>
          <w:sz w:val="24"/>
          <w:highlight w:val="none"/>
        </w:rPr>
        <w:t>：医保基金综合管理系统</w:t>
      </w:r>
    </w:p>
    <w:tbl>
      <w:tblPr>
        <w:tblStyle w:val="65"/>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591"/>
        <w:gridCol w:w="2201"/>
        <w:gridCol w:w="3401"/>
        <w:gridCol w:w="1332"/>
        <w:gridCol w:w="1548"/>
        <w:gridCol w:w="948"/>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具体内容</w:t>
            </w:r>
          </w:p>
        </w:tc>
        <w:tc>
          <w:tcPr>
            <w:tcW w:w="34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具体服务</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总价</w:t>
            </w: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5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auto"/>
                <w:sz w:val="24"/>
                <w:highlight w:val="none"/>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3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0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bl>
    <w:p>
      <w:pPr>
        <w:snapToGrid w:val="0"/>
        <w:spacing w:line="360" w:lineRule="auto"/>
        <w:ind w:left="480"/>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1、响应人需按本表格式填写，不得自行更改。</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交易发起人将以合同形式有偿取得货物或服务，不接受响应人给予的赠品、回扣或者与交易无关的其他商品、服务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响应文件含有交易发起人不能接受的附加条件的，交易无效</w:t>
      </w:r>
      <w:r>
        <w:rPr>
          <w:rFonts w:hint="eastAsia" w:ascii="宋体" w:hAnsi="宋体" w:cs="宋体"/>
          <w:b/>
          <w:color w:val="auto"/>
          <w:kern w:val="0"/>
          <w:sz w:val="24"/>
          <w:highlight w:val="none"/>
          <w:lang w:val="zh-CN"/>
        </w:rPr>
        <w:t>；交易内容未包含在《交易一览表（报价表）》名称栏中，响应人不能作出合理解释的，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响应文件含有交易发起人不能接受的附加条件的，交易无效。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4、特别提示：代理机构将对项目名称和项目编号，成交响应人名称、地址和</w:t>
      </w:r>
      <w:r>
        <w:rPr>
          <w:rFonts w:hint="eastAsia" w:ascii="宋体" w:hAnsi="宋体" w:cs="宋体"/>
          <w:color w:val="auto"/>
          <w:kern w:val="0"/>
          <w:sz w:val="24"/>
          <w:highlight w:val="none"/>
        </w:rPr>
        <w:t>成交</w:t>
      </w:r>
      <w:r>
        <w:rPr>
          <w:rFonts w:hint="eastAsia" w:ascii="宋体" w:hAnsi="宋体" w:cs="宋体"/>
          <w:color w:val="auto"/>
          <w:kern w:val="0"/>
          <w:sz w:val="24"/>
          <w:highlight w:val="none"/>
          <w:lang w:val="zh-CN"/>
        </w:rPr>
        <w:t>金额等予以公示。</w:t>
      </w:r>
    </w:p>
    <w:p>
      <w:pPr>
        <w:spacing w:line="360" w:lineRule="auto"/>
        <w:ind w:firstLine="482" w:firstLineChars="200"/>
        <w:rPr>
          <w:rFonts w:ascii="宋体" w:hAnsi="宋体" w:cs="宋体"/>
          <w:b/>
          <w:color w:val="auto"/>
          <w:kern w:val="0"/>
          <w:sz w:val="24"/>
          <w:highlight w:val="none"/>
        </w:rPr>
      </w:pPr>
    </w:p>
    <w:p>
      <w:pPr>
        <w:autoSpaceDE w:val="0"/>
        <w:autoSpaceDN w:val="0"/>
        <w:spacing w:line="360" w:lineRule="auto"/>
        <w:ind w:left="2" w:leftChars="1" w:right="1120" w:firstLine="7680" w:firstLineChars="3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响应人名称（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p>
    <w:p>
      <w:pPr>
        <w:autoSpaceDE w:val="0"/>
        <w:autoSpaceDN w:val="0"/>
        <w:spacing w:line="360" w:lineRule="auto"/>
        <w:ind w:left="2" w:leftChars="1" w:right="1120" w:firstLine="7680" w:firstLineChars="3200"/>
        <w:jc w:val="left"/>
        <w:rPr>
          <w:rFonts w:ascii="宋体" w:hAnsi="宋体" w:cs="宋体"/>
          <w:color w:val="auto"/>
          <w:sz w:val="32"/>
          <w:szCs w:val="32"/>
          <w:highlight w:val="none"/>
        </w:rPr>
        <w:sectPr>
          <w:pgSz w:w="16838" w:h="11906" w:orient="landscape"/>
          <w:pgMar w:top="1418" w:right="1247" w:bottom="1418" w:left="1276" w:header="851" w:footer="992" w:gutter="0"/>
          <w:cols w:space="720" w:num="1"/>
          <w:titlePg/>
          <w:docGrid w:linePitch="312" w:charSpace="0"/>
        </w:sect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r>
        <w:rPr>
          <w:rFonts w:hint="eastAsia" w:ascii="宋体" w:hAnsi="宋体" w:cs="宋体"/>
          <w:b/>
          <w:color w:val="auto"/>
          <w:spacing w:val="6"/>
          <w:sz w:val="32"/>
          <w:szCs w:val="32"/>
          <w:highlight w:val="none"/>
          <w:lang w:val="zh-CN"/>
        </w:rPr>
        <w:t>异议</w:t>
      </w:r>
      <w:r>
        <w:rPr>
          <w:rFonts w:hint="eastAsia" w:ascii="宋体" w:hAnsi="宋体" w:cs="宋体"/>
          <w:b/>
          <w:color w:val="auto"/>
          <w:spacing w:val="6"/>
          <w:sz w:val="32"/>
          <w:szCs w:val="32"/>
          <w:highlight w:val="none"/>
        </w:rPr>
        <w:t>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异议函范本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一、异议响应人基本信息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异议响应人：</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二、异议项目基本情况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异议项目的名称：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异议项目的编号：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交易发起人名称：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公开竞争文件获取日期：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三、异议事项具体内容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异议事项1：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异议事项2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四、与异议事项相关的异议请求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异议函制作说明：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1.响应人提出异议时，应提交异议函和必要的证明材料。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2.异议响应人若委托代理人进行异议的，异议函应按要求列明“授权代表”的有关内容，并在附件中提交由异议</w:t>
      </w:r>
      <w:r>
        <w:rPr>
          <w:rFonts w:hint="eastAsia" w:ascii="宋体" w:hAnsi="宋体" w:cs="宋体"/>
          <w:color w:val="auto"/>
          <w:kern w:val="0"/>
          <w:sz w:val="24"/>
          <w:highlight w:val="none"/>
        </w:rPr>
        <w:t>响应人签署的授权委托书。授权委托书应载明代理人的姓名或者名称、代理事项、具体权限、期限和相关事项。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3.异议响应人若对项目的某一分包进行异议，异议函中应列明具体分包号。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4.异议函的异议事项应具体、明确，并有必要的事实依据和法律依据。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5.异议函的异议请求应与异议事项相关。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6.异议响应人为自然人的，异议函应由本人签字；异议响应人为法人或者其他组织的，异议函应由法定代表人、主要负责人，或者其授权代表签字或者盖章，并加盖公章。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相关响应人：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交易名称：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交易编号：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交易发起人名称：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公开竞争文件公告: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成交结果公告: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三、异议基本情况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提出异议，异议事项为：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交易发起人/代理机构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日,就异议事项作出了答复/没有在法定期限内作出答复。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1.投诉人提起投诉时，应当提交投诉书和必要的证明材料，并按照被投诉人和与投诉事项有关的响应人数量提供投诉书副本。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4.投诉书应简要列明异议事项，异议函、异议答复等作为附件材料提供。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left"/>
        <w:rPr>
          <w:rFonts w:ascii="宋体" w:hAnsi="宋体" w:cs="宋体"/>
          <w:b/>
          <w:color w:val="auto"/>
          <w:spacing w:val="6"/>
          <w:sz w:val="32"/>
          <w:szCs w:val="32"/>
          <w:highlight w:val="none"/>
        </w:rPr>
      </w:pPr>
    </w:p>
    <w:p>
      <w:pPr>
        <w:autoSpaceDE w:val="0"/>
        <w:autoSpaceDN w:val="0"/>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w:t>
      </w:r>
    </w:p>
    <w:p>
      <w:pPr>
        <w:autoSpaceDE w:val="0"/>
        <w:autoSpaceDN w:val="0"/>
        <w:jc w:val="center"/>
        <w:rPr>
          <w:rFonts w:ascii="宋体" w:hAnsi="宋体" w:cs="宋体"/>
          <w:b/>
          <w:bCs/>
          <w:color w:val="auto"/>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（交易发起人）、（代理机构）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(响应人全称)是中华人民共和国依法登记注册的合法企业，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u w:val="single"/>
        </w:rPr>
        <w:t>（项目名称）项目【交易编号：      ）】</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6"/>
        <w:jc w:val="left"/>
        <w:rPr>
          <w:rFonts w:hint="eastAsia" w:ascii="宋体" w:hAnsi="宋体" w:eastAsia="宋体" w:cs="宋体"/>
          <w:b/>
          <w:bCs/>
          <w:color w:val="auto"/>
          <w:highlight w:val="none"/>
        </w:rPr>
      </w:pPr>
    </w:p>
    <w:p>
      <w:pPr>
        <w:rPr>
          <w:rFonts w:hint="eastAsia"/>
          <w:color w:val="auto"/>
          <w:highlight w:val="none"/>
        </w:rPr>
      </w:pPr>
    </w:p>
    <w:p>
      <w:pPr>
        <w:pStyle w:val="6"/>
        <w:ind w:left="0" w:leftChars="0" w:firstLine="0" w:firstLineChars="0"/>
        <w:jc w:val="left"/>
        <w:rPr>
          <w:rFonts w:hint="eastAsia" w:ascii="宋体" w:hAnsi="宋体" w:eastAsia="宋体" w:cs="宋体"/>
          <w:color w:val="auto"/>
          <w:sz w:val="24"/>
          <w:highlight w:val="none"/>
        </w:rPr>
      </w:pPr>
      <w:r>
        <w:rPr>
          <w:rFonts w:hint="eastAsia" w:ascii="宋体" w:hAnsi="宋体" w:eastAsia="宋体" w:cs="宋体"/>
          <w:b/>
          <w:bCs/>
          <w:color w:val="auto"/>
          <w:highlight w:val="none"/>
        </w:rPr>
        <w:t>附件</w:t>
      </w:r>
      <w:r>
        <w:rPr>
          <w:rFonts w:hint="eastAsia" w:ascii="宋体" w:hAnsi="宋体" w:eastAsia="宋体" w:cs="宋体"/>
          <w:b/>
          <w:bCs/>
          <w:color w:val="auto"/>
          <w:highlight w:val="none"/>
          <w:lang w:val="en-US" w:eastAsia="zh-CN"/>
        </w:rPr>
        <w:t>4：</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演示</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授权委托书</w:t>
      </w:r>
    </w:p>
    <w:p>
      <w:pPr>
        <w:jc w:val="center"/>
        <w:rPr>
          <w:rFonts w:hint="eastAsia" w:ascii="宋体" w:hAnsi="宋体" w:eastAsia="宋体" w:cs="宋体"/>
          <w:color w:val="auto"/>
          <w:sz w:val="40"/>
          <w:highlight w:val="none"/>
        </w:rPr>
      </w:pPr>
      <w:r>
        <w:rPr>
          <w:rFonts w:hint="eastAsia" w:ascii="宋体" w:hAnsi="宋体" w:eastAsia="宋体" w:cs="宋体"/>
          <w:color w:val="auto"/>
          <w:sz w:val="40"/>
          <w:highlight w:val="none"/>
        </w:rPr>
        <w:t>演示授权委托书</w:t>
      </w:r>
    </w:p>
    <w:p>
      <w:pPr>
        <w:jc w:val="center"/>
        <w:rPr>
          <w:rFonts w:hint="eastAsia" w:ascii="宋体" w:hAnsi="宋体" w:eastAsia="宋体" w:cs="宋体"/>
          <w:color w:val="auto"/>
          <w:sz w:val="40"/>
          <w:highlight w:val="none"/>
        </w:rPr>
      </w:pP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XXX（单位名称或采购机构名称）</w:t>
      </w:r>
      <w:r>
        <w:rPr>
          <w:rFonts w:hint="eastAsia" w:ascii="宋体" w:hAnsi="宋体" w:eastAsia="宋体" w:cs="宋体"/>
          <w:color w:val="auto"/>
          <w:sz w:val="24"/>
          <w:szCs w:val="24"/>
          <w:highlight w:val="none"/>
          <w:lang w:val="zh-CN"/>
        </w:rPr>
        <w:t>：</w:t>
      </w:r>
    </w:p>
    <w:p>
      <w:pPr>
        <w:snapToGrid w:val="0"/>
        <w:spacing w:line="360" w:lineRule="auto"/>
        <w:ind w:left="254" w:leftChars="12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兹委派</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先生/女士，身份证号：</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手机：</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，代表我公司前来递交</w:t>
      </w:r>
      <w:r>
        <w:rPr>
          <w:rFonts w:hint="eastAsia" w:ascii="宋体" w:hAnsi="宋体" w:eastAsia="宋体" w:cs="宋体"/>
          <w:color w:val="auto"/>
          <w:sz w:val="24"/>
          <w:szCs w:val="24"/>
          <w:highlight w:val="none"/>
          <w:u w:val="single"/>
          <w:lang w:val="zh-CN"/>
        </w:rPr>
        <w:t xml:space="preserve">                        项目</w:t>
      </w:r>
      <w:r>
        <w:rPr>
          <w:rFonts w:hint="eastAsia" w:ascii="宋体" w:hAnsi="宋体" w:eastAsia="宋体" w:cs="宋体"/>
          <w:color w:val="auto"/>
          <w:sz w:val="24"/>
          <w:szCs w:val="24"/>
          <w:highlight w:val="none"/>
          <w:lang w:val="zh-CN"/>
        </w:rPr>
        <w:t>【编号：              】参加演示，并全权负责标后取回样品等其他处理事宜。</w:t>
      </w:r>
    </w:p>
    <w:p>
      <w:pPr>
        <w:snapToGri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    特此告知。</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zh-CN"/>
        </w:rPr>
        <w:t>名称(公章)：</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                                                  </w:t>
      </w:r>
    </w:p>
    <w:p>
      <w:pPr>
        <w:snapToGrid w:val="0"/>
        <w:spacing w:line="360" w:lineRule="auto"/>
        <w:ind w:right="240"/>
        <w:jc w:val="righ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签发日期：  年  月   日</w:t>
      </w:r>
    </w:p>
    <w:p>
      <w:pPr>
        <w:snapToGrid w:val="0"/>
        <w:spacing w:line="360" w:lineRule="auto"/>
        <w:ind w:right="240"/>
        <w:jc w:val="right"/>
        <w:rPr>
          <w:rFonts w:hint="eastAsia" w:ascii="宋体" w:hAnsi="宋体" w:eastAsia="宋体" w:cs="宋体"/>
          <w:color w:val="auto"/>
          <w:sz w:val="24"/>
          <w:szCs w:val="24"/>
          <w:highlight w:val="none"/>
          <w:lang w:val="zh-CN"/>
        </w:rPr>
      </w:pPr>
    </w:p>
    <w:p>
      <w:pPr>
        <w:snapToGrid w:val="0"/>
        <w:spacing w:line="360" w:lineRule="auto"/>
        <w:ind w:right="1920"/>
        <w:rPr>
          <w:rFonts w:hint="eastAsia" w:ascii="宋体" w:hAnsi="宋体" w:eastAsia="宋体" w:cs="宋体"/>
          <w:color w:val="auto"/>
          <w:sz w:val="24"/>
          <w:szCs w:val="24"/>
          <w:highlight w:val="none"/>
          <w:lang w:val="zh-CN"/>
        </w:rPr>
      </w:pPr>
    </w:p>
    <w:p>
      <w:pPr>
        <w:snapToGrid w:val="0"/>
        <w:spacing w:line="360" w:lineRule="auto"/>
        <w:ind w:right="240"/>
        <w:jc w:val="right"/>
        <w:rPr>
          <w:rFonts w:hint="eastAsia" w:ascii="宋体" w:hAnsi="宋体" w:eastAsia="宋体" w:cs="宋体"/>
          <w:color w:val="auto"/>
          <w:sz w:val="24"/>
          <w:szCs w:val="24"/>
          <w:highlight w:val="none"/>
          <w:lang w:val="zh-CN"/>
        </w:rPr>
      </w:pPr>
    </w:p>
    <w:p>
      <w:pPr>
        <w:snapToGrid w:val="0"/>
        <w:spacing w:line="360" w:lineRule="auto"/>
        <w:ind w:right="24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受委托人</w:t>
      </w:r>
      <w:r>
        <w:rPr>
          <w:rFonts w:hint="eastAsia" w:ascii="宋体" w:hAnsi="宋体" w:eastAsia="宋体" w:cs="宋体"/>
          <w:color w:val="auto"/>
          <w:sz w:val="24"/>
          <w:szCs w:val="24"/>
          <w:highlight w:val="none"/>
          <w:lang w:val="zh-CN"/>
        </w:rPr>
        <w:t>身份证复印件：</w:t>
      </w:r>
    </w:p>
    <w:p>
      <w:pPr>
        <w:snapToGrid w:val="0"/>
        <w:spacing w:line="360" w:lineRule="auto"/>
        <w:ind w:right="240"/>
        <w:rPr>
          <w:rFonts w:hint="eastAsia" w:ascii="宋体" w:hAnsi="宋体" w:eastAsia="宋体" w:cs="宋体"/>
          <w:color w:val="auto"/>
          <w:highlight w:val="none"/>
          <w:lang w:val="zh-CN"/>
        </w:rPr>
      </w:pPr>
    </w:p>
    <w:p>
      <w:pPr>
        <w:pStyle w:val="6"/>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6"/>
        <w:rPr>
          <w:rFonts w:hint="eastAsia"/>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说明：本委托书在演示时由受委托人携带至指定地点。</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bookmarkEnd w:id="387"/>
    <w:sectPr>
      <w:headerReference r:id="rId12" w:type="first"/>
      <w:footerReference r:id="rId15" w:type="first"/>
      <w:headerReference r:id="rId11" w:type="default"/>
      <w:footerReference r:id="rId13" w:type="default"/>
      <w:footerReference r:id="rId1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0000000000000000000"/>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00685" cy="147955"/>
              <wp:effectExtent l="0" t="0" r="0" b="0"/>
              <wp:wrapNone/>
              <wp:docPr id="12" name="文本框 6"/>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pPr>
                            <w:pStyle w:val="42"/>
                          </w:pPr>
                          <w:r>
                            <w:t xml:space="preserve">第 </w:t>
                          </w:r>
                          <w:r>
                            <w:fldChar w:fldCharType="begin"/>
                          </w:r>
                          <w:r>
                            <w:instrText xml:space="preserve"> PAGE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1.65pt;width:31.55pt;mso-position-horizontal:center;mso-position-horizontal-relative:margin;mso-wrap-style:none;z-index:251661312;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rfO0gAAAAMBAAAPAAAAAAAAAAEAIAAAACIAAABkcnMvZG93bnJldi54bWxQSwECFAAU&#10;AAAACACHTuJACiKTUDACAABUBAAADgAAAAAAAAABACAAAAAhAQAAZHJzL2Uyb0RvYy54bWxQSwUG&#10;AAAAAAYABgBZAQAAww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23</w:t>
                    </w:r>
                    <w:r>
                      <w:fldChar w:fldCharType="end"/>
                    </w:r>
                    <w:r>
                      <w:t xml:space="preserve"> 页</w:t>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00685" cy="147955"/>
              <wp:effectExtent l="0" t="0" r="0" b="0"/>
              <wp:wrapNone/>
              <wp:docPr id="13" name="文本框 5"/>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pPr>
                            <w:pStyle w:val="4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1.65pt;width:31.55pt;mso-position-horizontal:center;mso-position-horizontal-relative:margin;mso-wrap-style:none;z-index:251662336;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96t87SAAAAAwEAAA8AAAAAAAAAAQAgAAAAIgAAAGRycy9kb3ducmV2LnhtbFBLAQIUABQA&#10;AAAIAIdO4kBTwoLfLwIAAFQEAAAOAAAAAAAAAAEAIAAAACEBAABkcnMvZTJvRG9jLnhtbFBLBQYA&#10;AAAABgAGAFkBAADCBQ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57835" cy="147955"/>
              <wp:effectExtent l="0" t="0" r="0" b="0"/>
              <wp:wrapNone/>
              <wp:docPr id="14" name="文本框 4"/>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w="6350">
                        <a:noFill/>
                      </a:ln>
                    </wps:spPr>
                    <wps:txbx>
                      <w:txbxContent>
                        <w:p>
                          <w:pPr>
                            <w:pStyle w:val="42"/>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1.65pt;width:36.05pt;mso-position-horizontal:center;mso-position-horizontal-relative:margin;mso-wrap-style:none;z-index:251663360;mso-width-relative:page;mso-height-relative:page;" filled="f" stroked="f" coordsize="21600,21600" o:gfxdata="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l4FrNEAAAADAQAADwAAAAAAAAABACAAAAAiAAAAZHJzL2Rvd25yZXYueG1sUEsBAhQA&#10;FAAAAAgAh07iQDw6MW4yAgAAVAQAAA4AAAAAAAAAAQAgAAAAIAEAAGRycy9lMm9Eb2MueG1sUEsF&#10;BgAAAAAGAAYAWQEAAMQFA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57835" cy="147955"/>
              <wp:effectExtent l="0" t="0" r="0" b="0"/>
              <wp:wrapNone/>
              <wp:docPr id="15" name="文本框 3"/>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w="6350">
                        <a:noFill/>
                      </a:ln>
                    </wps:spPr>
                    <wps:txbx>
                      <w:txbxContent>
                        <w:p>
                          <w:pPr>
                            <w:pStyle w:val="42"/>
                          </w:pPr>
                          <w:r>
                            <w:t xml:space="preserve">第 </w:t>
                          </w:r>
                          <w:r>
                            <w:fldChar w:fldCharType="begin"/>
                          </w:r>
                          <w:r>
                            <w:instrText xml:space="preserve"> PAGE  \* MERGEFORMAT </w:instrText>
                          </w:r>
                          <w:r>
                            <w:fldChar w:fldCharType="separate"/>
                          </w:r>
                          <w:r>
                            <w:t>38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1.65pt;width:36.05pt;mso-position-horizontal:center;mso-position-horizontal-relative:margin;mso-wrap-style:none;z-index:251664384;mso-width-relative:page;mso-height-relative:page;" filled="f" stroked="f" coordsize="21600,21600" o:gfxdata="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XgWs0QAAAAMBAAAPAAAAAAAAAAEAIAAAACIAAABkcnMvZG93bnJldi54bWxQSwECFAAU&#10;AAAACACHTuJAL4TE8zECAABUBAAADgAAAAAAAAABACAAAAAgAQAAZHJzL2Uyb0RvYy54bWxQSwUG&#10;AAAAAAYABgBZAQAAww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38</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57835" cy="147955"/>
              <wp:effectExtent l="0" t="0" r="0" b="0"/>
              <wp:wrapNone/>
              <wp:docPr id="16" name="文本框 2"/>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w="6350">
                        <a:noFill/>
                      </a:ln>
                    </wps:spPr>
                    <wps:txbx>
                      <w:txbxContent>
                        <w:p>
                          <w:pPr>
                            <w:pStyle w:val="42"/>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1.65pt;width:36.05pt;mso-position-horizontal:center;mso-position-horizontal-relative:margin;mso-wrap-style:none;z-index:251665408;mso-width-relative:page;mso-height-relative:page;" filled="f" stroked="f" coordsize="21600,21600" o:gfxdata="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l4FrNEAAAADAQAADwAAAAAAAAABACAAAAAiAAAAZHJzL2Rvd25yZXYueG1sUEsBAhQA&#10;FAAAAAgAh07iQM/8Y6syAgAAVAQAAA4AAAAAAAAAAQAgAAAAIAEAAGRycy9lMm9Eb2MueG1sUEsF&#10;BgAAAAAGAAYAWQEAAMQFA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5"/>
      </w:rPr>
    </w:pPr>
    <w:r>
      <w:fldChar w:fldCharType="begin"/>
    </w:r>
    <w:r>
      <w:rPr>
        <w:rStyle w:val="75"/>
      </w:rPr>
      <w:instrText xml:space="preserve">PAGE  </w:instrText>
    </w:r>
    <w:r>
      <w:fldChar w:fldCharType="end"/>
    </w:r>
  </w:p>
  <w:p>
    <w:pPr>
      <w:pStyle w:val="4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457835" cy="147955"/>
              <wp:effectExtent l="0" t="0" r="0" b="0"/>
              <wp:wrapNone/>
              <wp:docPr id="17" name="文本框 1"/>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w="6350">
                        <a:noFill/>
                      </a:ln>
                    </wps:spPr>
                    <wps:txbx>
                      <w:txbxContent>
                        <w:p>
                          <w:pPr>
                            <w:pStyle w:val="42"/>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65pt;width:36.05pt;mso-position-horizontal:center;mso-position-horizontal-relative:margin;mso-wrap-style:none;z-index:251666432;mso-width-relative:page;mso-height-relative:page;" filled="f" stroked="f" coordsize="21600,21600" o:gfxdata="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l4FrNEAAAADAQAADwAAAAAAAAABACAAAAAiAAAAZHJzL2Rvd25yZXYueG1sUEsBAhQA&#10;FAAAAAgAh07iQJYcciQyAgAAVAQAAA4AAAAAAAAAAQAgAAAAIAEAAGRycy9lMm9Eb2MueG1sUEsF&#10;BgAAAAAGAAYAWQEAAMQFA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rPr>
      <w:t xml:space="preserve">                                                                                        公开竞争文件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rPr>
      <w:t xml:space="preserve">                                                                                        公开竞争文件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公开竞争文件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公开竞争文件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公开竞争文件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公开竞争文件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CA0FB"/>
    <w:multiLevelType w:val="singleLevel"/>
    <w:tmpl w:val="434CA0FB"/>
    <w:lvl w:ilvl="0" w:tentative="0">
      <w:start w:val="14"/>
      <w:numFmt w:val="decimal"/>
      <w:lvlText w:val="%1."/>
      <w:lvlJc w:val="left"/>
      <w:pPr>
        <w:tabs>
          <w:tab w:val="left" w:pos="312"/>
        </w:tabs>
      </w:pPr>
    </w:lvl>
  </w:abstractNum>
  <w:abstractNum w:abstractNumId="1">
    <w:nsid w:val="5559833E"/>
    <w:multiLevelType w:val="singleLevel"/>
    <w:tmpl w:val="5559833E"/>
    <w:lvl w:ilvl="0" w:tentative="0">
      <w:start w:val="1"/>
      <w:numFmt w:val="chineseCounting"/>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wOGU3ZDU0OWE3MmIzNzlhNzdiMzBhNTdiYmI4Yj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08E"/>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455"/>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B08"/>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1DEF"/>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132"/>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C2B"/>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08A"/>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A9E"/>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5DFD"/>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C1D"/>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3F7D15"/>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8F7"/>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57"/>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87"/>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EB3"/>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7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CA5"/>
    <w:rsid w:val="005A5DDE"/>
    <w:rsid w:val="005A64A8"/>
    <w:rsid w:val="005A65C5"/>
    <w:rsid w:val="005A6875"/>
    <w:rsid w:val="005A6F11"/>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29B"/>
    <w:rsid w:val="00652CF5"/>
    <w:rsid w:val="006532A4"/>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38B"/>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A52"/>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114E"/>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1E70"/>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603"/>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773"/>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972"/>
    <w:rsid w:val="00947BA5"/>
    <w:rsid w:val="00950805"/>
    <w:rsid w:val="009517E4"/>
    <w:rsid w:val="009518D4"/>
    <w:rsid w:val="009520BC"/>
    <w:rsid w:val="009521D2"/>
    <w:rsid w:val="00952403"/>
    <w:rsid w:val="00952589"/>
    <w:rsid w:val="00952BD8"/>
    <w:rsid w:val="00953573"/>
    <w:rsid w:val="009537C0"/>
    <w:rsid w:val="00954272"/>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338"/>
    <w:rsid w:val="00995B01"/>
    <w:rsid w:val="00996055"/>
    <w:rsid w:val="00996EF4"/>
    <w:rsid w:val="00997044"/>
    <w:rsid w:val="00997BC9"/>
    <w:rsid w:val="009A00FE"/>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2"/>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256"/>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4D67"/>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232"/>
    <w:rsid w:val="00B53623"/>
    <w:rsid w:val="00B53D1D"/>
    <w:rsid w:val="00B53E98"/>
    <w:rsid w:val="00B53F9B"/>
    <w:rsid w:val="00B54B19"/>
    <w:rsid w:val="00B55F64"/>
    <w:rsid w:val="00B56ECA"/>
    <w:rsid w:val="00B57093"/>
    <w:rsid w:val="00B57B5D"/>
    <w:rsid w:val="00B60613"/>
    <w:rsid w:val="00B60C8A"/>
    <w:rsid w:val="00B61AEC"/>
    <w:rsid w:val="00B6244C"/>
    <w:rsid w:val="00B62A2F"/>
    <w:rsid w:val="00B62B7B"/>
    <w:rsid w:val="00B62F0A"/>
    <w:rsid w:val="00B63484"/>
    <w:rsid w:val="00B634B7"/>
    <w:rsid w:val="00B634F1"/>
    <w:rsid w:val="00B637EF"/>
    <w:rsid w:val="00B639DC"/>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29"/>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7EE"/>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6F6"/>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8E3"/>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09A"/>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5B18"/>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A15"/>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B76"/>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166"/>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09B"/>
    <w:rsid w:val="00F353F4"/>
    <w:rsid w:val="00F35494"/>
    <w:rsid w:val="00F35607"/>
    <w:rsid w:val="00F359AB"/>
    <w:rsid w:val="00F35DBA"/>
    <w:rsid w:val="00F3619D"/>
    <w:rsid w:val="00F36DDE"/>
    <w:rsid w:val="00F3722A"/>
    <w:rsid w:val="00F372A0"/>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3E2"/>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DB0"/>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7055D0"/>
    <w:rsid w:val="0178495D"/>
    <w:rsid w:val="019F7441"/>
    <w:rsid w:val="01A06AA0"/>
    <w:rsid w:val="01B37585"/>
    <w:rsid w:val="01B5399D"/>
    <w:rsid w:val="01C064F8"/>
    <w:rsid w:val="01D55165"/>
    <w:rsid w:val="01DF6BF8"/>
    <w:rsid w:val="01E51EB5"/>
    <w:rsid w:val="01EC2C57"/>
    <w:rsid w:val="020108F5"/>
    <w:rsid w:val="02021298"/>
    <w:rsid w:val="020B640B"/>
    <w:rsid w:val="025F0711"/>
    <w:rsid w:val="02644317"/>
    <w:rsid w:val="026B2E25"/>
    <w:rsid w:val="02824D4D"/>
    <w:rsid w:val="02BE3979"/>
    <w:rsid w:val="02DC4B10"/>
    <w:rsid w:val="02DD76CE"/>
    <w:rsid w:val="02F36323"/>
    <w:rsid w:val="02F5619C"/>
    <w:rsid w:val="0326446A"/>
    <w:rsid w:val="032D5555"/>
    <w:rsid w:val="036634D2"/>
    <w:rsid w:val="038A68D9"/>
    <w:rsid w:val="03D64210"/>
    <w:rsid w:val="03DD35E4"/>
    <w:rsid w:val="04076900"/>
    <w:rsid w:val="041A5A3B"/>
    <w:rsid w:val="042311BA"/>
    <w:rsid w:val="042B157A"/>
    <w:rsid w:val="04610B65"/>
    <w:rsid w:val="048F763B"/>
    <w:rsid w:val="049F330E"/>
    <w:rsid w:val="04AA775C"/>
    <w:rsid w:val="04AF1889"/>
    <w:rsid w:val="04B85F11"/>
    <w:rsid w:val="04E4640D"/>
    <w:rsid w:val="04EE3F9B"/>
    <w:rsid w:val="04F66F48"/>
    <w:rsid w:val="051E28A6"/>
    <w:rsid w:val="05251E14"/>
    <w:rsid w:val="05507636"/>
    <w:rsid w:val="05770BD6"/>
    <w:rsid w:val="058806C7"/>
    <w:rsid w:val="05A16594"/>
    <w:rsid w:val="05A7762D"/>
    <w:rsid w:val="05BF4603"/>
    <w:rsid w:val="05C04DC2"/>
    <w:rsid w:val="060E5941"/>
    <w:rsid w:val="06110FAF"/>
    <w:rsid w:val="06493CA7"/>
    <w:rsid w:val="065A6178"/>
    <w:rsid w:val="066D3597"/>
    <w:rsid w:val="066F1CF3"/>
    <w:rsid w:val="06930BB8"/>
    <w:rsid w:val="06956198"/>
    <w:rsid w:val="07245D42"/>
    <w:rsid w:val="07264C62"/>
    <w:rsid w:val="072F6604"/>
    <w:rsid w:val="074460BC"/>
    <w:rsid w:val="0779354C"/>
    <w:rsid w:val="077F0C95"/>
    <w:rsid w:val="07C300BD"/>
    <w:rsid w:val="07FE18F3"/>
    <w:rsid w:val="08061376"/>
    <w:rsid w:val="08452D77"/>
    <w:rsid w:val="086401F8"/>
    <w:rsid w:val="08751CAA"/>
    <w:rsid w:val="0876556A"/>
    <w:rsid w:val="087E4C40"/>
    <w:rsid w:val="08974D11"/>
    <w:rsid w:val="08A53637"/>
    <w:rsid w:val="08A81E80"/>
    <w:rsid w:val="08A871D0"/>
    <w:rsid w:val="08D66AD6"/>
    <w:rsid w:val="08DA33A3"/>
    <w:rsid w:val="08E80F13"/>
    <w:rsid w:val="092612F3"/>
    <w:rsid w:val="092748F4"/>
    <w:rsid w:val="09335624"/>
    <w:rsid w:val="0944690F"/>
    <w:rsid w:val="09535675"/>
    <w:rsid w:val="095D1A5F"/>
    <w:rsid w:val="095F057D"/>
    <w:rsid w:val="09642282"/>
    <w:rsid w:val="09733572"/>
    <w:rsid w:val="09772C16"/>
    <w:rsid w:val="098353B5"/>
    <w:rsid w:val="09A92330"/>
    <w:rsid w:val="09B06B87"/>
    <w:rsid w:val="09C13146"/>
    <w:rsid w:val="09E04166"/>
    <w:rsid w:val="09F81448"/>
    <w:rsid w:val="0A1C0718"/>
    <w:rsid w:val="0A2C10A7"/>
    <w:rsid w:val="0A3E7710"/>
    <w:rsid w:val="0A5B7E63"/>
    <w:rsid w:val="0A5E227D"/>
    <w:rsid w:val="0A7F4701"/>
    <w:rsid w:val="0AA374A5"/>
    <w:rsid w:val="0AAB7649"/>
    <w:rsid w:val="0AAF5E89"/>
    <w:rsid w:val="0AB86C5C"/>
    <w:rsid w:val="0ABC5606"/>
    <w:rsid w:val="0AC42692"/>
    <w:rsid w:val="0ADE3108"/>
    <w:rsid w:val="0ADF4EB4"/>
    <w:rsid w:val="0B0F74C5"/>
    <w:rsid w:val="0B30404E"/>
    <w:rsid w:val="0B4C6C14"/>
    <w:rsid w:val="0B524759"/>
    <w:rsid w:val="0B631A88"/>
    <w:rsid w:val="0B683D45"/>
    <w:rsid w:val="0B76461B"/>
    <w:rsid w:val="0B7F3F11"/>
    <w:rsid w:val="0B884417"/>
    <w:rsid w:val="0B93709B"/>
    <w:rsid w:val="0BCD4F81"/>
    <w:rsid w:val="0BEF5C9E"/>
    <w:rsid w:val="0BF6188C"/>
    <w:rsid w:val="0BF73C91"/>
    <w:rsid w:val="0C170175"/>
    <w:rsid w:val="0C41327A"/>
    <w:rsid w:val="0C571A41"/>
    <w:rsid w:val="0C5C1171"/>
    <w:rsid w:val="0C5E1CBC"/>
    <w:rsid w:val="0C615B50"/>
    <w:rsid w:val="0C6E0EEC"/>
    <w:rsid w:val="0C8445DA"/>
    <w:rsid w:val="0C87121B"/>
    <w:rsid w:val="0CAE0BF3"/>
    <w:rsid w:val="0CC007F7"/>
    <w:rsid w:val="0CC617AC"/>
    <w:rsid w:val="0CFE707A"/>
    <w:rsid w:val="0D063BDA"/>
    <w:rsid w:val="0D08375F"/>
    <w:rsid w:val="0D184CFB"/>
    <w:rsid w:val="0D37621D"/>
    <w:rsid w:val="0D3D3B60"/>
    <w:rsid w:val="0D400115"/>
    <w:rsid w:val="0D4A7419"/>
    <w:rsid w:val="0D827401"/>
    <w:rsid w:val="0D84094E"/>
    <w:rsid w:val="0D8A00E9"/>
    <w:rsid w:val="0D8D589E"/>
    <w:rsid w:val="0D95362E"/>
    <w:rsid w:val="0DA01C73"/>
    <w:rsid w:val="0DD63300"/>
    <w:rsid w:val="0DF50604"/>
    <w:rsid w:val="0DF702FE"/>
    <w:rsid w:val="0E060E51"/>
    <w:rsid w:val="0E22536A"/>
    <w:rsid w:val="0E24319C"/>
    <w:rsid w:val="0E373674"/>
    <w:rsid w:val="0E5604B2"/>
    <w:rsid w:val="0E6D5D79"/>
    <w:rsid w:val="0E6F14E6"/>
    <w:rsid w:val="0E7B3650"/>
    <w:rsid w:val="0E9D0089"/>
    <w:rsid w:val="0EB803EE"/>
    <w:rsid w:val="0EEC5883"/>
    <w:rsid w:val="0EF94D4B"/>
    <w:rsid w:val="0F0B13B6"/>
    <w:rsid w:val="0F182768"/>
    <w:rsid w:val="0F4958DC"/>
    <w:rsid w:val="0F515DF7"/>
    <w:rsid w:val="0F596BA8"/>
    <w:rsid w:val="0F6248D2"/>
    <w:rsid w:val="0F635421"/>
    <w:rsid w:val="0F693536"/>
    <w:rsid w:val="0F7B0511"/>
    <w:rsid w:val="0F7B76D9"/>
    <w:rsid w:val="0F803E6A"/>
    <w:rsid w:val="0F816ACD"/>
    <w:rsid w:val="0F9832DB"/>
    <w:rsid w:val="0FAE51A1"/>
    <w:rsid w:val="0FBF3FD2"/>
    <w:rsid w:val="0FBF7FF3"/>
    <w:rsid w:val="0FCF1C32"/>
    <w:rsid w:val="0FDA406B"/>
    <w:rsid w:val="0FFC3E38"/>
    <w:rsid w:val="10156805"/>
    <w:rsid w:val="10646583"/>
    <w:rsid w:val="107D4B15"/>
    <w:rsid w:val="10841832"/>
    <w:rsid w:val="108A3C80"/>
    <w:rsid w:val="10C26171"/>
    <w:rsid w:val="10DC700E"/>
    <w:rsid w:val="10F33360"/>
    <w:rsid w:val="10F4083A"/>
    <w:rsid w:val="10FC16EA"/>
    <w:rsid w:val="110F1D40"/>
    <w:rsid w:val="11266F33"/>
    <w:rsid w:val="118963A1"/>
    <w:rsid w:val="11C6522A"/>
    <w:rsid w:val="11D5776E"/>
    <w:rsid w:val="11E104CC"/>
    <w:rsid w:val="11E20309"/>
    <w:rsid w:val="12255233"/>
    <w:rsid w:val="12530213"/>
    <w:rsid w:val="127723A9"/>
    <w:rsid w:val="12862074"/>
    <w:rsid w:val="12883966"/>
    <w:rsid w:val="129E45B4"/>
    <w:rsid w:val="12C568DF"/>
    <w:rsid w:val="12D21374"/>
    <w:rsid w:val="12D81596"/>
    <w:rsid w:val="13072A44"/>
    <w:rsid w:val="131A1B7F"/>
    <w:rsid w:val="13474EA5"/>
    <w:rsid w:val="135F4BE2"/>
    <w:rsid w:val="13913864"/>
    <w:rsid w:val="139B1A0A"/>
    <w:rsid w:val="139B5BDE"/>
    <w:rsid w:val="139D25C7"/>
    <w:rsid w:val="13BF3CE4"/>
    <w:rsid w:val="140F0A5D"/>
    <w:rsid w:val="141008D8"/>
    <w:rsid w:val="14125FE6"/>
    <w:rsid w:val="142B70E5"/>
    <w:rsid w:val="14500381"/>
    <w:rsid w:val="145B4D9F"/>
    <w:rsid w:val="146D271E"/>
    <w:rsid w:val="14982588"/>
    <w:rsid w:val="149A5AD9"/>
    <w:rsid w:val="14A7619D"/>
    <w:rsid w:val="14F25B02"/>
    <w:rsid w:val="150536C3"/>
    <w:rsid w:val="150C1963"/>
    <w:rsid w:val="151447A0"/>
    <w:rsid w:val="154A6454"/>
    <w:rsid w:val="15762120"/>
    <w:rsid w:val="157B135B"/>
    <w:rsid w:val="15844A86"/>
    <w:rsid w:val="158D6793"/>
    <w:rsid w:val="158D693A"/>
    <w:rsid w:val="15F56AC3"/>
    <w:rsid w:val="1608540D"/>
    <w:rsid w:val="160F20DB"/>
    <w:rsid w:val="16204A74"/>
    <w:rsid w:val="166C515D"/>
    <w:rsid w:val="1688488C"/>
    <w:rsid w:val="16A8729C"/>
    <w:rsid w:val="16B33777"/>
    <w:rsid w:val="16BC70A7"/>
    <w:rsid w:val="16C6339E"/>
    <w:rsid w:val="16C730F7"/>
    <w:rsid w:val="16D6012D"/>
    <w:rsid w:val="16FE2244"/>
    <w:rsid w:val="171C02E4"/>
    <w:rsid w:val="172F2D79"/>
    <w:rsid w:val="17557BEF"/>
    <w:rsid w:val="176D1E2A"/>
    <w:rsid w:val="17852075"/>
    <w:rsid w:val="178B06F1"/>
    <w:rsid w:val="17A05FFC"/>
    <w:rsid w:val="17B67BB9"/>
    <w:rsid w:val="17D349C1"/>
    <w:rsid w:val="17E066D8"/>
    <w:rsid w:val="1830729E"/>
    <w:rsid w:val="18394486"/>
    <w:rsid w:val="185134E3"/>
    <w:rsid w:val="1870062C"/>
    <w:rsid w:val="18817102"/>
    <w:rsid w:val="18830A15"/>
    <w:rsid w:val="18852B28"/>
    <w:rsid w:val="188B5321"/>
    <w:rsid w:val="18C776A6"/>
    <w:rsid w:val="18CA21AC"/>
    <w:rsid w:val="18D64F20"/>
    <w:rsid w:val="18E351D9"/>
    <w:rsid w:val="18EE574D"/>
    <w:rsid w:val="192C485A"/>
    <w:rsid w:val="19341F4D"/>
    <w:rsid w:val="197524E7"/>
    <w:rsid w:val="19761DA4"/>
    <w:rsid w:val="19932372"/>
    <w:rsid w:val="19A07A88"/>
    <w:rsid w:val="19A20DD5"/>
    <w:rsid w:val="19AE03F1"/>
    <w:rsid w:val="19D16EBE"/>
    <w:rsid w:val="19DD3768"/>
    <w:rsid w:val="19F67ACE"/>
    <w:rsid w:val="1A071A03"/>
    <w:rsid w:val="1A1A5A79"/>
    <w:rsid w:val="1A1A697E"/>
    <w:rsid w:val="1A1F16AE"/>
    <w:rsid w:val="1A3B5C77"/>
    <w:rsid w:val="1A6E0031"/>
    <w:rsid w:val="1A78287A"/>
    <w:rsid w:val="1A7A249A"/>
    <w:rsid w:val="1A984BAD"/>
    <w:rsid w:val="1AB8220E"/>
    <w:rsid w:val="1AE4166C"/>
    <w:rsid w:val="1AF06CFB"/>
    <w:rsid w:val="1AF11B8D"/>
    <w:rsid w:val="1B11359C"/>
    <w:rsid w:val="1B2A271F"/>
    <w:rsid w:val="1B530544"/>
    <w:rsid w:val="1B6A1519"/>
    <w:rsid w:val="1B713184"/>
    <w:rsid w:val="1B825FBC"/>
    <w:rsid w:val="1BA209CF"/>
    <w:rsid w:val="1BB4777D"/>
    <w:rsid w:val="1BD75AB8"/>
    <w:rsid w:val="1BE22A26"/>
    <w:rsid w:val="1C0459C2"/>
    <w:rsid w:val="1C1B3B4A"/>
    <w:rsid w:val="1C537570"/>
    <w:rsid w:val="1C88086E"/>
    <w:rsid w:val="1CA045EE"/>
    <w:rsid w:val="1CC47A8B"/>
    <w:rsid w:val="1D266CE1"/>
    <w:rsid w:val="1D3963AF"/>
    <w:rsid w:val="1D44297A"/>
    <w:rsid w:val="1D6A673C"/>
    <w:rsid w:val="1D9247AE"/>
    <w:rsid w:val="1DB567EC"/>
    <w:rsid w:val="1DEC22C4"/>
    <w:rsid w:val="1DF51A98"/>
    <w:rsid w:val="1E3D060F"/>
    <w:rsid w:val="1E3F7D2E"/>
    <w:rsid w:val="1E4134E4"/>
    <w:rsid w:val="1E5062B3"/>
    <w:rsid w:val="1E523514"/>
    <w:rsid w:val="1E714A66"/>
    <w:rsid w:val="1E730E11"/>
    <w:rsid w:val="1E802593"/>
    <w:rsid w:val="1E8B6156"/>
    <w:rsid w:val="1EA703CC"/>
    <w:rsid w:val="1EB7330C"/>
    <w:rsid w:val="1F0A0FF3"/>
    <w:rsid w:val="1F5771FF"/>
    <w:rsid w:val="1F8712D7"/>
    <w:rsid w:val="1FE868A9"/>
    <w:rsid w:val="1FFA0626"/>
    <w:rsid w:val="20034907"/>
    <w:rsid w:val="20173E4B"/>
    <w:rsid w:val="204E48BC"/>
    <w:rsid w:val="208921B3"/>
    <w:rsid w:val="2093370A"/>
    <w:rsid w:val="20973DEB"/>
    <w:rsid w:val="20B26522"/>
    <w:rsid w:val="20B34C6B"/>
    <w:rsid w:val="20B44310"/>
    <w:rsid w:val="20DF1008"/>
    <w:rsid w:val="20EE2FE4"/>
    <w:rsid w:val="211116EB"/>
    <w:rsid w:val="211E01F0"/>
    <w:rsid w:val="212D6D8F"/>
    <w:rsid w:val="216133FC"/>
    <w:rsid w:val="218944CA"/>
    <w:rsid w:val="21D56769"/>
    <w:rsid w:val="21D62C50"/>
    <w:rsid w:val="21E52EF3"/>
    <w:rsid w:val="21FB5D7B"/>
    <w:rsid w:val="220B1C3D"/>
    <w:rsid w:val="221D1D20"/>
    <w:rsid w:val="22334A87"/>
    <w:rsid w:val="22B61EBB"/>
    <w:rsid w:val="22B83BEE"/>
    <w:rsid w:val="22BE6801"/>
    <w:rsid w:val="22C04C60"/>
    <w:rsid w:val="22E03145"/>
    <w:rsid w:val="23113F1A"/>
    <w:rsid w:val="233500BF"/>
    <w:rsid w:val="23377FF7"/>
    <w:rsid w:val="236B425F"/>
    <w:rsid w:val="23836192"/>
    <w:rsid w:val="23901F29"/>
    <w:rsid w:val="239C0061"/>
    <w:rsid w:val="23B908A4"/>
    <w:rsid w:val="23E406C4"/>
    <w:rsid w:val="23E95BEF"/>
    <w:rsid w:val="23FC52F4"/>
    <w:rsid w:val="23FD0064"/>
    <w:rsid w:val="244C6C81"/>
    <w:rsid w:val="245375B0"/>
    <w:rsid w:val="24642C0A"/>
    <w:rsid w:val="24667B44"/>
    <w:rsid w:val="246A3BA8"/>
    <w:rsid w:val="248B443A"/>
    <w:rsid w:val="2492728B"/>
    <w:rsid w:val="249307DC"/>
    <w:rsid w:val="24B22173"/>
    <w:rsid w:val="24B95AD9"/>
    <w:rsid w:val="24BE24DA"/>
    <w:rsid w:val="24CF5825"/>
    <w:rsid w:val="24D663E6"/>
    <w:rsid w:val="24D77F2B"/>
    <w:rsid w:val="254F52B1"/>
    <w:rsid w:val="258B00E2"/>
    <w:rsid w:val="25A34E23"/>
    <w:rsid w:val="25A917A6"/>
    <w:rsid w:val="25BE27CC"/>
    <w:rsid w:val="25E92F53"/>
    <w:rsid w:val="25F74A5C"/>
    <w:rsid w:val="2628662C"/>
    <w:rsid w:val="262D45DE"/>
    <w:rsid w:val="266E6AE8"/>
    <w:rsid w:val="267E09C1"/>
    <w:rsid w:val="26871DC8"/>
    <w:rsid w:val="26A53EF9"/>
    <w:rsid w:val="26A6481F"/>
    <w:rsid w:val="26A94201"/>
    <w:rsid w:val="26AC274F"/>
    <w:rsid w:val="270377E9"/>
    <w:rsid w:val="27044A29"/>
    <w:rsid w:val="271C6863"/>
    <w:rsid w:val="271D34C8"/>
    <w:rsid w:val="27287515"/>
    <w:rsid w:val="272F6449"/>
    <w:rsid w:val="274C4FBA"/>
    <w:rsid w:val="2752238E"/>
    <w:rsid w:val="276142BF"/>
    <w:rsid w:val="27783712"/>
    <w:rsid w:val="27907362"/>
    <w:rsid w:val="279B7084"/>
    <w:rsid w:val="27A02A0E"/>
    <w:rsid w:val="282D0BDB"/>
    <w:rsid w:val="28333E1D"/>
    <w:rsid w:val="28454BD6"/>
    <w:rsid w:val="28455253"/>
    <w:rsid w:val="28551971"/>
    <w:rsid w:val="285B1C53"/>
    <w:rsid w:val="289F7086"/>
    <w:rsid w:val="28C32028"/>
    <w:rsid w:val="28CC490F"/>
    <w:rsid w:val="28D20DF1"/>
    <w:rsid w:val="28DE40AA"/>
    <w:rsid w:val="29345E77"/>
    <w:rsid w:val="29453CBE"/>
    <w:rsid w:val="294C65AD"/>
    <w:rsid w:val="294E3480"/>
    <w:rsid w:val="29806583"/>
    <w:rsid w:val="298B3C4C"/>
    <w:rsid w:val="29F26D24"/>
    <w:rsid w:val="2A15033F"/>
    <w:rsid w:val="2A1662C1"/>
    <w:rsid w:val="2A1C7367"/>
    <w:rsid w:val="2A2815FA"/>
    <w:rsid w:val="2A6D6092"/>
    <w:rsid w:val="2A7D76B4"/>
    <w:rsid w:val="2A830ABD"/>
    <w:rsid w:val="2AD8021A"/>
    <w:rsid w:val="2AEE1B3B"/>
    <w:rsid w:val="2AF47F2E"/>
    <w:rsid w:val="2B437463"/>
    <w:rsid w:val="2B7807EE"/>
    <w:rsid w:val="2B8C47CE"/>
    <w:rsid w:val="2BA50BF7"/>
    <w:rsid w:val="2BBE5FD9"/>
    <w:rsid w:val="2BBF00EC"/>
    <w:rsid w:val="2BC37CFD"/>
    <w:rsid w:val="2BD5237F"/>
    <w:rsid w:val="2BE536CE"/>
    <w:rsid w:val="2BE758D9"/>
    <w:rsid w:val="2BEA7DD3"/>
    <w:rsid w:val="2C09049E"/>
    <w:rsid w:val="2C0A653C"/>
    <w:rsid w:val="2C191F85"/>
    <w:rsid w:val="2C4659F6"/>
    <w:rsid w:val="2C8C4873"/>
    <w:rsid w:val="2C994A93"/>
    <w:rsid w:val="2CE82D6F"/>
    <w:rsid w:val="2D2216DE"/>
    <w:rsid w:val="2D343236"/>
    <w:rsid w:val="2D9249DE"/>
    <w:rsid w:val="2D956040"/>
    <w:rsid w:val="2DC53663"/>
    <w:rsid w:val="2DD15014"/>
    <w:rsid w:val="2DF72DE4"/>
    <w:rsid w:val="2E0220AF"/>
    <w:rsid w:val="2E4B082A"/>
    <w:rsid w:val="2E5D4E86"/>
    <w:rsid w:val="2E5D790B"/>
    <w:rsid w:val="2E776A61"/>
    <w:rsid w:val="2E9A3C18"/>
    <w:rsid w:val="2EBB0FEE"/>
    <w:rsid w:val="2EC63002"/>
    <w:rsid w:val="2ECB46DA"/>
    <w:rsid w:val="2F064D1A"/>
    <w:rsid w:val="2F0A6B38"/>
    <w:rsid w:val="2F0E78D3"/>
    <w:rsid w:val="2F946CCB"/>
    <w:rsid w:val="2FCE2CA3"/>
    <w:rsid w:val="2FD25781"/>
    <w:rsid w:val="2FDE33BA"/>
    <w:rsid w:val="2FF346DE"/>
    <w:rsid w:val="2FFB7730"/>
    <w:rsid w:val="2FFD7934"/>
    <w:rsid w:val="30201A01"/>
    <w:rsid w:val="30733ACD"/>
    <w:rsid w:val="308C3862"/>
    <w:rsid w:val="309379D8"/>
    <w:rsid w:val="3098069E"/>
    <w:rsid w:val="309B6899"/>
    <w:rsid w:val="30A270F7"/>
    <w:rsid w:val="30DF1478"/>
    <w:rsid w:val="30EA055D"/>
    <w:rsid w:val="30EC586F"/>
    <w:rsid w:val="30ED58A9"/>
    <w:rsid w:val="319C6071"/>
    <w:rsid w:val="31AC537E"/>
    <w:rsid w:val="31B420C4"/>
    <w:rsid w:val="31B82C24"/>
    <w:rsid w:val="31C17BA9"/>
    <w:rsid w:val="31C549B6"/>
    <w:rsid w:val="31E3679B"/>
    <w:rsid w:val="31E732FD"/>
    <w:rsid w:val="32517576"/>
    <w:rsid w:val="32587683"/>
    <w:rsid w:val="3262346C"/>
    <w:rsid w:val="32A64673"/>
    <w:rsid w:val="32BE5C2C"/>
    <w:rsid w:val="32FB6478"/>
    <w:rsid w:val="331E793D"/>
    <w:rsid w:val="332637C2"/>
    <w:rsid w:val="33263B3F"/>
    <w:rsid w:val="33610962"/>
    <w:rsid w:val="336963EB"/>
    <w:rsid w:val="33816EEB"/>
    <w:rsid w:val="338863E7"/>
    <w:rsid w:val="33C51FB8"/>
    <w:rsid w:val="33EB55CD"/>
    <w:rsid w:val="33EC4C02"/>
    <w:rsid w:val="340D2360"/>
    <w:rsid w:val="3410665D"/>
    <w:rsid w:val="34211214"/>
    <w:rsid w:val="342E63AB"/>
    <w:rsid w:val="34433534"/>
    <w:rsid w:val="3466782F"/>
    <w:rsid w:val="347B5D1E"/>
    <w:rsid w:val="34950E68"/>
    <w:rsid w:val="34986E94"/>
    <w:rsid w:val="34AF62C9"/>
    <w:rsid w:val="34CB4388"/>
    <w:rsid w:val="34F96D7F"/>
    <w:rsid w:val="34FA6E12"/>
    <w:rsid w:val="354D7158"/>
    <w:rsid w:val="358D5588"/>
    <w:rsid w:val="35CE6708"/>
    <w:rsid w:val="36136070"/>
    <w:rsid w:val="363A3B40"/>
    <w:rsid w:val="365302AE"/>
    <w:rsid w:val="36607A0A"/>
    <w:rsid w:val="366E227C"/>
    <w:rsid w:val="366F2E0D"/>
    <w:rsid w:val="367B6A5C"/>
    <w:rsid w:val="36A74ADA"/>
    <w:rsid w:val="36AD60D5"/>
    <w:rsid w:val="36B224F9"/>
    <w:rsid w:val="36EC0CC9"/>
    <w:rsid w:val="370C11C5"/>
    <w:rsid w:val="37390A8E"/>
    <w:rsid w:val="373F410B"/>
    <w:rsid w:val="3756404C"/>
    <w:rsid w:val="376A0174"/>
    <w:rsid w:val="378C13F6"/>
    <w:rsid w:val="37BD1A5A"/>
    <w:rsid w:val="37E16E9C"/>
    <w:rsid w:val="37EE7094"/>
    <w:rsid w:val="38296C89"/>
    <w:rsid w:val="383002EB"/>
    <w:rsid w:val="38586797"/>
    <w:rsid w:val="388843DC"/>
    <w:rsid w:val="38BC0149"/>
    <w:rsid w:val="38D87D1C"/>
    <w:rsid w:val="38DE6D4B"/>
    <w:rsid w:val="391F535F"/>
    <w:rsid w:val="392E73EA"/>
    <w:rsid w:val="39636459"/>
    <w:rsid w:val="396B7F6C"/>
    <w:rsid w:val="399C14F7"/>
    <w:rsid w:val="39B417A9"/>
    <w:rsid w:val="39F5707E"/>
    <w:rsid w:val="39FC5695"/>
    <w:rsid w:val="3A006D8E"/>
    <w:rsid w:val="3A3651E5"/>
    <w:rsid w:val="3A4E2342"/>
    <w:rsid w:val="3A744481"/>
    <w:rsid w:val="3A8C7BEF"/>
    <w:rsid w:val="3A906246"/>
    <w:rsid w:val="3B192713"/>
    <w:rsid w:val="3B2349B7"/>
    <w:rsid w:val="3B4677B8"/>
    <w:rsid w:val="3B616CFF"/>
    <w:rsid w:val="3B6259F6"/>
    <w:rsid w:val="3B894B0B"/>
    <w:rsid w:val="3B976654"/>
    <w:rsid w:val="3B9B68EE"/>
    <w:rsid w:val="3BBC42F8"/>
    <w:rsid w:val="3BC01EFC"/>
    <w:rsid w:val="3BC52CC1"/>
    <w:rsid w:val="3BCA786A"/>
    <w:rsid w:val="3BD06659"/>
    <w:rsid w:val="3BD31E2F"/>
    <w:rsid w:val="3BF15831"/>
    <w:rsid w:val="3C105946"/>
    <w:rsid w:val="3C471448"/>
    <w:rsid w:val="3C556941"/>
    <w:rsid w:val="3C5F759A"/>
    <w:rsid w:val="3C616601"/>
    <w:rsid w:val="3C6C525A"/>
    <w:rsid w:val="3CA60D3D"/>
    <w:rsid w:val="3CCE23CB"/>
    <w:rsid w:val="3CD17D17"/>
    <w:rsid w:val="3CED249E"/>
    <w:rsid w:val="3CEE6358"/>
    <w:rsid w:val="3D363ACA"/>
    <w:rsid w:val="3D3B2FFA"/>
    <w:rsid w:val="3D3C7F39"/>
    <w:rsid w:val="3D440F09"/>
    <w:rsid w:val="3D4504A0"/>
    <w:rsid w:val="3D5A1DE7"/>
    <w:rsid w:val="3D64467C"/>
    <w:rsid w:val="3D7E0A99"/>
    <w:rsid w:val="3D8734BB"/>
    <w:rsid w:val="3D9A11D4"/>
    <w:rsid w:val="3DA16D89"/>
    <w:rsid w:val="3DA364BE"/>
    <w:rsid w:val="3DA475D8"/>
    <w:rsid w:val="3DB67810"/>
    <w:rsid w:val="3DD50C8A"/>
    <w:rsid w:val="3DE041CB"/>
    <w:rsid w:val="3E0D48F6"/>
    <w:rsid w:val="3E1868B4"/>
    <w:rsid w:val="3E1D2DF9"/>
    <w:rsid w:val="3E377251"/>
    <w:rsid w:val="3E42664B"/>
    <w:rsid w:val="3E5A7334"/>
    <w:rsid w:val="3E7B5D6B"/>
    <w:rsid w:val="3E843E66"/>
    <w:rsid w:val="3E8F51FE"/>
    <w:rsid w:val="3E926F87"/>
    <w:rsid w:val="3E992734"/>
    <w:rsid w:val="3E9A59DE"/>
    <w:rsid w:val="3EA95CBD"/>
    <w:rsid w:val="3EAF4836"/>
    <w:rsid w:val="3EC26914"/>
    <w:rsid w:val="3EC33DFA"/>
    <w:rsid w:val="3EF66285"/>
    <w:rsid w:val="3F060E16"/>
    <w:rsid w:val="3F1D1096"/>
    <w:rsid w:val="3F2F0234"/>
    <w:rsid w:val="3F4D34B9"/>
    <w:rsid w:val="3F5707E4"/>
    <w:rsid w:val="3F6163CF"/>
    <w:rsid w:val="3F6363FE"/>
    <w:rsid w:val="3F756B8F"/>
    <w:rsid w:val="3F8D4B70"/>
    <w:rsid w:val="3F95482B"/>
    <w:rsid w:val="3FAF4907"/>
    <w:rsid w:val="3FF878C8"/>
    <w:rsid w:val="4019356B"/>
    <w:rsid w:val="401E1828"/>
    <w:rsid w:val="4029549D"/>
    <w:rsid w:val="40592157"/>
    <w:rsid w:val="406E1CAE"/>
    <w:rsid w:val="40937DD1"/>
    <w:rsid w:val="40A0133A"/>
    <w:rsid w:val="40C31A53"/>
    <w:rsid w:val="40F33AA5"/>
    <w:rsid w:val="40F92A66"/>
    <w:rsid w:val="40FF545D"/>
    <w:rsid w:val="410067C8"/>
    <w:rsid w:val="413C45E3"/>
    <w:rsid w:val="4147433B"/>
    <w:rsid w:val="4180428E"/>
    <w:rsid w:val="418F0D2A"/>
    <w:rsid w:val="419500D6"/>
    <w:rsid w:val="41D01505"/>
    <w:rsid w:val="4238518B"/>
    <w:rsid w:val="42474939"/>
    <w:rsid w:val="424C3C57"/>
    <w:rsid w:val="42613FF3"/>
    <w:rsid w:val="42660D96"/>
    <w:rsid w:val="428667D2"/>
    <w:rsid w:val="42CD1CE0"/>
    <w:rsid w:val="42D53E10"/>
    <w:rsid w:val="42E1381E"/>
    <w:rsid w:val="42ED6459"/>
    <w:rsid w:val="42FE58DD"/>
    <w:rsid w:val="43174B3D"/>
    <w:rsid w:val="433F0E43"/>
    <w:rsid w:val="434B790E"/>
    <w:rsid w:val="4360274F"/>
    <w:rsid w:val="43977AB6"/>
    <w:rsid w:val="43A3342B"/>
    <w:rsid w:val="43C77C27"/>
    <w:rsid w:val="43DE09EE"/>
    <w:rsid w:val="44002FAD"/>
    <w:rsid w:val="4430589B"/>
    <w:rsid w:val="44356927"/>
    <w:rsid w:val="449101DD"/>
    <w:rsid w:val="449D00C3"/>
    <w:rsid w:val="44DE1391"/>
    <w:rsid w:val="44E72961"/>
    <w:rsid w:val="451B225C"/>
    <w:rsid w:val="452410C9"/>
    <w:rsid w:val="452B71EC"/>
    <w:rsid w:val="452E1696"/>
    <w:rsid w:val="45317DFB"/>
    <w:rsid w:val="456D3CE4"/>
    <w:rsid w:val="4579042C"/>
    <w:rsid w:val="457E4BFD"/>
    <w:rsid w:val="457F0571"/>
    <w:rsid w:val="45851176"/>
    <w:rsid w:val="45853C91"/>
    <w:rsid w:val="458A2D71"/>
    <w:rsid w:val="458E4BD4"/>
    <w:rsid w:val="45BD1360"/>
    <w:rsid w:val="45C63B94"/>
    <w:rsid w:val="45F134FD"/>
    <w:rsid w:val="460E7DA5"/>
    <w:rsid w:val="461B579A"/>
    <w:rsid w:val="46422483"/>
    <w:rsid w:val="4659254A"/>
    <w:rsid w:val="465B0637"/>
    <w:rsid w:val="465E3F0D"/>
    <w:rsid w:val="466A16E6"/>
    <w:rsid w:val="46791209"/>
    <w:rsid w:val="46893F2B"/>
    <w:rsid w:val="46C4686E"/>
    <w:rsid w:val="472A3E43"/>
    <w:rsid w:val="47391126"/>
    <w:rsid w:val="473D0E4D"/>
    <w:rsid w:val="477B778F"/>
    <w:rsid w:val="478203EC"/>
    <w:rsid w:val="478464A5"/>
    <w:rsid w:val="47B025FA"/>
    <w:rsid w:val="47EC7057"/>
    <w:rsid w:val="48010DED"/>
    <w:rsid w:val="4809698F"/>
    <w:rsid w:val="48097DF4"/>
    <w:rsid w:val="480C2553"/>
    <w:rsid w:val="4811697D"/>
    <w:rsid w:val="487A3E25"/>
    <w:rsid w:val="487B0FC2"/>
    <w:rsid w:val="48833F78"/>
    <w:rsid w:val="488B5503"/>
    <w:rsid w:val="48937E21"/>
    <w:rsid w:val="48975AF1"/>
    <w:rsid w:val="489A0361"/>
    <w:rsid w:val="48B94FF3"/>
    <w:rsid w:val="48CD3EBF"/>
    <w:rsid w:val="48E37AAB"/>
    <w:rsid w:val="48EC362B"/>
    <w:rsid w:val="48FB2C50"/>
    <w:rsid w:val="48FD4B4C"/>
    <w:rsid w:val="490606C8"/>
    <w:rsid w:val="490A68E0"/>
    <w:rsid w:val="491055FE"/>
    <w:rsid w:val="49131B61"/>
    <w:rsid w:val="4924545C"/>
    <w:rsid w:val="494C6EA1"/>
    <w:rsid w:val="494D4D8B"/>
    <w:rsid w:val="495F5B3E"/>
    <w:rsid w:val="496F77D7"/>
    <w:rsid w:val="497654FD"/>
    <w:rsid w:val="498F505D"/>
    <w:rsid w:val="49B64211"/>
    <w:rsid w:val="49F6167F"/>
    <w:rsid w:val="4A064FA0"/>
    <w:rsid w:val="4A16615C"/>
    <w:rsid w:val="4A4424D7"/>
    <w:rsid w:val="4A493572"/>
    <w:rsid w:val="4A6E0CA4"/>
    <w:rsid w:val="4A83134F"/>
    <w:rsid w:val="4AB82D0F"/>
    <w:rsid w:val="4AEB7664"/>
    <w:rsid w:val="4AFD7C19"/>
    <w:rsid w:val="4B0567D1"/>
    <w:rsid w:val="4B236AAE"/>
    <w:rsid w:val="4B5006C5"/>
    <w:rsid w:val="4B555D27"/>
    <w:rsid w:val="4B707271"/>
    <w:rsid w:val="4B7B4C1E"/>
    <w:rsid w:val="4B841CE8"/>
    <w:rsid w:val="4B9739F7"/>
    <w:rsid w:val="4B974368"/>
    <w:rsid w:val="4B9A6B21"/>
    <w:rsid w:val="4B9C1FA2"/>
    <w:rsid w:val="4BE96C25"/>
    <w:rsid w:val="4BEE2503"/>
    <w:rsid w:val="4C245A30"/>
    <w:rsid w:val="4C5D53ED"/>
    <w:rsid w:val="4C676029"/>
    <w:rsid w:val="4CAF7256"/>
    <w:rsid w:val="4CB6685F"/>
    <w:rsid w:val="4CC367FE"/>
    <w:rsid w:val="4D077F3C"/>
    <w:rsid w:val="4D123355"/>
    <w:rsid w:val="4D2A3B31"/>
    <w:rsid w:val="4D312C52"/>
    <w:rsid w:val="4D3B59CA"/>
    <w:rsid w:val="4D4B0F25"/>
    <w:rsid w:val="4D905305"/>
    <w:rsid w:val="4D964A72"/>
    <w:rsid w:val="4D9C1254"/>
    <w:rsid w:val="4E3E53F2"/>
    <w:rsid w:val="4E526455"/>
    <w:rsid w:val="4E5A0B37"/>
    <w:rsid w:val="4E793892"/>
    <w:rsid w:val="4E800872"/>
    <w:rsid w:val="4E9532A8"/>
    <w:rsid w:val="4E9A20A5"/>
    <w:rsid w:val="4EC569ED"/>
    <w:rsid w:val="4ED50EA1"/>
    <w:rsid w:val="4EEC050C"/>
    <w:rsid w:val="4EF833C6"/>
    <w:rsid w:val="4F041DE6"/>
    <w:rsid w:val="4F104EC3"/>
    <w:rsid w:val="4F47354A"/>
    <w:rsid w:val="4F911C54"/>
    <w:rsid w:val="4FE625E0"/>
    <w:rsid w:val="4FED5402"/>
    <w:rsid w:val="5021480F"/>
    <w:rsid w:val="505D15FC"/>
    <w:rsid w:val="50755E1B"/>
    <w:rsid w:val="50962ECB"/>
    <w:rsid w:val="50A42E38"/>
    <w:rsid w:val="50A4577F"/>
    <w:rsid w:val="50B73D1F"/>
    <w:rsid w:val="50BD5BC9"/>
    <w:rsid w:val="50C11EEE"/>
    <w:rsid w:val="50D73351"/>
    <w:rsid w:val="50E97CFC"/>
    <w:rsid w:val="50F1399D"/>
    <w:rsid w:val="50FA4028"/>
    <w:rsid w:val="50FE434C"/>
    <w:rsid w:val="510D65B7"/>
    <w:rsid w:val="511157AB"/>
    <w:rsid w:val="5142540C"/>
    <w:rsid w:val="518832C8"/>
    <w:rsid w:val="51940904"/>
    <w:rsid w:val="51A0432A"/>
    <w:rsid w:val="51A86090"/>
    <w:rsid w:val="51B7396D"/>
    <w:rsid w:val="51F4743E"/>
    <w:rsid w:val="522E4CC3"/>
    <w:rsid w:val="5244713B"/>
    <w:rsid w:val="526144A0"/>
    <w:rsid w:val="52615633"/>
    <w:rsid w:val="526A04DD"/>
    <w:rsid w:val="52977FD4"/>
    <w:rsid w:val="52A25790"/>
    <w:rsid w:val="52A953E7"/>
    <w:rsid w:val="52A96B6F"/>
    <w:rsid w:val="52B45975"/>
    <w:rsid w:val="52D94AA4"/>
    <w:rsid w:val="52EA3A62"/>
    <w:rsid w:val="52F50BB8"/>
    <w:rsid w:val="53097272"/>
    <w:rsid w:val="53544462"/>
    <w:rsid w:val="53676980"/>
    <w:rsid w:val="53960CB2"/>
    <w:rsid w:val="5397158E"/>
    <w:rsid w:val="53D42C20"/>
    <w:rsid w:val="54013861"/>
    <w:rsid w:val="54487265"/>
    <w:rsid w:val="544D6070"/>
    <w:rsid w:val="545B4ECF"/>
    <w:rsid w:val="54605E1E"/>
    <w:rsid w:val="54B3506A"/>
    <w:rsid w:val="54CA0D16"/>
    <w:rsid w:val="54CF12CC"/>
    <w:rsid w:val="54DD4057"/>
    <w:rsid w:val="54E16EAD"/>
    <w:rsid w:val="54E7490F"/>
    <w:rsid w:val="54FF4546"/>
    <w:rsid w:val="55061018"/>
    <w:rsid w:val="550764A4"/>
    <w:rsid w:val="550B2BF6"/>
    <w:rsid w:val="55214EB5"/>
    <w:rsid w:val="55364EFD"/>
    <w:rsid w:val="555D4828"/>
    <w:rsid w:val="557A4C8B"/>
    <w:rsid w:val="558931E1"/>
    <w:rsid w:val="55923347"/>
    <w:rsid w:val="55925180"/>
    <w:rsid w:val="55983B1B"/>
    <w:rsid w:val="55A8376B"/>
    <w:rsid w:val="55C248FD"/>
    <w:rsid w:val="55D87B28"/>
    <w:rsid w:val="55DC29B6"/>
    <w:rsid w:val="55DD4241"/>
    <w:rsid w:val="55DE1F1A"/>
    <w:rsid w:val="55F16964"/>
    <w:rsid w:val="55FA20BB"/>
    <w:rsid w:val="561C1BE8"/>
    <w:rsid w:val="566B6D1E"/>
    <w:rsid w:val="569E129D"/>
    <w:rsid w:val="56B9797B"/>
    <w:rsid w:val="56C76EC1"/>
    <w:rsid w:val="57032A2C"/>
    <w:rsid w:val="570F5219"/>
    <w:rsid w:val="575D12B5"/>
    <w:rsid w:val="57610A87"/>
    <w:rsid w:val="577B1140"/>
    <w:rsid w:val="577B7F21"/>
    <w:rsid w:val="577F181B"/>
    <w:rsid w:val="57921984"/>
    <w:rsid w:val="579737F0"/>
    <w:rsid w:val="57AB7B30"/>
    <w:rsid w:val="57AF5251"/>
    <w:rsid w:val="57B26373"/>
    <w:rsid w:val="57B3517E"/>
    <w:rsid w:val="57B63F04"/>
    <w:rsid w:val="57CD20C2"/>
    <w:rsid w:val="57D675AB"/>
    <w:rsid w:val="57D95FDD"/>
    <w:rsid w:val="588D13BE"/>
    <w:rsid w:val="58917D2F"/>
    <w:rsid w:val="5894085C"/>
    <w:rsid w:val="58AE4F0C"/>
    <w:rsid w:val="58B85899"/>
    <w:rsid w:val="58C0702C"/>
    <w:rsid w:val="58DE4635"/>
    <w:rsid w:val="58E363A9"/>
    <w:rsid w:val="59272ECB"/>
    <w:rsid w:val="59307B25"/>
    <w:rsid w:val="595E1678"/>
    <w:rsid w:val="596D5BD4"/>
    <w:rsid w:val="597E3DD8"/>
    <w:rsid w:val="59AB1AC0"/>
    <w:rsid w:val="59B31026"/>
    <w:rsid w:val="59F80043"/>
    <w:rsid w:val="5A09252F"/>
    <w:rsid w:val="5A0B2778"/>
    <w:rsid w:val="5A2A7C7B"/>
    <w:rsid w:val="5A3E2560"/>
    <w:rsid w:val="5A5D3B6E"/>
    <w:rsid w:val="5A637A76"/>
    <w:rsid w:val="5A686384"/>
    <w:rsid w:val="5A6D33BA"/>
    <w:rsid w:val="5A792B1F"/>
    <w:rsid w:val="5A874767"/>
    <w:rsid w:val="5AA85BE2"/>
    <w:rsid w:val="5AAD6F28"/>
    <w:rsid w:val="5AD63A24"/>
    <w:rsid w:val="5AE51FB6"/>
    <w:rsid w:val="5B2E1A1D"/>
    <w:rsid w:val="5B2F601C"/>
    <w:rsid w:val="5B843A1C"/>
    <w:rsid w:val="5B873E3F"/>
    <w:rsid w:val="5B8E6278"/>
    <w:rsid w:val="5B9C75A4"/>
    <w:rsid w:val="5BDB6C5B"/>
    <w:rsid w:val="5C02690E"/>
    <w:rsid w:val="5C196DA7"/>
    <w:rsid w:val="5C2A048C"/>
    <w:rsid w:val="5C2B7DD8"/>
    <w:rsid w:val="5C35640B"/>
    <w:rsid w:val="5C7422AE"/>
    <w:rsid w:val="5C80234E"/>
    <w:rsid w:val="5C8A680C"/>
    <w:rsid w:val="5CB0535B"/>
    <w:rsid w:val="5CE45C2B"/>
    <w:rsid w:val="5CEB387F"/>
    <w:rsid w:val="5D0C4701"/>
    <w:rsid w:val="5D0F0395"/>
    <w:rsid w:val="5D221076"/>
    <w:rsid w:val="5D397964"/>
    <w:rsid w:val="5D551783"/>
    <w:rsid w:val="5D5A391C"/>
    <w:rsid w:val="5D5F10C0"/>
    <w:rsid w:val="5D891B7B"/>
    <w:rsid w:val="5D8A5E82"/>
    <w:rsid w:val="5D930F65"/>
    <w:rsid w:val="5D945FAA"/>
    <w:rsid w:val="5DAD38EE"/>
    <w:rsid w:val="5E006862"/>
    <w:rsid w:val="5E0207B9"/>
    <w:rsid w:val="5E093CEF"/>
    <w:rsid w:val="5E1834A1"/>
    <w:rsid w:val="5E261785"/>
    <w:rsid w:val="5E2E12D7"/>
    <w:rsid w:val="5E4A7017"/>
    <w:rsid w:val="5E552BBA"/>
    <w:rsid w:val="5E611C10"/>
    <w:rsid w:val="5E626095"/>
    <w:rsid w:val="5E74631F"/>
    <w:rsid w:val="5E765627"/>
    <w:rsid w:val="5E7A0F3F"/>
    <w:rsid w:val="5E841532"/>
    <w:rsid w:val="5E866777"/>
    <w:rsid w:val="5EF50A1B"/>
    <w:rsid w:val="5EFC7377"/>
    <w:rsid w:val="5F012A1A"/>
    <w:rsid w:val="5F06174D"/>
    <w:rsid w:val="5F3A3602"/>
    <w:rsid w:val="5F45733B"/>
    <w:rsid w:val="5F5B211E"/>
    <w:rsid w:val="5F6277C6"/>
    <w:rsid w:val="5F6D0B1D"/>
    <w:rsid w:val="5F8D0B82"/>
    <w:rsid w:val="5FCC5339"/>
    <w:rsid w:val="5FDA16E9"/>
    <w:rsid w:val="5FE34A5B"/>
    <w:rsid w:val="5FFD5E06"/>
    <w:rsid w:val="5FFE1E36"/>
    <w:rsid w:val="60172C7B"/>
    <w:rsid w:val="60232584"/>
    <w:rsid w:val="60305BC5"/>
    <w:rsid w:val="605864BB"/>
    <w:rsid w:val="607330CE"/>
    <w:rsid w:val="60825176"/>
    <w:rsid w:val="60873AD9"/>
    <w:rsid w:val="609F2AC4"/>
    <w:rsid w:val="60C413D5"/>
    <w:rsid w:val="60FA2EE8"/>
    <w:rsid w:val="61054A27"/>
    <w:rsid w:val="610A52BC"/>
    <w:rsid w:val="611D2366"/>
    <w:rsid w:val="61421856"/>
    <w:rsid w:val="615227C4"/>
    <w:rsid w:val="61654E3F"/>
    <w:rsid w:val="6182292A"/>
    <w:rsid w:val="618B5F69"/>
    <w:rsid w:val="61985864"/>
    <w:rsid w:val="619F7F92"/>
    <w:rsid w:val="61BB155E"/>
    <w:rsid w:val="61BD2EFD"/>
    <w:rsid w:val="61F94C26"/>
    <w:rsid w:val="62000E56"/>
    <w:rsid w:val="62244584"/>
    <w:rsid w:val="623954AB"/>
    <w:rsid w:val="624F3E49"/>
    <w:rsid w:val="62632286"/>
    <w:rsid w:val="62775066"/>
    <w:rsid w:val="62885958"/>
    <w:rsid w:val="628903DB"/>
    <w:rsid w:val="62C860CC"/>
    <w:rsid w:val="62F40B65"/>
    <w:rsid w:val="62FC2CFE"/>
    <w:rsid w:val="63024505"/>
    <w:rsid w:val="63540CCD"/>
    <w:rsid w:val="635B1DB5"/>
    <w:rsid w:val="63711FED"/>
    <w:rsid w:val="63880DDC"/>
    <w:rsid w:val="63885935"/>
    <w:rsid w:val="638D750D"/>
    <w:rsid w:val="63A72A8F"/>
    <w:rsid w:val="63AC52D2"/>
    <w:rsid w:val="63AC6CC0"/>
    <w:rsid w:val="63B048E8"/>
    <w:rsid w:val="63DD0C22"/>
    <w:rsid w:val="64043733"/>
    <w:rsid w:val="64055776"/>
    <w:rsid w:val="64175397"/>
    <w:rsid w:val="64240056"/>
    <w:rsid w:val="643E143A"/>
    <w:rsid w:val="644A0C02"/>
    <w:rsid w:val="64743FC6"/>
    <w:rsid w:val="648B6EEF"/>
    <w:rsid w:val="64C158BF"/>
    <w:rsid w:val="64CE2EAA"/>
    <w:rsid w:val="65092215"/>
    <w:rsid w:val="6510599E"/>
    <w:rsid w:val="653C3090"/>
    <w:rsid w:val="654D631F"/>
    <w:rsid w:val="65854376"/>
    <w:rsid w:val="658767BE"/>
    <w:rsid w:val="65882CD5"/>
    <w:rsid w:val="65892531"/>
    <w:rsid w:val="65937F4F"/>
    <w:rsid w:val="65E616BA"/>
    <w:rsid w:val="66153939"/>
    <w:rsid w:val="66195831"/>
    <w:rsid w:val="662E75B1"/>
    <w:rsid w:val="66342C2E"/>
    <w:rsid w:val="663E784C"/>
    <w:rsid w:val="66551A38"/>
    <w:rsid w:val="666D1F69"/>
    <w:rsid w:val="667133EA"/>
    <w:rsid w:val="668B6A45"/>
    <w:rsid w:val="66DE04FB"/>
    <w:rsid w:val="66F85C8F"/>
    <w:rsid w:val="671E7365"/>
    <w:rsid w:val="672F3F24"/>
    <w:rsid w:val="673E055F"/>
    <w:rsid w:val="67551CE3"/>
    <w:rsid w:val="67A22552"/>
    <w:rsid w:val="67A530AB"/>
    <w:rsid w:val="67B22DCC"/>
    <w:rsid w:val="67BE71AA"/>
    <w:rsid w:val="67D90273"/>
    <w:rsid w:val="67DE5875"/>
    <w:rsid w:val="67E55852"/>
    <w:rsid w:val="67EB1AB4"/>
    <w:rsid w:val="67FA1285"/>
    <w:rsid w:val="68551F4F"/>
    <w:rsid w:val="68647B92"/>
    <w:rsid w:val="687C10C9"/>
    <w:rsid w:val="68840C16"/>
    <w:rsid w:val="68876EFB"/>
    <w:rsid w:val="68884654"/>
    <w:rsid w:val="689F444F"/>
    <w:rsid w:val="68B96DBB"/>
    <w:rsid w:val="68CA2805"/>
    <w:rsid w:val="68E85AE5"/>
    <w:rsid w:val="68E937A3"/>
    <w:rsid w:val="693E15D3"/>
    <w:rsid w:val="69627681"/>
    <w:rsid w:val="6977531D"/>
    <w:rsid w:val="698523C8"/>
    <w:rsid w:val="69B51747"/>
    <w:rsid w:val="69BD5BBB"/>
    <w:rsid w:val="69CC2BFF"/>
    <w:rsid w:val="69D327F2"/>
    <w:rsid w:val="69FD55B8"/>
    <w:rsid w:val="6A0B1C62"/>
    <w:rsid w:val="6A0C584D"/>
    <w:rsid w:val="6A0D3F4C"/>
    <w:rsid w:val="6A2406C8"/>
    <w:rsid w:val="6A4B328A"/>
    <w:rsid w:val="6A4B36BE"/>
    <w:rsid w:val="6A8F2B46"/>
    <w:rsid w:val="6AB20DE6"/>
    <w:rsid w:val="6ABA3454"/>
    <w:rsid w:val="6ADC5EF8"/>
    <w:rsid w:val="6ADE0BD1"/>
    <w:rsid w:val="6AE96859"/>
    <w:rsid w:val="6B147746"/>
    <w:rsid w:val="6B24787C"/>
    <w:rsid w:val="6B573233"/>
    <w:rsid w:val="6B5B6274"/>
    <w:rsid w:val="6B694FD4"/>
    <w:rsid w:val="6B710BD6"/>
    <w:rsid w:val="6B935D53"/>
    <w:rsid w:val="6BCB32AE"/>
    <w:rsid w:val="6C196F71"/>
    <w:rsid w:val="6C226FCB"/>
    <w:rsid w:val="6C31226F"/>
    <w:rsid w:val="6C390C24"/>
    <w:rsid w:val="6C552F0B"/>
    <w:rsid w:val="6C8C2DF7"/>
    <w:rsid w:val="6C8C67B7"/>
    <w:rsid w:val="6C9D744C"/>
    <w:rsid w:val="6CDB0E3E"/>
    <w:rsid w:val="6CFD6256"/>
    <w:rsid w:val="6CFE67A8"/>
    <w:rsid w:val="6D167928"/>
    <w:rsid w:val="6D261515"/>
    <w:rsid w:val="6D26299B"/>
    <w:rsid w:val="6D4772EC"/>
    <w:rsid w:val="6D5668C6"/>
    <w:rsid w:val="6D6D4FC1"/>
    <w:rsid w:val="6D8007DE"/>
    <w:rsid w:val="6D9078AF"/>
    <w:rsid w:val="6DAA3FEF"/>
    <w:rsid w:val="6DC0172B"/>
    <w:rsid w:val="6DCB690C"/>
    <w:rsid w:val="6DD41A5B"/>
    <w:rsid w:val="6DF43C2E"/>
    <w:rsid w:val="6DF51CA3"/>
    <w:rsid w:val="6E8335BD"/>
    <w:rsid w:val="6E8E12EF"/>
    <w:rsid w:val="6E9045AA"/>
    <w:rsid w:val="6E972936"/>
    <w:rsid w:val="6EB74327"/>
    <w:rsid w:val="6EC91D52"/>
    <w:rsid w:val="6ED446C5"/>
    <w:rsid w:val="6F184A18"/>
    <w:rsid w:val="6F2A7D94"/>
    <w:rsid w:val="6F3A126E"/>
    <w:rsid w:val="6F802313"/>
    <w:rsid w:val="6F8331F1"/>
    <w:rsid w:val="6FAE1A09"/>
    <w:rsid w:val="6FD75BF8"/>
    <w:rsid w:val="6FEF3B3E"/>
    <w:rsid w:val="70535729"/>
    <w:rsid w:val="707723D0"/>
    <w:rsid w:val="70DB77AC"/>
    <w:rsid w:val="70F5661B"/>
    <w:rsid w:val="70FF0D7D"/>
    <w:rsid w:val="71360107"/>
    <w:rsid w:val="713B688E"/>
    <w:rsid w:val="7183561A"/>
    <w:rsid w:val="71BE6408"/>
    <w:rsid w:val="71D42113"/>
    <w:rsid w:val="71D43752"/>
    <w:rsid w:val="71D7083C"/>
    <w:rsid w:val="71F1796A"/>
    <w:rsid w:val="720846CC"/>
    <w:rsid w:val="72154626"/>
    <w:rsid w:val="72202699"/>
    <w:rsid w:val="72262B5D"/>
    <w:rsid w:val="72283FF7"/>
    <w:rsid w:val="722E7212"/>
    <w:rsid w:val="723A0474"/>
    <w:rsid w:val="725923E4"/>
    <w:rsid w:val="72864BF7"/>
    <w:rsid w:val="729023FC"/>
    <w:rsid w:val="732B5510"/>
    <w:rsid w:val="733470C6"/>
    <w:rsid w:val="73533CC2"/>
    <w:rsid w:val="73C0646E"/>
    <w:rsid w:val="742222F5"/>
    <w:rsid w:val="742348D0"/>
    <w:rsid w:val="74476126"/>
    <w:rsid w:val="74624977"/>
    <w:rsid w:val="74706664"/>
    <w:rsid w:val="7475702A"/>
    <w:rsid w:val="747F3682"/>
    <w:rsid w:val="749C4185"/>
    <w:rsid w:val="74A73931"/>
    <w:rsid w:val="74BE006A"/>
    <w:rsid w:val="75067759"/>
    <w:rsid w:val="752E6DCD"/>
    <w:rsid w:val="7551380D"/>
    <w:rsid w:val="75600BE5"/>
    <w:rsid w:val="7564475C"/>
    <w:rsid w:val="75834A5C"/>
    <w:rsid w:val="7583797F"/>
    <w:rsid w:val="75D20F1D"/>
    <w:rsid w:val="75DA2C18"/>
    <w:rsid w:val="75F54412"/>
    <w:rsid w:val="761969BC"/>
    <w:rsid w:val="761D08E0"/>
    <w:rsid w:val="76400B70"/>
    <w:rsid w:val="765D347C"/>
    <w:rsid w:val="76826699"/>
    <w:rsid w:val="76C87133"/>
    <w:rsid w:val="76CD08D5"/>
    <w:rsid w:val="76D84594"/>
    <w:rsid w:val="76DB4B92"/>
    <w:rsid w:val="76FF4961"/>
    <w:rsid w:val="77052AA4"/>
    <w:rsid w:val="77136511"/>
    <w:rsid w:val="77340A39"/>
    <w:rsid w:val="77351FD0"/>
    <w:rsid w:val="77472422"/>
    <w:rsid w:val="777F31F2"/>
    <w:rsid w:val="77BC4C63"/>
    <w:rsid w:val="77D1700D"/>
    <w:rsid w:val="77E4568D"/>
    <w:rsid w:val="77EC04CC"/>
    <w:rsid w:val="78006A23"/>
    <w:rsid w:val="78775729"/>
    <w:rsid w:val="78A42DB0"/>
    <w:rsid w:val="78A656AB"/>
    <w:rsid w:val="78B2245C"/>
    <w:rsid w:val="78E172CC"/>
    <w:rsid w:val="78EA1D1F"/>
    <w:rsid w:val="7904172F"/>
    <w:rsid w:val="79062AD2"/>
    <w:rsid w:val="790F7E27"/>
    <w:rsid w:val="792A231A"/>
    <w:rsid w:val="79316829"/>
    <w:rsid w:val="79404FE3"/>
    <w:rsid w:val="797C7409"/>
    <w:rsid w:val="797E66A9"/>
    <w:rsid w:val="79A97383"/>
    <w:rsid w:val="79E27E8B"/>
    <w:rsid w:val="79F850CE"/>
    <w:rsid w:val="79FD443C"/>
    <w:rsid w:val="7A1D1975"/>
    <w:rsid w:val="7A3902E6"/>
    <w:rsid w:val="7A3E5150"/>
    <w:rsid w:val="7A4670D6"/>
    <w:rsid w:val="7A476B1B"/>
    <w:rsid w:val="7A534B63"/>
    <w:rsid w:val="7A615382"/>
    <w:rsid w:val="7A653600"/>
    <w:rsid w:val="7A67303B"/>
    <w:rsid w:val="7AAB1D04"/>
    <w:rsid w:val="7ABA4368"/>
    <w:rsid w:val="7AD05746"/>
    <w:rsid w:val="7B226FCC"/>
    <w:rsid w:val="7B257FFD"/>
    <w:rsid w:val="7B343476"/>
    <w:rsid w:val="7B5A2978"/>
    <w:rsid w:val="7B5A7E4C"/>
    <w:rsid w:val="7B667AF9"/>
    <w:rsid w:val="7B7468F8"/>
    <w:rsid w:val="7BE64CF7"/>
    <w:rsid w:val="7BEE0103"/>
    <w:rsid w:val="7C0A0FE4"/>
    <w:rsid w:val="7C254906"/>
    <w:rsid w:val="7C5022FF"/>
    <w:rsid w:val="7C590818"/>
    <w:rsid w:val="7C6E0182"/>
    <w:rsid w:val="7C7C10F6"/>
    <w:rsid w:val="7C853BEA"/>
    <w:rsid w:val="7C881368"/>
    <w:rsid w:val="7CE27788"/>
    <w:rsid w:val="7D0357E5"/>
    <w:rsid w:val="7D0C32F1"/>
    <w:rsid w:val="7D0F408D"/>
    <w:rsid w:val="7D491C6C"/>
    <w:rsid w:val="7D5429C0"/>
    <w:rsid w:val="7D6E6D43"/>
    <w:rsid w:val="7D7069D2"/>
    <w:rsid w:val="7D894AA5"/>
    <w:rsid w:val="7DAD6DD7"/>
    <w:rsid w:val="7DB57A34"/>
    <w:rsid w:val="7DDB10A1"/>
    <w:rsid w:val="7DE60973"/>
    <w:rsid w:val="7DEF0916"/>
    <w:rsid w:val="7E1E5218"/>
    <w:rsid w:val="7E7514D4"/>
    <w:rsid w:val="7E9A4E1F"/>
    <w:rsid w:val="7EA7723A"/>
    <w:rsid w:val="7EB659FE"/>
    <w:rsid w:val="7EBC6AFC"/>
    <w:rsid w:val="7EDF28CA"/>
    <w:rsid w:val="7EF56FBB"/>
    <w:rsid w:val="7EFC38CE"/>
    <w:rsid w:val="7F067E4D"/>
    <w:rsid w:val="7F0768EB"/>
    <w:rsid w:val="7F143BEC"/>
    <w:rsid w:val="7F6137FA"/>
    <w:rsid w:val="7F715AF2"/>
    <w:rsid w:val="7F737DE1"/>
    <w:rsid w:val="7F793597"/>
    <w:rsid w:val="7F886E69"/>
    <w:rsid w:val="7FCF2D12"/>
    <w:rsid w:val="7FFA1DC8"/>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5"/>
    <w:link w:val="286"/>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sz w:val="32"/>
      <w:szCs w:val="32"/>
      <w:lang w:val="zh-CN"/>
    </w:rPr>
  </w:style>
  <w:style w:type="paragraph" w:styleId="7">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2"/>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7"/>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link w:val="239"/>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Body Text"/>
    <w:basedOn w:val="1"/>
    <w:next w:val="1"/>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index 8"/>
    <w:basedOn w:val="1"/>
    <w:next w:val="1"/>
    <w:autoRedefine/>
    <w:qFormat/>
    <w:uiPriority w:val="0"/>
    <w:pPr>
      <w:ind w:left="2940"/>
    </w:pPr>
  </w:style>
  <w:style w:type="paragraph" w:styleId="18">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Normal Indent"/>
    <w:basedOn w:val="1"/>
    <w:next w:val="1"/>
    <w:link w:val="198"/>
    <w:autoRedefine/>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234"/>
    <w:autoRedefine/>
    <w:qFormat/>
    <w:uiPriority w:val="0"/>
    <w:rPr>
      <w:b/>
      <w:sz w:val="28"/>
      <w:szCs w:val="20"/>
    </w:rPr>
  </w:style>
  <w:style w:type="paragraph" w:styleId="21">
    <w:name w:val="index 5"/>
    <w:basedOn w:val="1"/>
    <w:next w:val="1"/>
    <w:autoRedefine/>
    <w:qFormat/>
    <w:uiPriority w:val="0"/>
    <w:pPr>
      <w:adjustRightInd/>
      <w:ind w:left="800" w:leftChars="800" w:firstLine="200" w:firstLineChars="200"/>
    </w:pPr>
  </w:style>
  <w:style w:type="paragraph" w:styleId="22">
    <w:name w:val="Document Map"/>
    <w:basedOn w:val="1"/>
    <w:link w:val="207"/>
    <w:autoRedefine/>
    <w:qFormat/>
    <w:uiPriority w:val="0"/>
    <w:pPr>
      <w:shd w:val="clear" w:color="auto" w:fill="000080"/>
    </w:pPr>
  </w:style>
  <w:style w:type="paragraph" w:styleId="23">
    <w:name w:val="annotation text"/>
    <w:basedOn w:val="1"/>
    <w:link w:val="347"/>
    <w:autoRedefine/>
    <w:qFormat/>
    <w:uiPriority w:val="99"/>
    <w:pPr>
      <w:jc w:val="left"/>
    </w:pPr>
  </w:style>
  <w:style w:type="paragraph" w:styleId="24">
    <w:name w:val="Salutation"/>
    <w:basedOn w:val="1"/>
    <w:next w:val="1"/>
    <w:link w:val="301"/>
    <w:autoRedefine/>
    <w:qFormat/>
    <w:uiPriority w:val="0"/>
    <w:rPr>
      <w:rFonts w:ascii="仿宋_GB2312" w:eastAsia="仿宋_GB2312"/>
      <w:sz w:val="28"/>
      <w:szCs w:val="20"/>
    </w:rPr>
  </w:style>
  <w:style w:type="paragraph" w:styleId="25">
    <w:name w:val="Body Text 3"/>
    <w:basedOn w:val="1"/>
    <w:link w:val="333"/>
    <w:autoRedefine/>
    <w:qFormat/>
    <w:uiPriority w:val="0"/>
    <w:pPr>
      <w:jc w:val="center"/>
    </w:pPr>
    <w:rPr>
      <w:szCs w:val="20"/>
    </w:rPr>
  </w:style>
  <w:style w:type="paragraph" w:styleId="26">
    <w:name w:val="List Bullet 3"/>
    <w:basedOn w:val="1"/>
    <w:autoRedefine/>
    <w:unhideWhenUsed/>
    <w:qFormat/>
    <w:uiPriority w:val="0"/>
    <w:pPr>
      <w:snapToGrid w:val="0"/>
      <w:spacing w:line="360" w:lineRule="auto"/>
      <w:ind w:left="360" w:right="238" w:hanging="360"/>
      <w:contextualSpacing/>
    </w:pPr>
    <w:rPr>
      <w:sz w:val="24"/>
    </w:rPr>
  </w:style>
  <w:style w:type="paragraph" w:styleId="27">
    <w:name w:val="Body Text Indent"/>
    <w:basedOn w:val="1"/>
    <w:next w:val="1"/>
    <w:link w:val="268"/>
    <w:autoRedefine/>
    <w:qFormat/>
    <w:uiPriority w:val="0"/>
    <w:pPr>
      <w:spacing w:line="480" w:lineRule="exact"/>
      <w:ind w:firstLine="480" w:firstLineChars="200"/>
    </w:pPr>
    <w:rPr>
      <w:rFonts w:ascii="宋体" w:hAnsi="宋体"/>
      <w:sz w:val="24"/>
    </w:rPr>
  </w:style>
  <w:style w:type="paragraph" w:styleId="28">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4"/>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30"/>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186"/>
    <w:autoRedefine/>
    <w:qFormat/>
    <w:uiPriority w:val="0"/>
    <w:pPr>
      <w:ind w:left="100" w:leftChars="2500"/>
    </w:pPr>
    <w:rPr>
      <w:rFonts w:ascii="宋体"/>
      <w:sz w:val="24"/>
      <w:szCs w:val="21"/>
      <w:lang w:val="zh-CN"/>
    </w:rPr>
  </w:style>
  <w:style w:type="paragraph" w:styleId="39">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4"/>
    <w:autoRedefine/>
    <w:qFormat/>
    <w:uiPriority w:val="0"/>
    <w:rPr>
      <w:lang w:val="zh-CN"/>
    </w:rPr>
  </w:style>
  <w:style w:type="paragraph" w:styleId="41">
    <w:name w:val="Balloon Text"/>
    <w:basedOn w:val="1"/>
    <w:link w:val="193"/>
    <w:autoRedefine/>
    <w:qFormat/>
    <w:uiPriority w:val="0"/>
    <w:rPr>
      <w:sz w:val="18"/>
      <w:szCs w:val="18"/>
    </w:rPr>
  </w:style>
  <w:style w:type="paragraph" w:styleId="42">
    <w:name w:val="footer"/>
    <w:basedOn w:val="1"/>
    <w:link w:val="386"/>
    <w:autoRedefine/>
    <w:qFormat/>
    <w:uiPriority w:val="99"/>
    <w:pPr>
      <w:tabs>
        <w:tab w:val="center" w:pos="4153"/>
        <w:tab w:val="right" w:pos="8306"/>
      </w:tabs>
      <w:snapToGrid w:val="0"/>
      <w:jc w:val="left"/>
    </w:pPr>
    <w:rPr>
      <w:sz w:val="18"/>
      <w:szCs w:val="18"/>
    </w:rPr>
  </w:style>
  <w:style w:type="paragraph" w:styleId="43">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8"/>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9"/>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8"/>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5"/>
    <w:autoRedefine/>
    <w:qFormat/>
    <w:uiPriority w:val="0"/>
    <w:pPr>
      <w:spacing w:after="120" w:line="480" w:lineRule="auto"/>
    </w:pPr>
  </w:style>
  <w:style w:type="paragraph" w:styleId="59">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3"/>
    <w:next w:val="23"/>
    <w:link w:val="101"/>
    <w:autoRedefine/>
    <w:qFormat/>
    <w:uiPriority w:val="0"/>
    <w:rPr>
      <w:b/>
      <w:bCs/>
    </w:rPr>
  </w:style>
  <w:style w:type="paragraph" w:styleId="63">
    <w:name w:val="Body Text First Indent"/>
    <w:basedOn w:val="5"/>
    <w:link w:val="324"/>
    <w:autoRedefine/>
    <w:qFormat/>
    <w:uiPriority w:val="0"/>
    <w:pPr>
      <w:ind w:firstLine="420"/>
    </w:pPr>
    <w:rPr>
      <w:rFonts w:hAnsi="Calibri" w:cs="Times New Roman"/>
      <w:snapToGrid/>
      <w:szCs w:val="20"/>
    </w:rPr>
  </w:style>
  <w:style w:type="paragraph" w:styleId="64">
    <w:name w:val="Body Text First Indent 2"/>
    <w:basedOn w:val="27"/>
    <w:next w:val="1"/>
    <w:link w:val="126"/>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autoRedefine/>
    <w:qFormat/>
    <w:uiPriority w:val="22"/>
    <w:rPr>
      <w:b/>
      <w:bCs/>
    </w:rPr>
  </w:style>
  <w:style w:type="character" w:styleId="74">
    <w:name w:val="endnote reference"/>
    <w:autoRedefine/>
    <w:qFormat/>
    <w:uiPriority w:val="0"/>
    <w:rPr>
      <w:vertAlign w:val="superscript"/>
    </w:rPr>
  </w:style>
  <w:style w:type="character" w:styleId="75">
    <w:name w:val="page number"/>
    <w:basedOn w:val="72"/>
    <w:autoRedefine/>
    <w:qFormat/>
    <w:uiPriority w:val="0"/>
    <w:rPr>
      <w:rFonts w:ascii="Arial" w:hAnsi="Arial" w:eastAsia="黑体" w:cs="Arial"/>
      <w:snapToGrid w:val="0"/>
      <w:kern w:val="0"/>
      <w:szCs w:val="21"/>
    </w:rPr>
  </w:style>
  <w:style w:type="character" w:styleId="76">
    <w:name w:val="FollowedHyperlink"/>
    <w:autoRedefine/>
    <w:qFormat/>
    <w:uiPriority w:val="99"/>
    <w:rPr>
      <w:rFonts w:ascii="Arial" w:hAnsi="Arial" w:eastAsia="黑体" w:cs="Arial"/>
      <w:snapToGrid w:val="0"/>
      <w:color w:val="000000"/>
      <w:kern w:val="0"/>
      <w:sz w:val="18"/>
      <w:szCs w:val="18"/>
      <w:u w:val="none"/>
    </w:rPr>
  </w:style>
  <w:style w:type="character" w:styleId="77">
    <w:name w:val="Emphasis"/>
    <w:autoRedefine/>
    <w:qFormat/>
    <w:uiPriority w:val="20"/>
    <w:rPr>
      <w:color w:val="CC0033"/>
    </w:rPr>
  </w:style>
  <w:style w:type="character" w:styleId="78">
    <w:name w:val="line number"/>
    <w:basedOn w:val="72"/>
    <w:autoRedefine/>
    <w:qFormat/>
    <w:uiPriority w:val="0"/>
    <w:rPr>
      <w:rFonts w:ascii="Arial" w:hAnsi="Arial" w:eastAsia="黑体" w:cs="Arial"/>
      <w:snapToGrid w:val="0"/>
      <w:kern w:val="0"/>
      <w:szCs w:val="21"/>
    </w:rPr>
  </w:style>
  <w:style w:type="character" w:styleId="79">
    <w:name w:val="Hyperlink"/>
    <w:autoRedefine/>
    <w:qFormat/>
    <w:uiPriority w:val="99"/>
    <w:rPr>
      <w:rFonts w:ascii="Arial" w:hAnsi="Arial" w:eastAsia="黑体" w:cs="Arial"/>
      <w:snapToGrid w:val="0"/>
      <w:color w:val="000000"/>
      <w:kern w:val="0"/>
      <w:sz w:val="18"/>
      <w:szCs w:val="18"/>
      <w:u w:val="none"/>
    </w:rPr>
  </w:style>
  <w:style w:type="character" w:styleId="80">
    <w:name w:val="HTML Code"/>
    <w:autoRedefine/>
    <w:qFormat/>
    <w:uiPriority w:val="0"/>
    <w:rPr>
      <w:rFonts w:ascii="黑体" w:hAnsi="Courier New" w:eastAsia="黑体" w:cs="楷体_GB2312"/>
      <w:sz w:val="20"/>
      <w:szCs w:val="20"/>
    </w:rPr>
  </w:style>
  <w:style w:type="character" w:styleId="81">
    <w:name w:val="annotation reference"/>
    <w:autoRedefine/>
    <w:qFormat/>
    <w:uiPriority w:val="99"/>
    <w:rPr>
      <w:sz w:val="21"/>
      <w:szCs w:val="21"/>
    </w:rPr>
  </w:style>
  <w:style w:type="paragraph" w:customStyle="1" w:styleId="82">
    <w:name w:val="[Normal]"/>
    <w:autoRedefine/>
    <w:qFormat/>
    <w:uiPriority w:val="0"/>
    <w:rPr>
      <w:rFonts w:ascii="宋体" w:hAnsi="宋体" w:eastAsia="宋体" w:cs="Times New Roman"/>
      <w:sz w:val="24"/>
      <w:lang w:val="zh-CN" w:eastAsia="zh-CN" w:bidi="ar-SA"/>
    </w:rPr>
  </w:style>
  <w:style w:type="paragraph" w:customStyle="1" w:styleId="83">
    <w:name w:val="正文首行缩进1"/>
    <w:basedOn w:val="5"/>
    <w:next w:val="1"/>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4">
    <w:name w:val="TOC 71"/>
    <w:next w:val="1"/>
    <w:autoRedefine/>
    <w:qFormat/>
    <w:uiPriority w:val="0"/>
    <w:pPr>
      <w:wordWrap w:val="0"/>
      <w:ind w:left="2550"/>
      <w:jc w:val="both"/>
    </w:pPr>
    <w:rPr>
      <w:rFonts w:ascii="Calibri" w:hAnsi="Calibri" w:eastAsia="宋体" w:cs="Times New Roman"/>
      <w:sz w:val="21"/>
      <w:szCs w:val="22"/>
      <w:lang w:val="en-US" w:eastAsia="zh-CN" w:bidi="ar-SA"/>
    </w:rPr>
  </w:style>
  <w:style w:type="paragraph" w:styleId="85">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86">
    <w:name w:val="正文文本首行缩进 21"/>
    <w:basedOn w:val="27"/>
    <w:autoRedefine/>
    <w:qFormat/>
    <w:uiPriority w:val="99"/>
    <w:pPr>
      <w:spacing w:line="200" w:lineRule="atLeast"/>
      <w:ind w:firstLine="420"/>
    </w:pPr>
    <w:rPr>
      <w:rFonts w:hAnsi="Courier New"/>
      <w:spacing w:val="-4"/>
      <w:sz w:val="18"/>
    </w:rPr>
  </w:style>
  <w:style w:type="character" w:customStyle="1" w:styleId="87">
    <w:name w:val="表格非标题文字 Char"/>
    <w:link w:val="88"/>
    <w:autoRedefine/>
    <w:qFormat/>
    <w:uiPriority w:val="0"/>
    <w:rPr>
      <w:rFonts w:ascii="Futura Bk" w:hAnsi="Futura Bk"/>
      <w:kern w:val="2"/>
      <w:sz w:val="18"/>
      <w:szCs w:val="21"/>
      <w:lang w:val="en-US" w:eastAsia="zh-CN" w:bidi="ar-SA"/>
    </w:rPr>
  </w:style>
  <w:style w:type="paragraph" w:customStyle="1" w:styleId="88">
    <w:name w:val="表格非标题文字"/>
    <w:link w:val="87"/>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autoRedefine/>
    <w:qFormat/>
    <w:locked/>
    <w:uiPriority w:val="0"/>
    <w:rPr>
      <w:rFonts w:ascii="宋体" w:hAnsi="宋体"/>
      <w:sz w:val="24"/>
    </w:rPr>
  </w:style>
  <w:style w:type="paragraph" w:customStyle="1" w:styleId="90">
    <w:name w:val="*正文"/>
    <w:basedOn w:val="1"/>
    <w:link w:val="89"/>
    <w:autoRedefine/>
    <w:qFormat/>
    <w:uiPriority w:val="0"/>
    <w:pPr>
      <w:snapToGrid w:val="0"/>
      <w:spacing w:line="360" w:lineRule="auto"/>
      <w:ind w:firstLine="482"/>
      <w:jc w:val="left"/>
    </w:pPr>
    <w:rPr>
      <w:rFonts w:ascii="宋体" w:hAnsi="宋体"/>
      <w:kern w:val="0"/>
      <w:sz w:val="24"/>
      <w:szCs w:val="20"/>
    </w:rPr>
  </w:style>
  <w:style w:type="character" w:customStyle="1" w:styleId="91">
    <w:name w:val="Char Char71"/>
    <w:autoRedefine/>
    <w:semiHidden/>
    <w:qFormat/>
    <w:uiPriority w:val="0"/>
    <w:rPr>
      <w:rFonts w:eastAsia="宋体"/>
      <w:kern w:val="2"/>
      <w:sz w:val="21"/>
      <w:szCs w:val="24"/>
      <w:lang w:val="en-US" w:eastAsia="zh-CN" w:bidi="ar-SA"/>
    </w:rPr>
  </w:style>
  <w:style w:type="character" w:customStyle="1" w:styleId="92">
    <w:name w:val="Char Char6"/>
    <w:autoRedefine/>
    <w:qFormat/>
    <w:uiPriority w:val="0"/>
    <w:rPr>
      <w:rFonts w:eastAsia="宋体"/>
      <w:kern w:val="2"/>
      <w:sz w:val="21"/>
      <w:szCs w:val="24"/>
      <w:lang w:val="en-US" w:eastAsia="zh-CN" w:bidi="ar-SA"/>
    </w:rPr>
  </w:style>
  <w:style w:type="character" w:customStyle="1" w:styleId="93">
    <w:name w:val="正文缩进 Char"/>
    <w:autoRedefine/>
    <w:qFormat/>
    <w:uiPriority w:val="0"/>
    <w:rPr>
      <w:rFonts w:eastAsia="宋体"/>
      <w:kern w:val="2"/>
      <w:sz w:val="21"/>
      <w:lang w:val="en-US" w:eastAsia="zh-CN"/>
    </w:rPr>
  </w:style>
  <w:style w:type="character" w:customStyle="1" w:styleId="9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5">
    <w:name w:val="Char Char28"/>
    <w:autoRedefine/>
    <w:qFormat/>
    <w:uiPriority w:val="6"/>
    <w:rPr>
      <w:rFonts w:ascii="仿宋_GB2312" w:hAnsi="仿宋_GB2312" w:eastAsia="仿宋_GB2312"/>
      <w:kern w:val="1"/>
      <w:sz w:val="28"/>
    </w:rPr>
  </w:style>
  <w:style w:type="character" w:customStyle="1" w:styleId="9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autoRedefine/>
    <w:qFormat/>
    <w:uiPriority w:val="6"/>
    <w:rPr>
      <w:rFonts w:ascii="Times New Roman" w:hAnsi="Times New Roman" w:eastAsia="黑体" w:cs="Times New Roman"/>
      <w:b/>
      <w:kern w:val="0"/>
      <w:sz w:val="24"/>
      <w:szCs w:val="24"/>
    </w:rPr>
  </w:style>
  <w:style w:type="character" w:customStyle="1" w:styleId="98">
    <w:name w:val="U_正文 Char"/>
    <w:link w:val="99"/>
    <w:autoRedefine/>
    <w:qFormat/>
    <w:uiPriority w:val="0"/>
    <w:rPr>
      <w:sz w:val="24"/>
      <w:szCs w:val="24"/>
    </w:rPr>
  </w:style>
  <w:style w:type="paragraph" w:customStyle="1" w:styleId="99">
    <w:name w:val="U_正文"/>
    <w:basedOn w:val="1"/>
    <w:link w:val="98"/>
    <w:autoRedefine/>
    <w:qFormat/>
    <w:uiPriority w:val="0"/>
    <w:pPr>
      <w:adjustRightInd/>
      <w:spacing w:beforeLines="20" w:afterLines="20" w:line="300" w:lineRule="auto"/>
      <w:ind w:firstLine="200" w:firstLineChars="200"/>
    </w:pPr>
    <w:rPr>
      <w:kern w:val="0"/>
      <w:sz w:val="24"/>
    </w:rPr>
  </w:style>
  <w:style w:type="character" w:customStyle="1" w:styleId="100">
    <w:name w:val="HTML 地址 Char1"/>
    <w:autoRedefine/>
    <w:qFormat/>
    <w:uiPriority w:val="0"/>
    <w:rPr>
      <w:rFonts w:ascii="Times New Roman" w:hAnsi="Times New Roman" w:eastAsia="宋体" w:cs="Times New Roman"/>
      <w:i/>
      <w:iCs/>
      <w:szCs w:val="24"/>
    </w:rPr>
  </w:style>
  <w:style w:type="character" w:customStyle="1" w:styleId="101">
    <w:name w:val="批注主题 字符"/>
    <w:link w:val="62"/>
    <w:autoRedefine/>
    <w:qFormat/>
    <w:uiPriority w:val="0"/>
    <w:rPr>
      <w:b/>
      <w:bCs/>
      <w:kern w:val="2"/>
      <w:sz w:val="21"/>
      <w:szCs w:val="24"/>
    </w:rPr>
  </w:style>
  <w:style w:type="character" w:customStyle="1" w:styleId="102">
    <w:name w:val="Char Char51"/>
    <w:autoRedefine/>
    <w:qFormat/>
    <w:uiPriority w:val="0"/>
    <w:rPr>
      <w:rFonts w:ascii="宋体" w:hAnsi="Courier New" w:eastAsia="宋体"/>
      <w:kern w:val="2"/>
      <w:sz w:val="21"/>
      <w:lang w:val="en-US" w:eastAsia="zh-CN"/>
    </w:rPr>
  </w:style>
  <w:style w:type="character" w:customStyle="1" w:styleId="103">
    <w:name w:val="表正文 Char"/>
    <w:autoRedefine/>
    <w:qFormat/>
    <w:uiPriority w:val="0"/>
    <w:rPr>
      <w:rFonts w:ascii="宋体" w:eastAsia="宋体"/>
      <w:snapToGrid w:val="0"/>
      <w:color w:val="000000"/>
      <w:kern w:val="28"/>
      <w:sz w:val="28"/>
      <w:lang w:val="en-US" w:eastAsia="zh-CN" w:bidi="ar-SA"/>
    </w:rPr>
  </w:style>
  <w:style w:type="character" w:customStyle="1" w:styleId="104">
    <w:name w:val="Char Char34"/>
    <w:autoRedefine/>
    <w:qFormat/>
    <w:uiPriority w:val="6"/>
    <w:rPr>
      <w:b/>
      <w:kern w:val="1"/>
      <w:sz w:val="28"/>
      <w:szCs w:val="28"/>
    </w:rPr>
  </w:style>
  <w:style w:type="character" w:customStyle="1" w:styleId="10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autoRedefine/>
    <w:qFormat/>
    <w:uiPriority w:val="0"/>
    <w:rPr>
      <w:rFonts w:ascii="宋体" w:hAnsi="宋体" w:eastAsia="宋体"/>
      <w:kern w:val="2"/>
      <w:sz w:val="24"/>
      <w:lang w:bidi="ar-SA"/>
    </w:rPr>
  </w:style>
  <w:style w:type="paragraph" w:customStyle="1" w:styleId="107">
    <w:name w:val="哈哈正文"/>
    <w:basedOn w:val="1"/>
    <w:link w:val="106"/>
    <w:autoRedefine/>
    <w:qFormat/>
    <w:uiPriority w:val="0"/>
    <w:pPr>
      <w:adjustRightInd/>
      <w:spacing w:line="360" w:lineRule="auto"/>
      <w:ind w:firstLine="200" w:firstLineChars="200"/>
    </w:pPr>
    <w:rPr>
      <w:rFonts w:ascii="宋体" w:hAnsi="宋体"/>
      <w:sz w:val="24"/>
      <w:szCs w:val="20"/>
    </w:rPr>
  </w:style>
  <w:style w:type="character" w:customStyle="1" w:styleId="108">
    <w:name w:val="未处理的提及1"/>
    <w:autoRedefine/>
    <w:qFormat/>
    <w:uiPriority w:val="0"/>
    <w:rPr>
      <w:color w:val="808080"/>
      <w:shd w:val="clear" w:color="auto" w:fill="E6E6E6"/>
    </w:rPr>
  </w:style>
  <w:style w:type="character" w:customStyle="1" w:styleId="109">
    <w:name w:val="txt"/>
    <w:autoRedefine/>
    <w:qFormat/>
    <w:uiPriority w:val="0"/>
    <w:rPr>
      <w:rFonts w:ascii="仿宋_GB2312" w:eastAsia="微软雅黑"/>
      <w:b/>
      <w:kern w:val="2"/>
      <w:sz w:val="32"/>
      <w:szCs w:val="32"/>
      <w:lang w:val="en-US" w:eastAsia="zh-CN" w:bidi="ar-SA"/>
    </w:rPr>
  </w:style>
  <w:style w:type="character" w:customStyle="1" w:styleId="11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1">
    <w:name w:val="Char Char32"/>
    <w:autoRedefine/>
    <w:qFormat/>
    <w:uiPriority w:val="6"/>
    <w:rPr>
      <w:b/>
      <w:kern w:val="1"/>
      <w:sz w:val="24"/>
      <w:szCs w:val="24"/>
    </w:rPr>
  </w:style>
  <w:style w:type="character" w:customStyle="1" w:styleId="112">
    <w:name w:val="PI Char1"/>
    <w:autoRedefine/>
    <w:qFormat/>
    <w:uiPriority w:val="0"/>
    <w:rPr>
      <w:rFonts w:ascii="宋体" w:hAnsi="宋体"/>
      <w:kern w:val="2"/>
      <w:sz w:val="24"/>
      <w:szCs w:val="24"/>
    </w:rPr>
  </w:style>
  <w:style w:type="character" w:customStyle="1" w:styleId="113">
    <w:name w:val="tw4winTerm"/>
    <w:autoRedefine/>
    <w:qFormat/>
    <w:uiPriority w:val="0"/>
    <w:rPr>
      <w:color w:val="0000FF"/>
    </w:rPr>
  </w:style>
  <w:style w:type="character" w:customStyle="1" w:styleId="114">
    <w:name w:val="Footer Char"/>
    <w:autoRedefine/>
    <w:qFormat/>
    <w:locked/>
    <w:uiPriority w:val="0"/>
    <w:rPr>
      <w:rFonts w:eastAsia="宋体"/>
      <w:kern w:val="2"/>
      <w:sz w:val="18"/>
      <w:lang w:val="en-US" w:eastAsia="zh-CN" w:bidi="ar-SA"/>
    </w:rPr>
  </w:style>
  <w:style w:type="character" w:customStyle="1" w:styleId="115">
    <w:name w:val="普通文字 Char Char1"/>
    <w:autoRedefine/>
    <w:qFormat/>
    <w:uiPriority w:val="0"/>
    <w:rPr>
      <w:rFonts w:ascii="宋体" w:hAnsi="Courier New"/>
      <w:kern w:val="2"/>
      <w:sz w:val="21"/>
    </w:rPr>
  </w:style>
  <w:style w:type="character" w:customStyle="1" w:styleId="116">
    <w:name w:val="Char Char101"/>
    <w:autoRedefine/>
    <w:qFormat/>
    <w:uiPriority w:val="6"/>
    <w:rPr>
      <w:rFonts w:ascii="宋体" w:hAnsi="宋体"/>
      <w:kern w:val="2"/>
      <w:sz w:val="21"/>
      <w:szCs w:val="24"/>
      <w:lang w:val="en-US" w:eastAsia="zh-CN"/>
    </w:rPr>
  </w:style>
  <w:style w:type="character" w:customStyle="1" w:styleId="117">
    <w:name w:val="标题 4 Char"/>
    <w:autoRedefine/>
    <w:qFormat/>
    <w:uiPriority w:val="0"/>
    <w:rPr>
      <w:rFonts w:ascii="Arial" w:hAnsi="Arial" w:eastAsia="黑体"/>
      <w:b/>
      <w:kern w:val="2"/>
      <w:sz w:val="28"/>
    </w:rPr>
  </w:style>
  <w:style w:type="character" w:customStyle="1" w:styleId="118">
    <w:name w:val="链接"/>
    <w:autoRedefine/>
    <w:qFormat/>
    <w:uiPriority w:val="0"/>
    <w:rPr>
      <w:color w:val="0000FF"/>
      <w:sz w:val="21"/>
      <w:szCs w:val="21"/>
      <w:u w:val="single"/>
    </w:rPr>
  </w:style>
  <w:style w:type="character" w:customStyle="1" w:styleId="119">
    <w:name w:val="h4 Char"/>
    <w:autoRedefine/>
    <w:qFormat/>
    <w:uiPriority w:val="0"/>
    <w:rPr>
      <w:rFonts w:ascii="Arial" w:hAnsi="Arial" w:eastAsia="黑体"/>
      <w:b/>
      <w:bCs/>
      <w:kern w:val="2"/>
      <w:sz w:val="28"/>
      <w:szCs w:val="28"/>
      <w:lang w:val="zh-CN" w:eastAsia="zh-CN" w:bidi="ar-SA"/>
    </w:rPr>
  </w:style>
  <w:style w:type="character" w:customStyle="1" w:styleId="120">
    <w:name w:val="5正文 Char"/>
    <w:link w:val="121"/>
    <w:autoRedefine/>
    <w:qFormat/>
    <w:uiPriority w:val="0"/>
    <w:rPr>
      <w:rFonts w:ascii="仿宋_GB2312" w:hAnsi="微软雅黑" w:eastAsia="仿宋_GB2312"/>
      <w:sz w:val="28"/>
      <w:szCs w:val="21"/>
    </w:rPr>
  </w:style>
  <w:style w:type="paragraph" w:customStyle="1" w:styleId="121">
    <w:name w:val="5正文"/>
    <w:basedOn w:val="1"/>
    <w:link w:val="120"/>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autoRedefine/>
    <w:qFormat/>
    <w:uiPriority w:val="9"/>
    <w:rPr>
      <w:b/>
      <w:bCs/>
      <w:kern w:val="2"/>
      <w:sz w:val="32"/>
      <w:szCs w:val="32"/>
    </w:rPr>
  </w:style>
  <w:style w:type="character" w:customStyle="1" w:styleId="123">
    <w:name w:val="样式6 Char"/>
    <w:autoRedefine/>
    <w:qFormat/>
    <w:uiPriority w:val="0"/>
    <w:rPr>
      <w:rFonts w:ascii="仿宋_GB2312" w:hAnsi="宋体" w:eastAsia="仿宋_GB2312"/>
      <w:b/>
      <w:bCs/>
      <w:kern w:val="2"/>
      <w:sz w:val="24"/>
      <w:szCs w:val="24"/>
      <w:lang w:val="en-US" w:eastAsia="zh-CN" w:bidi="ar-SA"/>
    </w:rPr>
  </w:style>
  <w:style w:type="character" w:customStyle="1" w:styleId="124">
    <w:name w:val="Char Char14"/>
    <w:autoRedefine/>
    <w:qFormat/>
    <w:uiPriority w:val="6"/>
    <w:rPr>
      <w:rFonts w:ascii="黑体" w:hAnsi="黑体" w:eastAsia="黑体"/>
    </w:rPr>
  </w:style>
  <w:style w:type="character" w:customStyle="1" w:styleId="125">
    <w:name w:val="Heading 2 Hidden Char"/>
    <w:autoRedefine/>
    <w:qFormat/>
    <w:uiPriority w:val="0"/>
    <w:rPr>
      <w:rFonts w:ascii="仿宋_GB2312" w:eastAsia="仿宋_GB2312"/>
      <w:b/>
      <w:bCs/>
      <w:kern w:val="2"/>
      <w:sz w:val="24"/>
      <w:szCs w:val="24"/>
      <w:lang w:val="zh-CN" w:eastAsia="zh-CN" w:bidi="ar-SA"/>
    </w:rPr>
  </w:style>
  <w:style w:type="character" w:customStyle="1" w:styleId="126">
    <w:name w:val="正文文本首行缩进 2 字符"/>
    <w:link w:val="64"/>
    <w:autoRedefine/>
    <w:qFormat/>
    <w:uiPriority w:val="0"/>
    <w:rPr>
      <w:rFonts w:ascii="宋体" w:hAnsi="宋体"/>
      <w:kern w:val="2"/>
      <w:sz w:val="21"/>
      <w:szCs w:val="24"/>
    </w:rPr>
  </w:style>
  <w:style w:type="character" w:customStyle="1" w:styleId="127">
    <w:name w:val="font11"/>
    <w:autoRedefine/>
    <w:qFormat/>
    <w:uiPriority w:val="0"/>
    <w:rPr>
      <w:rFonts w:hint="default" w:ascii="Times New Roman" w:hAnsi="Times New Roman" w:cs="Times New Roman"/>
      <w:color w:val="000000"/>
      <w:sz w:val="22"/>
      <w:szCs w:val="22"/>
      <w:u w:val="none"/>
    </w:rPr>
  </w:style>
  <w:style w:type="character" w:customStyle="1" w:styleId="128">
    <w:name w:val="表正文 Char1"/>
    <w:autoRedefine/>
    <w:qFormat/>
    <w:uiPriority w:val="0"/>
    <w:rPr>
      <w:rFonts w:ascii="宋体" w:eastAsia="宋体"/>
      <w:snapToGrid w:val="0"/>
      <w:color w:val="000000"/>
      <w:kern w:val="28"/>
      <w:sz w:val="28"/>
    </w:rPr>
  </w:style>
  <w:style w:type="character" w:customStyle="1" w:styleId="129">
    <w:name w:val="blue1"/>
    <w:basedOn w:val="72"/>
    <w:autoRedefine/>
    <w:qFormat/>
    <w:uiPriority w:val="0"/>
    <w:rPr>
      <w:rFonts w:ascii="Arial" w:hAnsi="Arial" w:eastAsia="黑体" w:cs="Arial"/>
      <w:snapToGrid w:val="0"/>
      <w:kern w:val="0"/>
      <w:szCs w:val="21"/>
    </w:rPr>
  </w:style>
  <w:style w:type="character" w:customStyle="1" w:styleId="130">
    <w:name w:val="纯文本 字符1"/>
    <w:link w:val="35"/>
    <w:autoRedefine/>
    <w:qFormat/>
    <w:uiPriority w:val="0"/>
    <w:rPr>
      <w:rFonts w:ascii="宋体" w:hAnsi="Courier New" w:eastAsia="宋体" w:cs="Arial"/>
      <w:snapToGrid w:val="0"/>
      <w:kern w:val="2"/>
      <w:sz w:val="21"/>
      <w:szCs w:val="21"/>
      <w:lang w:val="en-US" w:eastAsia="zh-CN" w:bidi="ar-SA"/>
    </w:rPr>
  </w:style>
  <w:style w:type="character" w:customStyle="1" w:styleId="131">
    <w:name w:val="标书1 Char"/>
    <w:autoRedefine/>
    <w:qFormat/>
    <w:uiPriority w:val="0"/>
    <w:rPr>
      <w:rFonts w:eastAsia="宋体"/>
      <w:b/>
      <w:bCs/>
      <w:kern w:val="44"/>
      <w:sz w:val="44"/>
      <w:szCs w:val="44"/>
      <w:lang w:val="en-US" w:eastAsia="zh-CN" w:bidi="ar-SA"/>
    </w:rPr>
  </w:style>
  <w:style w:type="character" w:customStyle="1" w:styleId="132">
    <w:name w:val="样式5 Char"/>
    <w:autoRedefine/>
    <w:qFormat/>
    <w:uiPriority w:val="0"/>
    <w:rPr>
      <w:rFonts w:ascii="仿宋_GB2312" w:hAnsi="仿宋" w:eastAsia="仿宋_GB2312"/>
      <w:kern w:val="2"/>
      <w:sz w:val="24"/>
      <w:szCs w:val="24"/>
    </w:rPr>
  </w:style>
  <w:style w:type="character" w:customStyle="1" w:styleId="133">
    <w:name w:val="样式4 Char"/>
    <w:autoRedefine/>
    <w:qFormat/>
    <w:uiPriority w:val="0"/>
    <w:rPr>
      <w:rFonts w:ascii="仿宋_GB2312" w:hAnsi="仿宋" w:eastAsia="仿宋_GB2312"/>
      <w:b/>
      <w:kern w:val="2"/>
      <w:sz w:val="32"/>
      <w:szCs w:val="32"/>
      <w:lang w:bidi="ar-SA"/>
    </w:rPr>
  </w:style>
  <w:style w:type="character" w:customStyle="1" w:styleId="134">
    <w:name w:val="插图说明 Char"/>
    <w:autoRedefine/>
    <w:qFormat/>
    <w:uiPriority w:val="0"/>
    <w:rPr>
      <w:rFonts w:eastAsia="黑体"/>
      <w:sz w:val="24"/>
      <w:lang w:val="en-US" w:eastAsia="zh-CN"/>
    </w:rPr>
  </w:style>
  <w:style w:type="character" w:customStyle="1" w:styleId="135">
    <w:name w:val="正文2 Char Char"/>
    <w:link w:val="136"/>
    <w:autoRedefine/>
    <w:qFormat/>
    <w:uiPriority w:val="0"/>
    <w:rPr>
      <w:rFonts w:eastAsia="宋体"/>
      <w:kern w:val="2"/>
      <w:sz w:val="24"/>
      <w:lang w:val="en-US" w:eastAsia="zh-CN" w:bidi="ar-SA"/>
    </w:rPr>
  </w:style>
  <w:style w:type="paragraph" w:customStyle="1" w:styleId="136">
    <w:name w:val="正文2"/>
    <w:basedOn w:val="1"/>
    <w:link w:val="135"/>
    <w:autoRedefine/>
    <w:qFormat/>
    <w:uiPriority w:val="0"/>
    <w:pPr>
      <w:spacing w:before="156" w:line="360" w:lineRule="auto"/>
      <w:ind w:firstLine="510" w:firstLineChars="200"/>
    </w:pPr>
    <w:rPr>
      <w:sz w:val="24"/>
      <w:szCs w:val="20"/>
    </w:rPr>
  </w:style>
  <w:style w:type="character" w:customStyle="1" w:styleId="137">
    <w:name w:val="Char Char24"/>
    <w:autoRedefine/>
    <w:qFormat/>
    <w:uiPriority w:val="6"/>
    <w:rPr>
      <w:kern w:val="1"/>
      <w:sz w:val="21"/>
    </w:rPr>
  </w:style>
  <w:style w:type="character" w:customStyle="1" w:styleId="138">
    <w:name w:val="副标题 字符"/>
    <w:link w:val="49"/>
    <w:autoRedefine/>
    <w:qFormat/>
    <w:uiPriority w:val="0"/>
    <w:rPr>
      <w:rFonts w:ascii="Arial" w:hAnsi="Arial" w:eastAsia="隶书"/>
      <w:b/>
      <w:bCs/>
      <w:kern w:val="28"/>
      <w:sz w:val="44"/>
      <w:szCs w:val="32"/>
      <w:lang w:val="en-US" w:eastAsia="zh-CN" w:bidi="ar-SA"/>
    </w:rPr>
  </w:style>
  <w:style w:type="character" w:customStyle="1" w:styleId="139">
    <w:name w:val="普通文字 Char1 Char"/>
    <w:autoRedefine/>
    <w:qFormat/>
    <w:uiPriority w:val="0"/>
    <w:rPr>
      <w:rFonts w:ascii="宋体" w:hAnsi="Courier New" w:eastAsia="宋体"/>
      <w:kern w:val="2"/>
      <w:sz w:val="21"/>
      <w:szCs w:val="24"/>
      <w:lang w:val="en-US" w:eastAsia="zh-CN" w:bidi="ar-SA"/>
    </w:rPr>
  </w:style>
  <w:style w:type="character" w:customStyle="1" w:styleId="140">
    <w:name w:val="h3 Char1"/>
    <w:autoRedefine/>
    <w:qFormat/>
    <w:uiPriority w:val="0"/>
    <w:rPr>
      <w:rFonts w:eastAsia="宋体"/>
      <w:b/>
      <w:bCs/>
      <w:kern w:val="2"/>
      <w:sz w:val="32"/>
      <w:szCs w:val="32"/>
      <w:lang w:bidi="ar-SA"/>
    </w:rPr>
  </w:style>
  <w:style w:type="character" w:customStyle="1" w:styleId="141">
    <w:name w:val="标题 Char1"/>
    <w:autoRedefine/>
    <w:qFormat/>
    <w:uiPriority w:val="0"/>
    <w:rPr>
      <w:rFonts w:ascii="Cambria" w:hAnsi="Cambria" w:eastAsia="宋体" w:cs="Times New Roman"/>
      <w:b/>
      <w:bCs/>
      <w:sz w:val="32"/>
      <w:szCs w:val="32"/>
      <w:lang w:bidi="ar-SA"/>
    </w:rPr>
  </w:style>
  <w:style w:type="character" w:customStyle="1" w:styleId="142">
    <w:name w:val="gf正文1 Char"/>
    <w:autoRedefine/>
    <w:qFormat/>
    <w:uiPriority w:val="0"/>
    <w:rPr>
      <w:rFonts w:ascii="宋体" w:hAnsi="宋体" w:eastAsia="宋体" w:cs="宋体"/>
      <w:kern w:val="2"/>
      <w:sz w:val="24"/>
      <w:szCs w:val="24"/>
      <w:lang w:val="en-US" w:eastAsia="zh-CN" w:bidi="ar-SA"/>
    </w:rPr>
  </w:style>
  <w:style w:type="character" w:customStyle="1" w:styleId="143">
    <w:name w:val="正文文本缩进 Char1"/>
    <w:autoRedefine/>
    <w:qFormat/>
    <w:uiPriority w:val="0"/>
    <w:rPr>
      <w:rFonts w:ascii="Calibri" w:hAnsi="Calibri"/>
      <w:sz w:val="28"/>
    </w:rPr>
  </w:style>
  <w:style w:type="character" w:customStyle="1" w:styleId="144">
    <w:name w:val="No Spacing Char"/>
    <w:link w:val="145"/>
    <w:autoRedefine/>
    <w:qFormat/>
    <w:uiPriority w:val="1"/>
    <w:rPr>
      <w:sz w:val="22"/>
      <w:szCs w:val="22"/>
      <w:lang w:val="en-US" w:eastAsia="zh-CN" w:bidi="ar-SA"/>
    </w:rPr>
  </w:style>
  <w:style w:type="paragraph" w:customStyle="1" w:styleId="145">
    <w:name w:val="无间隔1"/>
    <w:link w:val="144"/>
    <w:autoRedefine/>
    <w:qFormat/>
    <w:uiPriority w:val="1"/>
    <w:rPr>
      <w:rFonts w:ascii="Times New Roman" w:hAnsi="Times New Roman" w:eastAsia="宋体" w:cs="Times New Roman"/>
      <w:sz w:val="22"/>
      <w:szCs w:val="22"/>
      <w:lang w:val="en-US" w:eastAsia="zh-CN" w:bidi="ar-SA"/>
    </w:rPr>
  </w:style>
  <w:style w:type="character" w:customStyle="1" w:styleId="146">
    <w:name w:val="样式7 Char"/>
    <w:autoRedefine/>
    <w:qFormat/>
    <w:uiPriority w:val="0"/>
    <w:rPr>
      <w:rFonts w:ascii="仿宋_GB2312" w:hAnsi="仿宋" w:eastAsia="仿宋_GB2312"/>
      <w:b/>
      <w:kern w:val="2"/>
      <w:sz w:val="24"/>
      <w:szCs w:val="24"/>
    </w:rPr>
  </w:style>
  <w:style w:type="character" w:customStyle="1" w:styleId="147">
    <w:name w:val="font12gray1"/>
    <w:autoRedefine/>
    <w:qFormat/>
    <w:uiPriority w:val="0"/>
    <w:rPr>
      <w:rFonts w:ascii="仿宋_GB2312" w:eastAsia="微软雅黑"/>
      <w:b/>
      <w:spacing w:val="300"/>
      <w:kern w:val="2"/>
      <w:sz w:val="18"/>
      <w:szCs w:val="18"/>
      <w:lang w:val="en-US" w:eastAsia="zh-CN" w:bidi="ar-SA"/>
    </w:rPr>
  </w:style>
  <w:style w:type="character" w:customStyle="1" w:styleId="148">
    <w:name w:val="Char Char7"/>
    <w:autoRedefine/>
    <w:semiHidden/>
    <w:qFormat/>
    <w:uiPriority w:val="0"/>
    <w:rPr>
      <w:rFonts w:eastAsia="宋体"/>
      <w:kern w:val="2"/>
      <w:sz w:val="21"/>
      <w:szCs w:val="24"/>
      <w:lang w:val="en-US" w:eastAsia="zh-CN" w:bidi="ar-SA"/>
    </w:rPr>
  </w:style>
  <w:style w:type="character" w:customStyle="1" w:styleId="149">
    <w:name w:val="表名 Char"/>
    <w:autoRedefine/>
    <w:qFormat/>
    <w:uiPriority w:val="0"/>
    <w:rPr>
      <w:rFonts w:eastAsia="宋体"/>
      <w:b/>
      <w:bCs/>
      <w:kern w:val="2"/>
      <w:sz w:val="24"/>
      <w:szCs w:val="24"/>
      <w:lang w:val="en-US" w:eastAsia="zh-CN" w:bidi="ar-SA"/>
    </w:rPr>
  </w:style>
  <w:style w:type="character" w:customStyle="1" w:styleId="150">
    <w:name w:val="Document Map Char"/>
    <w:autoRedefine/>
    <w:qFormat/>
    <w:locked/>
    <w:uiPriority w:val="0"/>
    <w:rPr>
      <w:rFonts w:eastAsia="宋体"/>
      <w:kern w:val="2"/>
      <w:sz w:val="21"/>
      <w:szCs w:val="24"/>
      <w:lang w:val="en-US" w:eastAsia="zh-CN" w:bidi="ar-SA"/>
    </w:rPr>
  </w:style>
  <w:style w:type="character" w:customStyle="1" w:styleId="151">
    <w:name w:val="font41"/>
    <w:autoRedefine/>
    <w:qFormat/>
    <w:uiPriority w:val="0"/>
    <w:rPr>
      <w:rFonts w:hint="eastAsia" w:ascii="仿宋_GB2312" w:eastAsia="仿宋_GB2312" w:cs="仿宋_GB2312"/>
      <w:color w:val="000000"/>
      <w:sz w:val="22"/>
      <w:szCs w:val="22"/>
      <w:u w:val="none"/>
    </w:rPr>
  </w:style>
  <w:style w:type="character" w:customStyle="1" w:styleId="152">
    <w:name w:val="标题 6 字符"/>
    <w:link w:val="10"/>
    <w:autoRedefine/>
    <w:qFormat/>
    <w:uiPriority w:val="0"/>
    <w:rPr>
      <w:rFonts w:ascii="Arial" w:hAnsi="Arial" w:eastAsia="黑体"/>
      <w:b/>
      <w:bCs/>
      <w:kern w:val="2"/>
      <w:sz w:val="24"/>
      <w:szCs w:val="24"/>
    </w:rPr>
  </w:style>
  <w:style w:type="character" w:customStyle="1" w:styleId="153">
    <w:name w:val="纯文本 Char_0"/>
    <w:link w:val="154"/>
    <w:autoRedefine/>
    <w:qFormat/>
    <w:uiPriority w:val="0"/>
    <w:rPr>
      <w:rFonts w:ascii="宋体" w:hAnsi="Courier New"/>
      <w:kern w:val="2"/>
      <w:sz w:val="21"/>
      <w:szCs w:val="21"/>
      <w:lang w:val="en-US" w:eastAsia="zh-CN"/>
    </w:rPr>
  </w:style>
  <w:style w:type="paragraph" w:customStyle="1" w:styleId="154">
    <w:name w:val="纯文本_0_0"/>
    <w:basedOn w:val="155"/>
    <w:link w:val="153"/>
    <w:autoRedefine/>
    <w:qFormat/>
    <w:uiPriority w:val="0"/>
    <w:rPr>
      <w:rFonts w:ascii="宋体" w:hAnsi="Courier New"/>
      <w:szCs w:val="21"/>
    </w:rPr>
  </w:style>
  <w:style w:type="paragraph" w:customStyle="1" w:styleId="15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autoRedefine/>
    <w:qFormat/>
    <w:locked/>
    <w:uiPriority w:val="0"/>
    <w:rPr>
      <w:rFonts w:eastAsia="宋体"/>
      <w:kern w:val="2"/>
      <w:sz w:val="18"/>
      <w:szCs w:val="18"/>
      <w:lang w:val="en-US" w:eastAsia="zh-CN" w:bidi="ar-SA"/>
    </w:rPr>
  </w:style>
  <w:style w:type="character" w:customStyle="1" w:styleId="157">
    <w:name w:val="正文 项目2 Char"/>
    <w:basedOn w:val="158"/>
    <w:autoRedefine/>
    <w:qFormat/>
    <w:uiPriority w:val="0"/>
    <w:rPr>
      <w:rFonts w:ascii="仿宋_GB2312" w:hAnsi="仿宋_GB2312" w:eastAsia="仿宋_GB2312"/>
      <w:kern w:val="2"/>
      <w:sz w:val="24"/>
      <w:lang w:bidi="ar-SA"/>
    </w:rPr>
  </w:style>
  <w:style w:type="character" w:customStyle="1" w:styleId="158">
    <w:name w:val="正文 项目 Char"/>
    <w:autoRedefine/>
    <w:qFormat/>
    <w:uiPriority w:val="0"/>
    <w:rPr>
      <w:rFonts w:ascii="仿宋_GB2312" w:hAnsi="仿宋_GB2312" w:eastAsia="仿宋_GB2312"/>
      <w:kern w:val="2"/>
      <w:sz w:val="24"/>
      <w:lang w:bidi="ar-SA"/>
    </w:rPr>
  </w:style>
  <w:style w:type="character" w:customStyle="1" w:styleId="159">
    <w:name w:val="h Char Char1"/>
    <w:autoRedefine/>
    <w:qFormat/>
    <w:uiPriority w:val="0"/>
    <w:rPr>
      <w:rFonts w:eastAsia="宋体"/>
      <w:kern w:val="2"/>
      <w:sz w:val="18"/>
      <w:szCs w:val="18"/>
      <w:lang w:val="en-US" w:eastAsia="zh-CN" w:bidi="ar-SA"/>
    </w:rPr>
  </w:style>
  <w:style w:type="character" w:customStyle="1" w:styleId="160">
    <w:name w:val="Char Char27"/>
    <w:autoRedefine/>
    <w:qFormat/>
    <w:uiPriority w:val="6"/>
    <w:rPr>
      <w:rFonts w:ascii="宋体" w:hAnsi="宋体" w:eastAsia="宋体"/>
      <w:color w:val="000000"/>
      <w:kern w:val="1"/>
      <w:sz w:val="28"/>
      <w:lang w:val="en-US" w:eastAsia="zh-CN" w:bidi="ar-SA"/>
    </w:rPr>
  </w:style>
  <w:style w:type="character" w:customStyle="1" w:styleId="161">
    <w:name w:val="px14"/>
    <w:autoRedefine/>
    <w:qFormat/>
    <w:uiPriority w:val="0"/>
    <w:rPr>
      <w:rFonts w:ascii="仿宋_GB2312" w:eastAsia="微软雅黑" w:cs="Times New Roman"/>
      <w:b/>
      <w:kern w:val="2"/>
      <w:sz w:val="32"/>
      <w:szCs w:val="32"/>
      <w:lang w:val="en-US" w:eastAsia="zh-CN" w:bidi="ar-SA"/>
    </w:rPr>
  </w:style>
  <w:style w:type="character" w:customStyle="1" w:styleId="162">
    <w:name w:val="HTML 预设格式 Char1"/>
    <w:autoRedefine/>
    <w:qFormat/>
    <w:uiPriority w:val="0"/>
    <w:rPr>
      <w:rFonts w:ascii="Courier New" w:hAnsi="Courier New" w:eastAsia="宋体" w:cs="Courier New"/>
      <w:sz w:val="20"/>
      <w:szCs w:val="20"/>
    </w:rPr>
  </w:style>
  <w:style w:type="character" w:customStyle="1" w:styleId="163">
    <w:name w:val="普通文字 Char1"/>
    <w:autoRedefine/>
    <w:qFormat/>
    <w:uiPriority w:val="0"/>
    <w:rPr>
      <w:rFonts w:ascii="宋体" w:hAnsi="Courier New" w:eastAsia="宋体"/>
      <w:kern w:val="2"/>
      <w:sz w:val="21"/>
      <w:lang w:val="en-US" w:eastAsia="zh-CN"/>
    </w:rPr>
  </w:style>
  <w:style w:type="character" w:customStyle="1" w:styleId="164">
    <w:name w:val="hei16b1"/>
    <w:autoRedefine/>
    <w:qFormat/>
    <w:uiPriority w:val="0"/>
    <w:rPr>
      <w:rFonts w:hint="default" w:ascii="Arial" w:hAnsi="Arial" w:cs="Arial"/>
      <w:b/>
      <w:bCs/>
      <w:color w:val="000000"/>
      <w:sz w:val="24"/>
      <w:szCs w:val="24"/>
    </w:rPr>
  </w:style>
  <w:style w:type="character" w:customStyle="1" w:styleId="165">
    <w:name w:val="正文（绿盟科技） Char"/>
    <w:link w:val="166"/>
    <w:autoRedefine/>
    <w:qFormat/>
    <w:uiPriority w:val="0"/>
    <w:rPr>
      <w:rFonts w:ascii="Arial" w:hAnsi="Arial"/>
      <w:sz w:val="21"/>
      <w:szCs w:val="21"/>
    </w:rPr>
  </w:style>
  <w:style w:type="paragraph" w:customStyle="1" w:styleId="166">
    <w:name w:val="正文（绿盟科技）"/>
    <w:link w:val="165"/>
    <w:autoRedefine/>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autoRedefine/>
    <w:qFormat/>
    <w:uiPriority w:val="6"/>
    <w:rPr>
      <w:rFonts w:ascii="宋体" w:hAnsi="宋体"/>
      <w:i/>
      <w:sz w:val="24"/>
      <w:szCs w:val="24"/>
    </w:rPr>
  </w:style>
  <w:style w:type="character" w:customStyle="1" w:styleId="168">
    <w:name w:val="页脚 Char"/>
    <w:autoRedefine/>
    <w:qFormat/>
    <w:uiPriority w:val="0"/>
    <w:rPr>
      <w:rFonts w:eastAsia="仿宋_GB2312"/>
      <w:kern w:val="2"/>
      <w:sz w:val="18"/>
      <w:lang w:val="en-US" w:eastAsia="zh-CN"/>
    </w:rPr>
  </w:style>
  <w:style w:type="character" w:customStyle="1" w:styleId="169">
    <w:name w:val="批注主题 Char"/>
    <w:autoRedefine/>
    <w:qFormat/>
    <w:uiPriority w:val="0"/>
    <w:rPr>
      <w:rFonts w:eastAsia="宋体"/>
      <w:b/>
      <w:bCs/>
      <w:kern w:val="2"/>
      <w:sz w:val="21"/>
      <w:szCs w:val="24"/>
      <w:lang w:val="en-US" w:eastAsia="zh-CN" w:bidi="ar-SA"/>
    </w:rPr>
  </w:style>
  <w:style w:type="character" w:customStyle="1" w:styleId="170">
    <w:name w:val="Comment Text Char"/>
    <w:autoRedefine/>
    <w:qFormat/>
    <w:locked/>
    <w:uiPriority w:val="0"/>
    <w:rPr>
      <w:rFonts w:ascii="宋体" w:hAnsi="宋体" w:eastAsia="宋体"/>
      <w:kern w:val="2"/>
      <w:sz w:val="24"/>
      <w:lang w:val="en-US" w:eastAsia="zh-CN" w:bidi="ar-SA"/>
    </w:rPr>
  </w:style>
  <w:style w:type="character" w:customStyle="1" w:styleId="171">
    <w:name w:val="标题 2 字符"/>
    <w:autoRedefine/>
    <w:qFormat/>
    <w:uiPriority w:val="1"/>
    <w:rPr>
      <w:rFonts w:ascii="仿宋_GB2312" w:hAnsi="Times New Roman" w:eastAsia="仿宋_GB2312" w:cs="Times New Roman"/>
      <w:b/>
      <w:kern w:val="2"/>
      <w:sz w:val="24"/>
      <w:lang w:val="zh-CN"/>
    </w:rPr>
  </w:style>
  <w:style w:type="character" w:customStyle="1" w:styleId="172">
    <w:name w:val="Char Char72"/>
    <w:autoRedefine/>
    <w:qFormat/>
    <w:uiPriority w:val="0"/>
    <w:rPr>
      <w:rFonts w:eastAsia="宋体"/>
      <w:kern w:val="2"/>
      <w:sz w:val="21"/>
      <w:szCs w:val="24"/>
      <w:lang w:val="en-US" w:eastAsia="zh-CN" w:bidi="ar-SA"/>
    </w:rPr>
  </w:style>
  <w:style w:type="character" w:customStyle="1" w:styleId="173">
    <w:name w:val="正文文本缩进 Char2"/>
    <w:autoRedefine/>
    <w:qFormat/>
    <w:uiPriority w:val="0"/>
    <w:rPr>
      <w:rFonts w:ascii="Times New Roman" w:hAnsi="Times New Roman" w:eastAsia="宋体" w:cs="Times New Roman"/>
      <w:snapToGrid w:val="0"/>
      <w:kern w:val="0"/>
      <w:szCs w:val="24"/>
    </w:rPr>
  </w:style>
  <w:style w:type="character" w:customStyle="1" w:styleId="174">
    <w:name w:val="样式2 Char"/>
    <w:autoRedefine/>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autoRedefine/>
    <w:qFormat/>
    <w:uiPriority w:val="0"/>
    <w:rPr>
      <w:sz w:val="32"/>
    </w:rPr>
  </w:style>
  <w:style w:type="paragraph" w:customStyle="1" w:styleId="176">
    <w:name w:val="表格名称"/>
    <w:basedOn w:val="6"/>
    <w:link w:val="175"/>
    <w:autoRedefine/>
    <w:qFormat/>
    <w:uiPriority w:val="0"/>
    <w:pPr>
      <w:snapToGrid w:val="0"/>
      <w:spacing w:before="240" w:after="240" w:line="240" w:lineRule="auto"/>
      <w:ind w:left="0" w:firstLine="0"/>
      <w:jc w:val="center"/>
    </w:pPr>
    <w:rPr>
      <w:rFonts w:ascii="Calibri" w:hAnsi="Calibri" w:eastAsia="宋体"/>
      <w:kern w:val="0"/>
      <w:szCs w:val="20"/>
    </w:rPr>
  </w:style>
  <w:style w:type="character" w:customStyle="1" w:styleId="177">
    <w:name w:val="Char Char4"/>
    <w:autoRedefine/>
    <w:qFormat/>
    <w:uiPriority w:val="0"/>
    <w:rPr>
      <w:rFonts w:eastAsia="宋体"/>
      <w:b/>
      <w:sz w:val="24"/>
      <w:lang w:val="en-GB" w:eastAsia="zh-CN" w:bidi="ar-SA"/>
    </w:rPr>
  </w:style>
  <w:style w:type="character" w:customStyle="1" w:styleId="178">
    <w:name w:val="c7 style3"/>
    <w:autoRedefine/>
    <w:qFormat/>
    <w:uiPriority w:val="0"/>
  </w:style>
  <w:style w:type="character" w:customStyle="1" w:styleId="179">
    <w:name w:val="正文文本 3 Char1"/>
    <w:autoRedefine/>
    <w:semiHidden/>
    <w:qFormat/>
    <w:uiPriority w:val="99"/>
    <w:rPr>
      <w:rFonts w:ascii="Times New Roman" w:hAnsi="Times New Roman" w:eastAsia="宋体" w:cs="Times New Roman"/>
      <w:sz w:val="16"/>
      <w:szCs w:val="16"/>
    </w:rPr>
  </w:style>
  <w:style w:type="character" w:customStyle="1" w:styleId="180">
    <w:name w:val="tw4winInternal"/>
    <w:autoRedefine/>
    <w:qFormat/>
    <w:uiPriority w:val="0"/>
    <w:rPr>
      <w:rFonts w:ascii="Courier New" w:hAnsi="Courier New" w:cs="Courier New"/>
      <w:color w:val="FF0000"/>
      <w:lang w:val="en-US" w:eastAsia="zh-CN"/>
    </w:rPr>
  </w:style>
  <w:style w:type="character" w:customStyle="1" w:styleId="181">
    <w:name w:val="Char Char10"/>
    <w:autoRedefine/>
    <w:semiHidden/>
    <w:qFormat/>
    <w:uiPriority w:val="0"/>
    <w:rPr>
      <w:rFonts w:ascii="宋体" w:hAnsi="宋体"/>
      <w:kern w:val="2"/>
      <w:sz w:val="21"/>
      <w:szCs w:val="24"/>
      <w:lang w:val="en-US" w:eastAsia="zh-CN"/>
    </w:rPr>
  </w:style>
  <w:style w:type="character" w:customStyle="1" w:styleId="182">
    <w:name w:val="shadow11"/>
    <w:autoRedefine/>
    <w:qFormat/>
    <w:uiPriority w:val="0"/>
    <w:rPr>
      <w:color w:val="000000"/>
      <w:sz w:val="21"/>
    </w:rPr>
  </w:style>
  <w:style w:type="character" w:customStyle="1" w:styleId="183">
    <w:name w:val="正文非缩进 Char3"/>
    <w:autoRedefine/>
    <w:qFormat/>
    <w:uiPriority w:val="0"/>
    <w:rPr>
      <w:rFonts w:ascii="宋体" w:eastAsia="宋体"/>
      <w:snapToGrid w:val="0"/>
      <w:color w:val="000000"/>
      <w:kern w:val="28"/>
      <w:sz w:val="28"/>
      <w:lang w:val="en-US" w:eastAsia="zh-CN" w:bidi="ar-SA"/>
    </w:rPr>
  </w:style>
  <w:style w:type="character" w:customStyle="1" w:styleId="184">
    <w:name w:val="Char Char"/>
    <w:autoRedefine/>
    <w:qFormat/>
    <w:uiPriority w:val="0"/>
    <w:rPr>
      <w:rFonts w:ascii="宋体" w:hAnsi="Courier New" w:eastAsia="宋体"/>
      <w:kern w:val="2"/>
      <w:sz w:val="21"/>
      <w:lang w:val="en-US" w:eastAsia="zh-CN" w:bidi="ar-SA"/>
    </w:rPr>
  </w:style>
  <w:style w:type="character" w:customStyle="1" w:styleId="185">
    <w:name w:val="签名 Char1"/>
    <w:autoRedefine/>
    <w:qFormat/>
    <w:uiPriority w:val="0"/>
    <w:rPr>
      <w:rFonts w:ascii="Times New Roman" w:hAnsi="Times New Roman" w:eastAsia="宋体" w:cs="Times New Roman"/>
      <w:szCs w:val="24"/>
    </w:rPr>
  </w:style>
  <w:style w:type="character" w:customStyle="1" w:styleId="186">
    <w:name w:val="日期 字符"/>
    <w:link w:val="38"/>
    <w:autoRedefine/>
    <w:qFormat/>
    <w:uiPriority w:val="0"/>
    <w:rPr>
      <w:rFonts w:ascii="宋体"/>
      <w:kern w:val="2"/>
      <w:sz w:val="24"/>
      <w:szCs w:val="21"/>
      <w:lang w:val="zh-CN"/>
    </w:rPr>
  </w:style>
  <w:style w:type="character" w:customStyle="1" w:styleId="187">
    <w:name w:val="标题 9 字符"/>
    <w:link w:val="13"/>
    <w:autoRedefine/>
    <w:qFormat/>
    <w:uiPriority w:val="0"/>
    <w:rPr>
      <w:rFonts w:ascii="Arial" w:hAnsi="Arial" w:eastAsia="黑体"/>
      <w:kern w:val="2"/>
      <w:sz w:val="21"/>
      <w:szCs w:val="21"/>
    </w:rPr>
  </w:style>
  <w:style w:type="character" w:customStyle="1" w:styleId="188">
    <w:name w:val="Char Char18"/>
    <w:autoRedefine/>
    <w:qFormat/>
    <w:uiPriority w:val="6"/>
    <w:rPr>
      <w:rFonts w:ascii="宋体" w:hAnsi="宋体"/>
      <w:sz w:val="28"/>
    </w:rPr>
  </w:style>
  <w:style w:type="character" w:customStyle="1" w:styleId="189">
    <w:name w:val="批注文字 Char"/>
    <w:autoRedefine/>
    <w:qFormat/>
    <w:uiPriority w:val="99"/>
    <w:rPr>
      <w:kern w:val="2"/>
      <w:sz w:val="21"/>
      <w:szCs w:val="24"/>
    </w:rPr>
  </w:style>
  <w:style w:type="character" w:customStyle="1" w:styleId="190">
    <w:name w:val="Char Char22"/>
    <w:autoRedefine/>
    <w:qFormat/>
    <w:uiPriority w:val="6"/>
    <w:rPr>
      <w:rFonts w:ascii="宋体" w:hAnsi="宋体"/>
      <w:kern w:val="1"/>
      <w:sz w:val="24"/>
      <w:szCs w:val="24"/>
    </w:rPr>
  </w:style>
  <w:style w:type="character" w:customStyle="1" w:styleId="191">
    <w:name w:val="pt141"/>
    <w:autoRedefine/>
    <w:qFormat/>
    <w:uiPriority w:val="0"/>
    <w:rPr>
      <w:color w:val="330066"/>
      <w:sz w:val="22"/>
      <w:szCs w:val="22"/>
    </w:rPr>
  </w:style>
  <w:style w:type="character" w:customStyle="1" w:styleId="192">
    <w:name w:val="正文文本缩进 2 Char1"/>
    <w:autoRedefine/>
    <w:semiHidden/>
    <w:qFormat/>
    <w:uiPriority w:val="99"/>
    <w:rPr>
      <w:rFonts w:ascii="Times New Roman" w:hAnsi="Times New Roman" w:eastAsia="宋体" w:cs="Times New Roman"/>
      <w:szCs w:val="24"/>
    </w:rPr>
  </w:style>
  <w:style w:type="character" w:customStyle="1" w:styleId="193">
    <w:name w:val="批注框文本 字符1"/>
    <w:link w:val="41"/>
    <w:autoRedefine/>
    <w:qFormat/>
    <w:uiPriority w:val="0"/>
    <w:rPr>
      <w:kern w:val="2"/>
      <w:sz w:val="18"/>
      <w:szCs w:val="18"/>
    </w:rPr>
  </w:style>
  <w:style w:type="character" w:customStyle="1" w:styleId="194">
    <w:name w:val="Char Char611"/>
    <w:autoRedefine/>
    <w:qFormat/>
    <w:uiPriority w:val="0"/>
    <w:rPr>
      <w:rFonts w:eastAsia="宋体"/>
      <w:kern w:val="2"/>
      <w:sz w:val="21"/>
      <w:szCs w:val="24"/>
      <w:lang w:val="en-US" w:eastAsia="zh-CN" w:bidi="ar-SA"/>
    </w:rPr>
  </w:style>
  <w:style w:type="character" w:customStyle="1" w:styleId="195">
    <w:name w:val="highlight1"/>
    <w:autoRedefine/>
    <w:qFormat/>
    <w:uiPriority w:val="0"/>
    <w:rPr>
      <w:rFonts w:ascii="仿宋_GB2312" w:eastAsia="微软雅黑"/>
      <w:b/>
      <w:kern w:val="2"/>
      <w:sz w:val="23"/>
      <w:szCs w:val="23"/>
      <w:lang w:val="en-US" w:eastAsia="zh-CN" w:bidi="ar-SA"/>
    </w:rPr>
  </w:style>
  <w:style w:type="character" w:customStyle="1" w:styleId="196">
    <w:name w:val="my正文 Char"/>
    <w:link w:val="197"/>
    <w:autoRedefine/>
    <w:qFormat/>
    <w:locked/>
    <w:uiPriority w:val="0"/>
    <w:rPr>
      <w:rFonts w:ascii="Tahoma" w:hAnsi="Tahoma"/>
      <w:sz w:val="24"/>
      <w:szCs w:val="24"/>
    </w:rPr>
  </w:style>
  <w:style w:type="paragraph" w:customStyle="1" w:styleId="197">
    <w:name w:val="my正文"/>
    <w:basedOn w:val="1"/>
    <w:link w:val="196"/>
    <w:autoRedefine/>
    <w:qFormat/>
    <w:uiPriority w:val="0"/>
    <w:pPr>
      <w:adjustRightInd/>
      <w:spacing w:line="360" w:lineRule="auto"/>
      <w:ind w:firstLine="480" w:firstLineChars="200"/>
    </w:pPr>
    <w:rPr>
      <w:rFonts w:ascii="Tahoma" w:hAnsi="Tahoma"/>
      <w:kern w:val="0"/>
      <w:sz w:val="24"/>
    </w:rPr>
  </w:style>
  <w:style w:type="character" w:customStyle="1" w:styleId="198">
    <w:name w:val="正文缩进 字符2"/>
    <w:link w:val="19"/>
    <w:autoRedefine/>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autoRedefine/>
    <w:qFormat/>
    <w:uiPriority w:val="0"/>
    <w:rPr>
      <w:color w:val="0000FF"/>
      <w:sz w:val="21"/>
    </w:rPr>
  </w:style>
  <w:style w:type="character" w:customStyle="1" w:styleId="200">
    <w:name w:val="页眉 Char"/>
    <w:autoRedefine/>
    <w:qFormat/>
    <w:uiPriority w:val="0"/>
    <w:rPr>
      <w:rFonts w:eastAsia="仿宋_GB2312"/>
      <w:kern w:val="2"/>
      <w:sz w:val="18"/>
      <w:lang w:val="en-US" w:eastAsia="zh-CN"/>
    </w:rPr>
  </w:style>
  <w:style w:type="character" w:customStyle="1" w:styleId="201">
    <w:name w:val="FA正文 Char Char"/>
    <w:autoRedefine/>
    <w:qFormat/>
    <w:uiPriority w:val="0"/>
    <w:rPr>
      <w:rFonts w:hAnsi="宋体"/>
      <w:kern w:val="2"/>
      <w:sz w:val="24"/>
      <w:lang w:bidi="ar-SA"/>
    </w:rPr>
  </w:style>
  <w:style w:type="character" w:customStyle="1" w:styleId="20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autoRedefine/>
    <w:qFormat/>
    <w:uiPriority w:val="0"/>
    <w:rPr>
      <w:rFonts w:ascii="宋体" w:hAnsi="宋体"/>
      <w:b/>
      <w:bCs/>
      <w:snapToGrid/>
      <w:sz w:val="28"/>
    </w:rPr>
  </w:style>
  <w:style w:type="paragraph" w:customStyle="1" w:styleId="204">
    <w:name w:val="3级"/>
    <w:basedOn w:val="205"/>
    <w:link w:val="203"/>
    <w:autoRedefine/>
    <w:qFormat/>
    <w:uiPriority w:val="0"/>
    <w:pPr>
      <w:ind w:left="0" w:right="466" w:firstLine="288"/>
    </w:pPr>
    <w:rPr>
      <w:rFonts w:hAnsi="宋体"/>
      <w:snapToGrid/>
    </w:rPr>
  </w:style>
  <w:style w:type="paragraph" w:customStyle="1" w:styleId="205">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6">
    <w:name w:val="myp11"/>
    <w:autoRedefine/>
    <w:qFormat/>
    <w:uiPriority w:val="0"/>
    <w:rPr>
      <w:rFonts w:ascii="仿宋_GB2312" w:eastAsia="微软雅黑"/>
      <w:b/>
      <w:kern w:val="2"/>
      <w:sz w:val="32"/>
      <w:szCs w:val="32"/>
      <w:lang w:val="en-US" w:eastAsia="zh-CN" w:bidi="ar-SA"/>
    </w:rPr>
  </w:style>
  <w:style w:type="character" w:customStyle="1" w:styleId="207">
    <w:name w:val="文档结构图 字符"/>
    <w:link w:val="22"/>
    <w:autoRedefine/>
    <w:qFormat/>
    <w:uiPriority w:val="0"/>
    <w:rPr>
      <w:kern w:val="2"/>
      <w:sz w:val="21"/>
      <w:szCs w:val="24"/>
      <w:shd w:val="clear" w:color="auto" w:fill="000080"/>
    </w:rPr>
  </w:style>
  <w:style w:type="character" w:customStyle="1" w:styleId="208">
    <w:name w:val="H6 Char"/>
    <w:autoRedefine/>
    <w:qFormat/>
    <w:uiPriority w:val="0"/>
    <w:rPr>
      <w:rFonts w:ascii="Arial" w:hAnsi="Arial" w:eastAsia="黑体"/>
      <w:b/>
      <w:bCs/>
      <w:kern w:val="2"/>
      <w:sz w:val="24"/>
      <w:szCs w:val="24"/>
    </w:rPr>
  </w:style>
  <w:style w:type="character" w:customStyle="1" w:styleId="209">
    <w:name w:val="Char Char91"/>
    <w:autoRedefine/>
    <w:qFormat/>
    <w:uiPriority w:val="0"/>
    <w:rPr>
      <w:rFonts w:eastAsia="宋体"/>
      <w:kern w:val="2"/>
      <w:sz w:val="18"/>
      <w:szCs w:val="18"/>
      <w:lang w:val="en-US" w:eastAsia="zh-CN" w:bidi="ar-SA"/>
    </w:rPr>
  </w:style>
  <w:style w:type="character" w:customStyle="1" w:styleId="210">
    <w:name w:val="副标题 Char1"/>
    <w:autoRedefine/>
    <w:qFormat/>
    <w:uiPriority w:val="0"/>
    <w:rPr>
      <w:rFonts w:ascii="Cambria" w:hAnsi="Cambria" w:eastAsia="宋体" w:cs="Times New Roman"/>
      <w:b/>
      <w:bCs/>
      <w:snapToGrid w:val="0"/>
      <w:kern w:val="28"/>
      <w:sz w:val="32"/>
      <w:szCs w:val="32"/>
    </w:rPr>
  </w:style>
  <w:style w:type="character" w:customStyle="1" w:styleId="211">
    <w:name w:val="font61"/>
    <w:autoRedefine/>
    <w:qFormat/>
    <w:uiPriority w:val="0"/>
    <w:rPr>
      <w:rFonts w:hint="eastAsia" w:ascii="仿宋" w:hAnsi="仿宋" w:eastAsia="仿宋" w:cs="仿宋"/>
      <w:color w:val="000000"/>
      <w:sz w:val="20"/>
      <w:szCs w:val="20"/>
      <w:u w:val="none"/>
    </w:rPr>
  </w:style>
  <w:style w:type="character" w:customStyle="1" w:styleId="212">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autoRedefine/>
    <w:qFormat/>
    <w:uiPriority w:val="0"/>
    <w:rPr>
      <w:rFonts w:eastAsia="宋体"/>
      <w:b/>
      <w:bCs/>
      <w:kern w:val="2"/>
      <w:sz w:val="21"/>
      <w:szCs w:val="24"/>
      <w:lang w:val="en-US" w:eastAsia="zh-CN" w:bidi="ar-SA"/>
    </w:rPr>
  </w:style>
  <w:style w:type="character" w:customStyle="1" w:styleId="214">
    <w:name w:val="标题 2 Char"/>
    <w:autoRedefine/>
    <w:qFormat/>
    <w:uiPriority w:val="0"/>
    <w:rPr>
      <w:rFonts w:ascii="Arial" w:hAnsi="Arial" w:eastAsia="黑体"/>
      <w:b/>
      <w:kern w:val="2"/>
      <w:sz w:val="32"/>
      <w:lang w:val="en-US" w:eastAsia="zh-CN"/>
    </w:rPr>
  </w:style>
  <w:style w:type="character" w:customStyle="1" w:styleId="215">
    <w:name w:val="maywed421"/>
    <w:autoRedefine/>
    <w:qFormat/>
    <w:uiPriority w:val="0"/>
    <w:rPr>
      <w:color w:val="366FB6"/>
      <w:u w:val="none"/>
    </w:rPr>
  </w:style>
  <w:style w:type="character" w:customStyle="1" w:styleId="216">
    <w:name w:val="正文文本缩进 Char"/>
    <w:autoRedefine/>
    <w:qFormat/>
    <w:uiPriority w:val="0"/>
    <w:rPr>
      <w:rFonts w:ascii="宋体" w:hAnsi="宋体"/>
      <w:kern w:val="2"/>
      <w:sz w:val="24"/>
      <w:szCs w:val="24"/>
    </w:rPr>
  </w:style>
  <w:style w:type="character" w:customStyle="1" w:styleId="217">
    <w:name w:val="Char Char102"/>
    <w:autoRedefine/>
    <w:semiHidden/>
    <w:qFormat/>
    <w:uiPriority w:val="0"/>
    <w:rPr>
      <w:rFonts w:ascii="宋体" w:hAnsi="宋体"/>
      <w:kern w:val="2"/>
      <w:sz w:val="21"/>
      <w:szCs w:val="24"/>
      <w:lang w:val="en-US" w:eastAsia="zh-CN"/>
    </w:rPr>
  </w:style>
  <w:style w:type="character" w:customStyle="1" w:styleId="218">
    <w:name w:val="页眉 Char1"/>
    <w:autoRedefine/>
    <w:qFormat/>
    <w:uiPriority w:val="0"/>
    <w:rPr>
      <w:rFonts w:eastAsia="宋体"/>
      <w:kern w:val="2"/>
      <w:sz w:val="18"/>
      <w:szCs w:val="18"/>
      <w:lang w:val="en-US" w:eastAsia="zh-CN" w:bidi="ar-SA"/>
    </w:rPr>
  </w:style>
  <w:style w:type="character" w:customStyle="1" w:styleId="219">
    <w:name w:val="md"/>
    <w:basedOn w:val="72"/>
    <w:autoRedefine/>
    <w:qFormat/>
    <w:uiPriority w:val="0"/>
    <w:rPr>
      <w:rFonts w:ascii="Arial" w:hAnsi="Arial" w:eastAsia="黑体" w:cs="Arial"/>
      <w:snapToGrid w:val="0"/>
      <w:kern w:val="0"/>
      <w:szCs w:val="21"/>
    </w:rPr>
  </w:style>
  <w:style w:type="character" w:customStyle="1" w:styleId="220">
    <w:name w:val="big1"/>
    <w:autoRedefine/>
    <w:qFormat/>
    <w:uiPriority w:val="0"/>
    <w:rPr>
      <w:rFonts w:hint="eastAsia" w:ascii="宋体" w:hAnsi="宋体" w:eastAsia="宋体"/>
      <w:color w:val="333333"/>
      <w:sz w:val="22"/>
      <w:szCs w:val="22"/>
    </w:rPr>
  </w:style>
  <w:style w:type="character" w:customStyle="1" w:styleId="221">
    <w:name w:val="Char Char311"/>
    <w:autoRedefine/>
    <w:qFormat/>
    <w:uiPriority w:val="0"/>
    <w:rPr>
      <w:rFonts w:eastAsia="宋体"/>
      <w:kern w:val="2"/>
      <w:sz w:val="21"/>
      <w:szCs w:val="24"/>
      <w:lang w:val="en-US" w:eastAsia="zh-CN" w:bidi="ar-SA"/>
    </w:rPr>
  </w:style>
  <w:style w:type="character" w:customStyle="1" w:styleId="222">
    <w:name w:val="Char Char81"/>
    <w:autoRedefine/>
    <w:qFormat/>
    <w:uiPriority w:val="6"/>
    <w:rPr>
      <w:rFonts w:eastAsia="宋体"/>
      <w:b/>
      <w:sz w:val="24"/>
      <w:lang w:val="en-GB" w:eastAsia="zh-CN"/>
    </w:rPr>
  </w:style>
  <w:style w:type="character" w:customStyle="1" w:styleId="223">
    <w:name w:val="样式3 Char"/>
    <w:basedOn w:val="174"/>
    <w:autoRedefine/>
    <w:qFormat/>
    <w:uiPriority w:val="0"/>
    <w:rPr>
      <w:rFonts w:ascii="仿宋_GB2312" w:hAnsi="仿宋" w:eastAsia="仿宋_GB2312" w:cs="仿宋_GB2312"/>
      <w:sz w:val="32"/>
      <w:szCs w:val="30"/>
      <w:lang w:val="zh-CN"/>
    </w:rPr>
  </w:style>
  <w:style w:type="character" w:customStyle="1" w:styleId="224">
    <w:name w:val="HTML 地址 字符"/>
    <w:link w:val="32"/>
    <w:autoRedefine/>
    <w:qFormat/>
    <w:uiPriority w:val="0"/>
    <w:rPr>
      <w:rFonts w:ascii="宋体" w:hAnsi="宋体"/>
      <w:i/>
      <w:iCs/>
      <w:sz w:val="24"/>
      <w:szCs w:val="24"/>
    </w:rPr>
  </w:style>
  <w:style w:type="character" w:customStyle="1" w:styleId="225">
    <w:name w:val="正文首行缩进 2 Char1"/>
    <w:autoRedefine/>
    <w:qFormat/>
    <w:uiPriority w:val="0"/>
    <w:rPr>
      <w:rFonts w:ascii="Times New Roman" w:hAnsi="Times New Roman" w:eastAsia="宋体" w:cs="Times New Roman"/>
      <w:kern w:val="2"/>
      <w:sz w:val="24"/>
      <w:szCs w:val="24"/>
    </w:rPr>
  </w:style>
  <w:style w:type="character" w:customStyle="1" w:styleId="226">
    <w:name w:val="副标题 Char2"/>
    <w:autoRedefine/>
    <w:qFormat/>
    <w:uiPriority w:val="0"/>
    <w:rPr>
      <w:rFonts w:ascii="Cambria" w:hAnsi="Cambria" w:eastAsia="宋体" w:cs="Times New Roman"/>
      <w:b/>
      <w:bCs/>
      <w:snapToGrid w:val="0"/>
      <w:kern w:val="28"/>
      <w:sz w:val="32"/>
      <w:szCs w:val="32"/>
    </w:rPr>
  </w:style>
  <w:style w:type="character" w:customStyle="1" w:styleId="227">
    <w:name w:val="标题4-dyf Char"/>
    <w:link w:val="228"/>
    <w:autoRedefine/>
    <w:qFormat/>
    <w:uiPriority w:val="0"/>
    <w:rPr>
      <w:rFonts w:ascii="Cambria" w:hAnsi="Cambria"/>
      <w:b/>
      <w:bCs/>
      <w:color w:val="000000"/>
      <w:kern w:val="2"/>
      <w:sz w:val="21"/>
      <w:szCs w:val="21"/>
    </w:rPr>
  </w:style>
  <w:style w:type="paragraph" w:customStyle="1" w:styleId="228">
    <w:name w:val="标题4-dyf"/>
    <w:basedOn w:val="8"/>
    <w:link w:val="227"/>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autoRedefine/>
    <w:qFormat/>
    <w:uiPriority w:val="0"/>
    <w:rPr>
      <w:rFonts w:ascii="宋体" w:hAnsi="宋体" w:eastAsia="宋体"/>
      <w:color w:val="333333"/>
      <w:sz w:val="21"/>
      <w:szCs w:val="21"/>
      <w:u w:val="none"/>
    </w:rPr>
  </w:style>
  <w:style w:type="character" w:customStyle="1" w:styleId="230">
    <w:name w:val="冯 Char"/>
    <w:link w:val="231"/>
    <w:autoRedefine/>
    <w:qFormat/>
    <w:uiPriority w:val="0"/>
    <w:rPr>
      <w:rFonts w:ascii="宋体" w:hAnsi="宋体"/>
      <w:color w:val="000000"/>
      <w:sz w:val="24"/>
      <w:szCs w:val="24"/>
    </w:rPr>
  </w:style>
  <w:style w:type="paragraph" w:customStyle="1" w:styleId="231">
    <w:name w:val="冯"/>
    <w:basedOn w:val="1"/>
    <w:link w:val="230"/>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2">
    <w:name w:val="Header Char"/>
    <w:autoRedefine/>
    <w:qFormat/>
    <w:locked/>
    <w:uiPriority w:val="0"/>
    <w:rPr>
      <w:rFonts w:eastAsia="宋体"/>
      <w:kern w:val="2"/>
      <w:sz w:val="18"/>
      <w:szCs w:val="18"/>
      <w:lang w:val="en-US" w:eastAsia="zh-CN" w:bidi="ar-SA"/>
    </w:rPr>
  </w:style>
  <w:style w:type="character" w:customStyle="1" w:styleId="233">
    <w:name w:val="Char Char12"/>
    <w:autoRedefine/>
    <w:qFormat/>
    <w:uiPriority w:val="0"/>
    <w:rPr>
      <w:rFonts w:ascii="仿宋_GB2312" w:eastAsia="仿宋_GB2312"/>
      <w:b/>
      <w:bCs/>
      <w:kern w:val="2"/>
      <w:sz w:val="24"/>
      <w:szCs w:val="24"/>
      <w:lang w:val="zh-CN" w:eastAsia="zh-CN" w:bidi="ar-SA"/>
    </w:rPr>
  </w:style>
  <w:style w:type="character" w:customStyle="1" w:styleId="234">
    <w:name w:val="题注 字符"/>
    <w:link w:val="20"/>
    <w:autoRedefine/>
    <w:qFormat/>
    <w:uiPriority w:val="0"/>
    <w:rPr>
      <w:b/>
      <w:kern w:val="2"/>
      <w:sz w:val="28"/>
    </w:rPr>
  </w:style>
  <w:style w:type="character" w:customStyle="1" w:styleId="235">
    <w:name w:val="普通文字 Char3"/>
    <w:autoRedefine/>
    <w:qFormat/>
    <w:uiPriority w:val="0"/>
    <w:rPr>
      <w:rFonts w:ascii="宋体" w:hAnsi="Courier New" w:eastAsia="宋体"/>
      <w:kern w:val="2"/>
      <w:sz w:val="21"/>
      <w:lang w:val="en-US" w:eastAsia="zh-CN" w:bidi="ar-SA"/>
    </w:rPr>
  </w:style>
  <w:style w:type="character" w:customStyle="1" w:styleId="236">
    <w:name w:val="公文正文 Char"/>
    <w:autoRedefine/>
    <w:qFormat/>
    <w:uiPriority w:val="0"/>
    <w:rPr>
      <w:rFonts w:ascii="仿宋_GB2312" w:eastAsia="仿宋_GB2312"/>
      <w:kern w:val="2"/>
      <w:sz w:val="24"/>
      <w:szCs w:val="24"/>
      <w:lang w:val="en-US" w:eastAsia="zh-CN" w:bidi="ar-SA"/>
    </w:rPr>
  </w:style>
  <w:style w:type="character" w:customStyle="1" w:styleId="237">
    <w:name w:val="正文首行缩进 Char Char Char Char Char"/>
    <w:autoRedefine/>
    <w:qFormat/>
    <w:uiPriority w:val="0"/>
    <w:rPr>
      <w:rFonts w:ascii="宋体"/>
      <w:kern w:val="2"/>
      <w:sz w:val="24"/>
      <w:lang w:val="zh-CN"/>
    </w:rPr>
  </w:style>
  <w:style w:type="character" w:customStyle="1" w:styleId="238">
    <w:name w:val="PI Char"/>
    <w:autoRedefine/>
    <w:qFormat/>
    <w:uiPriority w:val="0"/>
    <w:rPr>
      <w:rFonts w:ascii="宋体" w:hAnsi="宋体" w:eastAsia="宋体"/>
      <w:kern w:val="2"/>
      <w:sz w:val="24"/>
      <w:szCs w:val="24"/>
      <w:lang w:val="en-US" w:eastAsia="zh-CN" w:bidi="ar-SA"/>
    </w:rPr>
  </w:style>
  <w:style w:type="character" w:customStyle="1" w:styleId="239">
    <w:name w:val="Default Char"/>
    <w:link w:val="2"/>
    <w:autoRedefine/>
    <w:qFormat/>
    <w:uiPriority w:val="0"/>
    <w:rPr>
      <w:rFonts w:ascii="仿宋_GB2312"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85"/>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字符1"/>
    <w:link w:val="27"/>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字符1"/>
    <w:link w:val="4"/>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字符"/>
    <w:link w:val="61"/>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字符"/>
    <w:link w:val="9"/>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字符"/>
    <w:link w:val="24"/>
    <w:autoRedefine/>
    <w:qFormat/>
    <w:uiPriority w:val="0"/>
    <w:rPr>
      <w:rFonts w:ascii="仿宋_GB2312" w:eastAsia="仿宋_GB2312"/>
      <w:kern w:val="2"/>
      <w:sz w:val="28"/>
    </w:rPr>
  </w:style>
  <w:style w:type="character" w:customStyle="1" w:styleId="302">
    <w:name w:val="文本正文 Char Char"/>
    <w:qFormat/>
    <w:locked/>
    <w:uiPriority w:val="0"/>
    <w:rPr>
      <w:sz w:val="24"/>
      <w:lang w:bidi="ar-SA"/>
    </w:rPr>
  </w:style>
  <w:style w:type="character" w:customStyle="1" w:styleId="303">
    <w:name w:val="正文缩进 字符"/>
    <w:qFormat/>
    <w:uiPriority w:val="0"/>
    <w:rPr>
      <w:rFonts w:ascii="宋体" w:eastAsia="宋体"/>
      <w:snapToGrid w:val="0"/>
      <w:color w:val="000000"/>
      <w:kern w:val="28"/>
      <w:sz w:val="28"/>
      <w:lang w:val="en-US" w:eastAsia="zh-CN" w:bidi="ar-SA"/>
    </w:rPr>
  </w:style>
  <w:style w:type="character" w:customStyle="1" w:styleId="304">
    <w:name w:val="HTML 预设格式 字符"/>
    <w:link w:val="59"/>
    <w:autoRedefine/>
    <w:qFormat/>
    <w:uiPriority w:val="0"/>
    <w:rPr>
      <w:rFonts w:ascii="黑体" w:hAnsi="Courier New" w:eastAsia="黑体"/>
    </w:rPr>
  </w:style>
  <w:style w:type="character" w:customStyle="1" w:styleId="305">
    <w:name w:val="正文文本 2 字符1"/>
    <w:link w:val="58"/>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qFormat/>
    <w:uiPriority w:val="0"/>
    <w:pPr>
      <w:tabs>
        <w:tab w:val="left" w:pos="2356"/>
      </w:tabs>
    </w:pPr>
  </w:style>
  <w:style w:type="paragraph" w:customStyle="1" w:styleId="308">
    <w:name w:val="样式 标题 4h4H4Fab-4T5Ref Heading 1rh1Heading sqlsect 1.2.3...."/>
    <w:basedOn w:val="8"/>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qFormat/>
    <w:uiPriority w:val="0"/>
    <w:rPr>
      <w:rFonts w:ascii="宋体" w:eastAsia="宋体"/>
      <w:snapToGrid w:val="0"/>
      <w:color w:val="000000"/>
      <w:kern w:val="28"/>
      <w:sz w:val="28"/>
      <w:lang w:val="en-US" w:eastAsia="zh-CN" w:bidi="ar-SA"/>
    </w:rPr>
  </w:style>
  <w:style w:type="character" w:customStyle="1" w:styleId="310">
    <w:name w:val="标题 7 字符"/>
    <w:link w:val="11"/>
    <w:qFormat/>
    <w:uiPriority w:val="0"/>
    <w:rPr>
      <w:b/>
      <w:bCs/>
      <w:kern w:val="2"/>
      <w:sz w:val="24"/>
      <w:szCs w:val="24"/>
    </w:rPr>
  </w:style>
  <w:style w:type="character" w:customStyle="1" w:styleId="311">
    <w:name w:val="正文文本缩进 2 字符"/>
    <w:link w:val="39"/>
    <w:autoRedefine/>
    <w:qFormat/>
    <w:uiPriority w:val="0"/>
    <w:rPr>
      <w:rFonts w:ascii="宋体"/>
      <w:sz w:val="28"/>
    </w:rPr>
  </w:style>
  <w:style w:type="character" w:customStyle="1" w:styleId="312">
    <w:name w:val="Char Char5"/>
    <w:qFormat/>
    <w:uiPriority w:val="0"/>
    <w:rPr>
      <w:rFonts w:ascii="宋体" w:hAnsi="Courier New" w:eastAsia="宋体"/>
      <w:kern w:val="2"/>
      <w:sz w:val="21"/>
      <w:lang w:val="en-US" w:eastAsia="zh-CN"/>
    </w:rPr>
  </w:style>
  <w:style w:type="character" w:customStyle="1" w:styleId="313">
    <w:name w:val="脚注文本 字符"/>
    <w:link w:val="52"/>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qFormat/>
    <w:uiPriority w:val="0"/>
    <w:rPr>
      <w:rFonts w:ascii="宋体" w:eastAsia="宋体"/>
      <w:snapToGrid w:val="0"/>
      <w:color w:val="000000"/>
      <w:kern w:val="28"/>
      <w:sz w:val="28"/>
      <w:lang w:val="en-US" w:eastAsia="zh-CN" w:bidi="ar-SA"/>
    </w:rPr>
  </w:style>
  <w:style w:type="character" w:customStyle="1" w:styleId="316">
    <w:name w:val="正文缩进 Char1"/>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qFormat/>
    <w:uiPriority w:val="6"/>
    <w:rPr>
      <w:kern w:val="1"/>
      <w:sz w:val="21"/>
      <w:szCs w:val="24"/>
    </w:rPr>
  </w:style>
  <w:style w:type="character" w:customStyle="1" w:styleId="319">
    <w:name w:val="Item List Char"/>
    <w:link w:val="320"/>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qFormat/>
    <w:uiPriority w:val="0"/>
    <w:rPr>
      <w:rFonts w:ascii="Times New Roman" w:hAnsi="Times New Roman" w:eastAsia="宋体" w:cs="Times New Roman"/>
      <w:sz w:val="18"/>
      <w:szCs w:val="18"/>
    </w:rPr>
  </w:style>
  <w:style w:type="character" w:customStyle="1" w:styleId="322">
    <w:name w:val="纯文本 Char1"/>
    <w:link w:val="323"/>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文本首行缩进 字符"/>
    <w:link w:val="63"/>
    <w:qFormat/>
    <w:uiPriority w:val="0"/>
    <w:rPr>
      <w:rFonts w:ascii="宋体"/>
      <w:kern w:val="2"/>
      <w:sz w:val="24"/>
      <w:lang w:val="zh-CN"/>
    </w:rPr>
  </w:style>
  <w:style w:type="character" w:customStyle="1" w:styleId="325">
    <w:name w:val="h3 Char"/>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qFormat/>
    <w:uiPriority w:val="6"/>
    <w:rPr>
      <w:rFonts w:ascii="Arial" w:hAnsi="Arial" w:eastAsia="黑体"/>
      <w:kern w:val="1"/>
      <w:sz w:val="24"/>
      <w:szCs w:val="24"/>
    </w:rPr>
  </w:style>
  <w:style w:type="character" w:customStyle="1" w:styleId="328">
    <w:name w:val="h Char1"/>
    <w:qFormat/>
    <w:uiPriority w:val="0"/>
    <w:rPr>
      <w:sz w:val="18"/>
      <w:szCs w:val="18"/>
    </w:rPr>
  </w:style>
  <w:style w:type="character" w:customStyle="1" w:styleId="329">
    <w:name w:val="solutionfonts"/>
    <w:autoRedefine/>
    <w:qFormat/>
    <w:uiPriority w:val="0"/>
  </w:style>
  <w:style w:type="character" w:customStyle="1" w:styleId="330">
    <w:name w:val="标题 4 字符1"/>
    <w:link w:val="8"/>
    <w:qFormat/>
    <w:uiPriority w:val="9"/>
    <w:rPr>
      <w:rFonts w:ascii="Arial" w:hAnsi="Arial" w:eastAsia="黑体"/>
      <w:b/>
      <w:bCs/>
      <w:kern w:val="2"/>
      <w:sz w:val="28"/>
      <w:szCs w:val="28"/>
      <w:lang w:val="zh-CN"/>
    </w:rPr>
  </w:style>
  <w:style w:type="character" w:customStyle="1" w:styleId="331">
    <w:name w:val="首行缩进 Char"/>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字符"/>
    <w:link w:val="25"/>
    <w:qFormat/>
    <w:uiPriority w:val="0"/>
    <w:rPr>
      <w:kern w:val="2"/>
      <w:sz w:val="21"/>
    </w:rPr>
  </w:style>
  <w:style w:type="character" w:customStyle="1" w:styleId="334">
    <w:name w:val="font31"/>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qFormat/>
    <w:uiPriority w:val="0"/>
    <w:pPr>
      <w:adjustRightInd/>
      <w:spacing w:line="360" w:lineRule="auto"/>
    </w:pPr>
    <w:rPr>
      <w:kern w:val="0"/>
      <w:sz w:val="24"/>
    </w:rPr>
  </w:style>
  <w:style w:type="character" w:customStyle="1" w:styleId="337">
    <w:name w:val="脚注文本 Char1"/>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qFormat/>
    <w:uiPriority w:val="0"/>
    <w:rPr>
      <w:rFonts w:eastAsia="宋体"/>
      <w:b/>
      <w:sz w:val="24"/>
      <w:lang w:val="en-GB" w:eastAsia="zh-CN" w:bidi="ar-SA"/>
    </w:rPr>
  </w:style>
  <w:style w:type="character" w:customStyle="1" w:styleId="340">
    <w:name w:val="Char Char35"/>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qFormat/>
    <w:uiPriority w:val="0"/>
    <w:rPr>
      <w:sz w:val="24"/>
      <w:szCs w:val="24"/>
    </w:rPr>
  </w:style>
  <w:style w:type="paragraph" w:customStyle="1" w:styleId="343">
    <w:name w:val="Table Text"/>
    <w:basedOn w:val="1"/>
    <w:link w:val="342"/>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qFormat/>
    <w:uiPriority w:val="0"/>
    <w:rPr>
      <w:rFonts w:eastAsia="宋体"/>
      <w:kern w:val="2"/>
      <w:sz w:val="18"/>
      <w:szCs w:val="18"/>
      <w:lang w:val="en-US" w:eastAsia="zh-CN" w:bidi="ar-SA"/>
    </w:rPr>
  </w:style>
  <w:style w:type="character" w:customStyle="1" w:styleId="346">
    <w:name w:val="Bold"/>
    <w:qFormat/>
    <w:uiPriority w:val="0"/>
    <w:rPr>
      <w:rFonts w:ascii="Arial" w:hAnsi="Arial" w:eastAsia="黑体" w:cs="Times New Roman"/>
      <w:b/>
      <w:kern w:val="2"/>
      <w:sz w:val="32"/>
      <w:szCs w:val="32"/>
      <w:lang w:val="en-US" w:eastAsia="zh-CN" w:bidi="ar-SA"/>
    </w:rPr>
  </w:style>
  <w:style w:type="character" w:customStyle="1" w:styleId="347">
    <w:name w:val="批注文字 字符1"/>
    <w:link w:val="23"/>
    <w:autoRedefine/>
    <w:qFormat/>
    <w:uiPriority w:val="0"/>
    <w:rPr>
      <w:kern w:val="2"/>
      <w:sz w:val="21"/>
      <w:szCs w:val="24"/>
    </w:rPr>
  </w:style>
  <w:style w:type="character" w:customStyle="1" w:styleId="348">
    <w:name w:val="签名 字符"/>
    <w:link w:val="44"/>
    <w:qFormat/>
    <w:uiPriority w:val="0"/>
    <w:rPr>
      <w:rFonts w:eastAsia="仿宋_GB2312"/>
      <w:sz w:val="24"/>
    </w:rPr>
  </w:style>
  <w:style w:type="character" w:customStyle="1" w:styleId="349">
    <w:name w:val="hui3"/>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字符"/>
    <w:link w:val="12"/>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字符"/>
    <w:link w:val="55"/>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字符2"/>
    <w:link w:val="42"/>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字符2"/>
    <w:link w:val="43"/>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2"/>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19"/>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字符"/>
    <w:link w:val="5"/>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2"/>
    <w:autoRedefine/>
    <w:qFormat/>
    <w:uiPriority w:val="0"/>
    <w:rPr>
      <w:rFonts w:ascii="Arial" w:hAnsi="Arial" w:eastAsia="黑体" w:cs="Arial"/>
      <w:snapToGrid w:val="0"/>
      <w:kern w:val="0"/>
      <w:szCs w:val="21"/>
    </w:rPr>
  </w:style>
  <w:style w:type="character" w:customStyle="1" w:styleId="435">
    <w:name w:val="hui"/>
    <w:basedOn w:val="72"/>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6"/>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outlineLvl w:val="5"/>
    </w:pPr>
  </w:style>
  <w:style w:type="paragraph" w:customStyle="1" w:styleId="477">
    <w:name w:val="5级标题"/>
    <w:basedOn w:val="478"/>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8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0"/>
    <w:rPr>
      <w:rFonts w:ascii="Tahoma" w:hAnsi="Tahoma"/>
      <w:sz w:val="24"/>
      <w:szCs w:val="20"/>
    </w:rPr>
  </w:style>
  <w:style w:type="paragraph" w:customStyle="1" w:styleId="484">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5"/>
    <w:qFormat/>
    <w:uiPriority w:val="99"/>
    <w:rPr>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6"/>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7"/>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9"/>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7"/>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next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
    <w:next w:val="2"/>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
    <w:next w:val="2"/>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8"/>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autoRedefine/>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6"/>
    <w:next w:val="1"/>
    <w:qFormat/>
    <w:uiPriority w:val="0"/>
    <w:pPr>
      <w:tabs>
        <w:tab w:val="left" w:pos="578"/>
        <w:tab w:val="left" w:pos="900"/>
        <w:tab w:val="left" w:pos="1440"/>
      </w:tabs>
      <w:ind w:left="1440" w:hanging="360"/>
    </w:pPr>
    <w:rPr>
      <w:rFonts w:ascii="仿宋" w:eastAsia="仿宋" w:cs="宋体"/>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4"/>
    <w:qFormat/>
    <w:uiPriority w:val="0"/>
    <w:pPr>
      <w:tabs>
        <w:tab w:val="left" w:pos="840"/>
      </w:tabs>
      <w:adjustRightInd/>
      <w:ind w:left="840" w:hanging="420"/>
    </w:pPr>
  </w:style>
  <w:style w:type="paragraph" w:customStyle="1" w:styleId="629">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Lines="0" w:afterLines="0"/>
      <w:ind w:left="1680"/>
      <w:outlineLvl w:val="2"/>
    </w:pPr>
  </w:style>
  <w:style w:type="paragraph" w:customStyle="1" w:styleId="661">
    <w:name w:val="章标题"/>
    <w:next w:val="64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8"/>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Lines="50"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9"/>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7"/>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5"/>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9"/>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7"/>
    <w:next w:val="55"/>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5"/>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6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22"/>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85"/>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9"/>
    <w:next w:val="1"/>
    <w:qFormat/>
    <w:uiPriority w:val="0"/>
    <w:pPr>
      <w:tabs>
        <w:tab w:val="left" w:pos="1080"/>
      </w:tabs>
      <w:ind w:left="1080" w:hanging="1080"/>
    </w:pPr>
  </w:style>
  <w:style w:type="paragraph" w:customStyle="1" w:styleId="899">
    <w:name w:val="数字标题1"/>
    <w:basedOn w:val="4"/>
    <w:next w:val="1"/>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0"/>
    <w:pPr>
      <w:widowControl/>
    </w:pPr>
    <w:rPr>
      <w:kern w:val="0"/>
      <w:sz w:val="24"/>
      <w:szCs w:val="20"/>
    </w:rPr>
  </w:style>
  <w:style w:type="paragraph" w:customStyle="1" w:styleId="907">
    <w:name w:val="Char Char113"/>
    <w:basedOn w:val="1"/>
    <w:qFormat/>
    <w:uiPriority w:val="0"/>
    <w:pPr>
      <w:widowControl/>
      <w:spacing w:after="160" w:line="240" w:lineRule="exact"/>
      <w:jc w:val="left"/>
    </w:pPr>
    <w:rPr>
      <w:rFonts w:eastAsia="仿宋_GB2312"/>
      <w:sz w:val="28"/>
    </w:rPr>
  </w:style>
  <w:style w:type="paragraph" w:customStyle="1" w:styleId="9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34"/>
    <w:pPr>
      <w:adjustRightInd/>
      <w:ind w:firstLine="420" w:firstLineChars="200"/>
    </w:pPr>
    <w:rPr>
      <w:rFonts w:eastAsia="仿宋_GB2312"/>
      <w:sz w:val="28"/>
    </w:rPr>
  </w:style>
  <w:style w:type="paragraph" w:customStyle="1" w:styleId="9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6"/>
    <w:pPr>
      <w:widowControl/>
      <w:spacing w:after="160" w:line="240" w:lineRule="exact"/>
      <w:jc w:val="left"/>
    </w:pPr>
    <w:rPr>
      <w:rFonts w:eastAsia="仿宋_GB2312"/>
      <w:sz w:val="28"/>
    </w:rPr>
  </w:style>
  <w:style w:type="paragraph" w:customStyle="1" w:styleId="916">
    <w:name w:val="正文 图"/>
    <w:basedOn w:val="446"/>
    <w:qFormat/>
    <w:uiPriority w:val="0"/>
    <w:pPr>
      <w:adjustRightInd/>
      <w:spacing w:before="0"/>
      <w:ind w:firstLine="0"/>
      <w:jc w:val="center"/>
    </w:pPr>
    <w:rPr>
      <w:rFonts w:ascii="微软雅黑" w:hAnsi="微软雅黑"/>
    </w:rPr>
  </w:style>
  <w:style w:type="paragraph" w:customStyle="1" w:styleId="9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5"/>
    <w:qFormat/>
    <w:uiPriority w:val="0"/>
    <w:pPr>
      <w:ind w:left="0"/>
    </w:pPr>
  </w:style>
  <w:style w:type="paragraph" w:customStyle="1" w:styleId="92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qFormat/>
    <w:uiPriority w:val="0"/>
    <w:pPr>
      <w:adjustRightInd/>
      <w:spacing w:line="360" w:lineRule="auto"/>
      <w:ind w:firstLine="480"/>
    </w:pPr>
    <w:rPr>
      <w:sz w:val="24"/>
    </w:rPr>
  </w:style>
  <w:style w:type="table" w:customStyle="1" w:styleId="923">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9">
    <w:name w:val="列出段落111"/>
    <w:basedOn w:val="1"/>
    <w:qFormat/>
    <w:uiPriority w:val="34"/>
    <w:pPr>
      <w:ind w:firstLine="420" w:firstLineChars="200"/>
    </w:pPr>
  </w:style>
  <w:style w:type="character" w:customStyle="1" w:styleId="930">
    <w:name w:val="交叉引用"/>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qFormat/>
    <w:uiPriority w:val="0"/>
    <w:rPr>
      <w:rFonts w:ascii="宋体" w:eastAsia="宋体"/>
      <w:snapToGrid w:val="0"/>
      <w:color w:val="000000"/>
      <w:kern w:val="28"/>
      <w:sz w:val="28"/>
      <w:lang w:val="en-US" w:eastAsia="zh-CN" w:bidi="ar-SA"/>
    </w:rPr>
  </w:style>
  <w:style w:type="character" w:customStyle="1" w:styleId="932">
    <w:name w:val="页脚 字符1"/>
    <w:qFormat/>
    <w:locked/>
    <w:uiPriority w:val="99"/>
    <w:rPr>
      <w:kern w:val="2"/>
      <w:sz w:val="18"/>
      <w:szCs w:val="18"/>
    </w:rPr>
  </w:style>
  <w:style w:type="character" w:customStyle="1" w:styleId="933">
    <w:name w:val="页眉 字符1"/>
    <w:qFormat/>
    <w:uiPriority w:val="99"/>
    <w:rPr>
      <w:kern w:val="2"/>
      <w:sz w:val="18"/>
      <w:szCs w:val="18"/>
    </w:rPr>
  </w:style>
  <w:style w:type="character" w:customStyle="1" w:styleId="934">
    <w:name w:val="尾注文本 字符"/>
    <w:link w:val="40"/>
    <w:qFormat/>
    <w:uiPriority w:val="0"/>
    <w:rPr>
      <w:kern w:val="2"/>
      <w:sz w:val="21"/>
      <w:szCs w:val="24"/>
      <w:lang w:val="zh-CN"/>
    </w:rPr>
  </w:style>
  <w:style w:type="character" w:customStyle="1" w:styleId="935">
    <w:name w:val="无间隔 字符"/>
    <w:link w:val="486"/>
    <w:qFormat/>
    <w:uiPriority w:val="99"/>
    <w:rPr>
      <w:kern w:val="2"/>
      <w:sz w:val="21"/>
      <w:szCs w:val="22"/>
    </w:rPr>
  </w:style>
  <w:style w:type="character" w:customStyle="1" w:styleId="936">
    <w:name w:val="标准文本 Char Char"/>
    <w:link w:val="937"/>
    <w:qFormat/>
    <w:uiPriority w:val="0"/>
    <w:rPr>
      <w:rFonts w:cs="宋体"/>
      <w:kern w:val="2"/>
      <w:sz w:val="24"/>
    </w:rPr>
  </w:style>
  <w:style w:type="paragraph" w:customStyle="1" w:styleId="937">
    <w:name w:val="标准文本"/>
    <w:basedOn w:val="1"/>
    <w:link w:val="936"/>
    <w:qFormat/>
    <w:uiPriority w:val="0"/>
    <w:pPr>
      <w:adjustRightInd/>
      <w:spacing w:line="360" w:lineRule="auto"/>
      <w:ind w:firstLine="480" w:firstLineChars="200"/>
    </w:pPr>
    <w:rPr>
      <w:rFonts w:cs="宋体"/>
      <w:sz w:val="24"/>
      <w:szCs w:val="20"/>
    </w:rPr>
  </w:style>
  <w:style w:type="character" w:customStyle="1" w:styleId="938">
    <w:name w:val="Char Char213"/>
    <w:qFormat/>
    <w:uiPriority w:val="0"/>
    <w:rPr>
      <w:rFonts w:eastAsia="Century Gothic"/>
      <w:b/>
      <w:bCs/>
      <w:kern w:val="44"/>
      <w:sz w:val="32"/>
      <w:szCs w:val="44"/>
      <w:lang w:val="en-US" w:eastAsia="zh-CN" w:bidi="ar-SA"/>
    </w:rPr>
  </w:style>
  <w:style w:type="character" w:customStyle="1" w:styleId="939">
    <w:name w:val="apple-style-span"/>
    <w:qFormat/>
    <w:uiPriority w:val="0"/>
    <w:rPr>
      <w:rFonts w:ascii="Arial" w:hAnsi="Arial" w:eastAsia="黑体" w:cs="Arial"/>
      <w:snapToGrid w:val="0"/>
      <w:kern w:val="0"/>
      <w:szCs w:val="21"/>
    </w:rPr>
  </w:style>
  <w:style w:type="character" w:customStyle="1" w:styleId="940">
    <w:name w:val="15"/>
    <w:qFormat/>
    <w:uiPriority w:val="0"/>
    <w:rPr>
      <w:rFonts w:hint="default" w:ascii="Calibri" w:hAnsi="Calibri"/>
      <w:color w:val="0000FF"/>
      <w:u w:val="single"/>
    </w:rPr>
  </w:style>
  <w:style w:type="character" w:customStyle="1" w:styleId="941">
    <w:name w:val="16"/>
    <w:qFormat/>
    <w:uiPriority w:val="0"/>
    <w:rPr>
      <w:rFonts w:hint="eastAsia" w:ascii="宋体" w:hAnsi="宋体" w:eastAsia="宋体"/>
      <w:color w:val="000000"/>
      <w:sz w:val="20"/>
      <w:szCs w:val="20"/>
    </w:rPr>
  </w:style>
  <w:style w:type="character" w:customStyle="1" w:styleId="942">
    <w:name w:val="edui-unclickable"/>
    <w:qFormat/>
    <w:uiPriority w:val="0"/>
    <w:rPr>
      <w:color w:val="808080"/>
    </w:rPr>
  </w:style>
  <w:style w:type="character" w:customStyle="1" w:styleId="943">
    <w:name w:val="tpc_content1"/>
    <w:qFormat/>
    <w:uiPriority w:val="0"/>
    <w:rPr>
      <w:sz w:val="20"/>
      <w:szCs w:val="20"/>
    </w:rPr>
  </w:style>
  <w:style w:type="character" w:customStyle="1" w:styleId="944">
    <w:name w:val="正文文本缩进 字符"/>
    <w:qFormat/>
    <w:uiPriority w:val="0"/>
    <w:rPr>
      <w:rFonts w:ascii="Century Gothic" w:hAnsi="Century Gothic" w:eastAsia="Century Gothic"/>
      <w:kern w:val="2"/>
      <w:sz w:val="24"/>
      <w:lang w:val="en-US" w:eastAsia="zh-CN" w:bidi="ar-SA"/>
    </w:rPr>
  </w:style>
  <w:style w:type="character" w:customStyle="1" w:styleId="945">
    <w:name w:val="正文文本 2 字符"/>
    <w:qFormat/>
    <w:uiPriority w:val="0"/>
    <w:rPr>
      <w:rFonts w:ascii="Arial" w:hAnsi="Arial" w:eastAsia="宋体"/>
      <w:kern w:val="2"/>
      <w:sz w:val="24"/>
      <w:szCs w:val="24"/>
      <w:lang w:val="en-US" w:eastAsia="zh-CN" w:bidi="ar-SA"/>
    </w:rPr>
  </w:style>
  <w:style w:type="character" w:customStyle="1" w:styleId="946">
    <w:name w:val="edui-clickable2"/>
    <w:qFormat/>
    <w:uiPriority w:val="0"/>
    <w:rPr>
      <w:color w:val="0000FF"/>
      <w:u w:val="single"/>
    </w:rPr>
  </w:style>
  <w:style w:type="character" w:customStyle="1" w:styleId="947">
    <w:name w:val="style1"/>
    <w:qFormat/>
    <w:uiPriority w:val="0"/>
    <w:rPr>
      <w:rFonts w:ascii="Arial" w:hAnsi="Arial" w:eastAsia="黑体" w:cs="Arial"/>
      <w:snapToGrid w:val="0"/>
      <w:kern w:val="0"/>
      <w:szCs w:val="21"/>
    </w:rPr>
  </w:style>
  <w:style w:type="character" w:customStyle="1" w:styleId="948">
    <w:name w:val="zbggtop11 style5"/>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0">
    <w:name w:val="bulletintext1"/>
    <w:qFormat/>
    <w:uiPriority w:val="0"/>
    <w:rPr>
      <w:color w:val="000000"/>
      <w:sz w:val="18"/>
    </w:rPr>
  </w:style>
  <w:style w:type="paragraph" w:customStyle="1" w:styleId="951">
    <w:name w:val="_Style 947"/>
    <w:basedOn w:val="1"/>
    <w:next w:val="85"/>
    <w:qFormat/>
    <w:uiPriority w:val="34"/>
    <w:pPr>
      <w:adjustRightInd/>
      <w:ind w:firstLine="420" w:firstLineChars="200"/>
    </w:pPr>
  </w:style>
  <w:style w:type="paragraph" w:customStyle="1" w:styleId="95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qFormat/>
    <w:uiPriority w:val="0"/>
    <w:pPr>
      <w:adjustRightInd/>
      <w:snapToGrid w:val="0"/>
      <w:jc w:val="left"/>
    </w:pPr>
    <w:rPr>
      <w:rFonts w:ascii="Century Gothic" w:hAnsi="楷体_GB2312" w:eastAsia="Century Gothic"/>
      <w:szCs w:val="20"/>
    </w:rPr>
  </w:style>
  <w:style w:type="paragraph" w:customStyle="1" w:styleId="95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6"/>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957">
    <w:name w:val="Blockquote"/>
    <w:basedOn w:val="1"/>
    <w:qFormat/>
    <w:uiPriority w:val="0"/>
    <w:pPr>
      <w:autoSpaceDE w:val="0"/>
      <w:autoSpaceDN w:val="0"/>
      <w:spacing w:before="100" w:after="100"/>
      <w:ind w:left="360" w:right="360"/>
      <w:jc w:val="left"/>
    </w:pPr>
    <w:rPr>
      <w:kern w:val="0"/>
      <w:sz w:val="24"/>
      <w:szCs w:val="20"/>
    </w:rPr>
  </w:style>
  <w:style w:type="paragraph" w:customStyle="1" w:styleId="958">
    <w:name w:val="p1"/>
    <w:basedOn w:val="1"/>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qFormat/>
    <w:uiPriority w:val="0"/>
    <w:pPr>
      <w:adjustRightInd/>
      <w:jc w:val="left"/>
    </w:pPr>
    <w:rPr>
      <w:rFonts w:ascii="Calibri" w:hAnsi="Calibri"/>
      <w:kern w:val="0"/>
      <w:sz w:val="22"/>
      <w:szCs w:val="22"/>
      <w:lang w:eastAsia="en-US"/>
    </w:rPr>
  </w:style>
  <w:style w:type="paragraph" w:customStyle="1" w:styleId="9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2"/>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paragraph" w:customStyle="1" w:styleId="966">
    <w:name w:val="Body text|1"/>
    <w:basedOn w:val="1"/>
    <w:qFormat/>
    <w:uiPriority w:val="0"/>
    <w:pPr>
      <w:spacing w:line="391" w:lineRule="auto"/>
      <w:ind w:firstLine="400"/>
    </w:pPr>
    <w:rPr>
      <w:rFonts w:ascii="宋体" w:hAnsi="宋体" w:cs="宋体"/>
      <w:lang w:val="zh-TW" w:eastAsia="zh-TW" w:bidi="zh-TW"/>
    </w:rPr>
  </w:style>
  <w:style w:type="character" w:customStyle="1" w:styleId="967">
    <w:name w:val="font101"/>
    <w:basedOn w:val="72"/>
    <w:qFormat/>
    <w:uiPriority w:val="0"/>
    <w:rPr>
      <w:rFonts w:hint="eastAsia" w:ascii="宋体" w:hAnsi="宋体" w:eastAsia="宋体" w:cs="宋体"/>
      <w:color w:val="FF0000"/>
      <w:sz w:val="20"/>
      <w:szCs w:val="20"/>
      <w:u w:val="none"/>
    </w:rPr>
  </w:style>
  <w:style w:type="paragraph" w:customStyle="1" w:styleId="968">
    <w:name w:val="封面编号"/>
    <w:basedOn w:val="1"/>
    <w:qFormat/>
    <w:uiPriority w:val="0"/>
    <w:pPr>
      <w:spacing w:line="360" w:lineRule="auto"/>
      <w:jc w:val="center"/>
    </w:pPr>
    <w:rPr>
      <w:rFonts w:ascii="黑体" w:hAnsi="宋体" w:eastAsia="黑体" w:cs="宋体"/>
      <w:b/>
      <w:bCs/>
      <w:sz w:val="38"/>
      <w:szCs w:val="20"/>
    </w:rPr>
  </w:style>
  <w:style w:type="table" w:customStyle="1" w:styleId="969">
    <w:name w:val="Table Normal"/>
    <w:semiHidden/>
    <w:unhideWhenUsed/>
    <w:qFormat/>
    <w:uiPriority w:val="0"/>
    <w:tblPr>
      <w:tblCellMar>
        <w:top w:w="0" w:type="dxa"/>
        <w:left w:w="0" w:type="dxa"/>
        <w:bottom w:w="0" w:type="dxa"/>
        <w:right w:w="0" w:type="dxa"/>
      </w:tblCellMar>
    </w:tblPr>
  </w:style>
  <w:style w:type="character" w:customStyle="1" w:styleId="970">
    <w:name w:val="NormalCharacter"/>
    <w:qFormat/>
    <w:uiPriority w:val="0"/>
    <w:rPr>
      <w:rFonts w:ascii="Times New Roman" w:hAnsi="Times New Roman" w:eastAsia="宋体" w:cs="Times New Roman"/>
      <w:kern w:val="2"/>
      <w:sz w:val="21"/>
      <w:szCs w:val="24"/>
      <w:lang w:val="en-US" w:eastAsia="zh-CN" w:bidi="ar-SA"/>
    </w:rPr>
  </w:style>
  <w:style w:type="character" w:customStyle="1" w:styleId="971">
    <w:name w:val="不明显强调1"/>
    <w:qFormat/>
    <w:uiPriority w:val="19"/>
    <w:rPr>
      <w:i/>
      <w:iCs/>
    </w:rPr>
  </w:style>
  <w:style w:type="paragraph" w:customStyle="1" w:styleId="972">
    <w:name w:val="L_正文"/>
    <w:basedOn w:val="1"/>
    <w:link w:val="974"/>
    <w:autoRedefine/>
    <w:qFormat/>
    <w:uiPriority w:val="0"/>
    <w:pPr>
      <w:wordWrap w:val="0"/>
      <w:jc w:val="left"/>
    </w:pPr>
    <w:rPr>
      <w:rFonts w:ascii="宋体" w:hAnsi="宋体"/>
      <w:kern w:val="0"/>
      <w:szCs w:val="21"/>
      <w:lang w:val="zh-CN"/>
    </w:rPr>
  </w:style>
  <w:style w:type="paragraph" w:customStyle="1" w:styleId="973">
    <w:name w:val="NormalIndent"/>
    <w:basedOn w:val="1"/>
    <w:link w:val="975"/>
    <w:autoRedefine/>
    <w:qFormat/>
    <w:uiPriority w:val="0"/>
    <w:pPr>
      <w:widowControl/>
      <w:ind w:firstLine="420"/>
      <w:textAlignment w:val="baseline"/>
    </w:pPr>
    <w:rPr>
      <w:rFonts w:cstheme="minorBidi"/>
    </w:rPr>
  </w:style>
  <w:style w:type="character" w:customStyle="1" w:styleId="974">
    <w:name w:val="L_正文 Char"/>
    <w:link w:val="972"/>
    <w:uiPriority w:val="0"/>
    <w:rPr>
      <w:rFonts w:ascii="宋体" w:hAnsi="宋体"/>
      <w:sz w:val="21"/>
      <w:szCs w:val="21"/>
      <w:lang w:val="zh-CN"/>
    </w:rPr>
  </w:style>
  <w:style w:type="character" w:customStyle="1" w:styleId="975">
    <w:name w:val="UserStyle_194"/>
    <w:link w:val="973"/>
    <w:qFormat/>
    <w:uiPriority w:val="0"/>
    <w:rPr>
      <w:rFonts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CDAF4-35DC-479A-BE70-716BCF35E5F9}">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55</Pages>
  <Words>4368</Words>
  <Characters>24899</Characters>
  <Lines>207</Lines>
  <Paragraphs>58</Paragraphs>
  <TotalTime>13</TotalTime>
  <ScaleCrop>false</ScaleCrop>
  <LinksUpToDate>false</LinksUpToDate>
  <CharactersWithSpaces>29209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2024-04-17T05:42:00Z</dcterms:created>
  <dc:creator>玥</dc:creator>
  <cp:lastModifiedBy>WPS_1691460266</cp:lastModifiedBy>
  <cp:lastPrinted>2021-12-27T03:06:00Z</cp:lastPrinted>
  <dcterms:modified xsi:type="dcterms:W3CDTF">2024-04-24T03:18:36Z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4E92194F5C944D32A08D3C9044EAC929</vt:lpwstr>
  </property>
  <property fmtid="{D5CDD505-2E9C-101B-9397-08002B2CF9AE}" pid="5" name="commondata">
    <vt:lpwstr>eyJoZGlkIjoiMzdkYTNjODAzOWEyZTBjZWI2OWE0Y2U2MTNhOGNiNmUifQ==</vt:lpwstr>
  </property>
</Properties>
</file>