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p>
    <w:p>
      <w:pPr>
        <w:pStyle w:val="61"/>
        <w:rPr>
          <w:rFonts w:hint="eastAsia" w:ascii="宋体" w:hAnsi="宋体" w:eastAsia="宋体" w:cs="宋体"/>
          <w:color w:val="000000" w:themeColor="text1"/>
          <w:highlight w:val="none"/>
          <w14:textFill>
            <w14:solidFill>
              <w14:schemeClr w14:val="tx1"/>
            </w14:solidFill>
          </w14:textFill>
        </w:rPr>
      </w:pPr>
    </w:p>
    <w:p>
      <w:pPr>
        <w:pStyle w:val="61"/>
        <w:rPr>
          <w:rFonts w:hint="eastAsia" w:ascii="宋体" w:hAnsi="宋体" w:eastAsia="宋体" w:cs="宋体"/>
          <w:color w:val="000000" w:themeColor="text1"/>
          <w:highlight w:val="none"/>
          <w14:textFill>
            <w14:solidFill>
              <w14:schemeClr w14:val="tx1"/>
            </w14:solidFill>
          </w14:textFill>
        </w:rPr>
      </w:pPr>
    </w:p>
    <w:p>
      <w:pPr>
        <w:pStyle w:val="61"/>
        <w:rPr>
          <w:rFonts w:hint="eastAsia" w:ascii="宋体" w:hAnsi="宋体" w:eastAsia="宋体" w:cs="宋体"/>
          <w:color w:val="000000" w:themeColor="text1"/>
          <w:highlight w:val="none"/>
          <w14:textFill>
            <w14:solidFill>
              <w14:schemeClr w14:val="tx1"/>
            </w14:solidFill>
          </w14:textFill>
        </w:rPr>
      </w:pPr>
    </w:p>
    <w:p>
      <w:pPr>
        <w:adjustRightInd/>
        <w:spacing w:line="360" w:lineRule="auto"/>
        <w:jc w:val="center"/>
        <w:rPr>
          <w:rFonts w:hint="eastAsia" w:ascii="宋体" w:hAnsi="宋体" w:eastAsia="宋体" w:cs="宋体"/>
          <w:b/>
          <w:bCs w:val="0"/>
          <w:color w:val="000000" w:themeColor="text1"/>
          <w:sz w:val="52"/>
          <w:szCs w:val="52"/>
          <w:highlight w:val="none"/>
          <w:lang w:eastAsia="zh-CN"/>
          <w14:textFill>
            <w14:solidFill>
              <w14:schemeClr w14:val="tx1"/>
            </w14:solidFill>
          </w14:textFill>
        </w:rPr>
      </w:pPr>
      <w:r>
        <w:rPr>
          <w:rFonts w:hint="eastAsia" w:ascii="宋体" w:hAnsi="宋体" w:cs="宋体"/>
          <w:b/>
          <w:bCs w:val="0"/>
          <w:color w:val="000000" w:themeColor="text1"/>
          <w:sz w:val="52"/>
          <w:szCs w:val="52"/>
          <w:highlight w:val="none"/>
          <w:lang w:val="en-US" w:eastAsia="zh-CN"/>
          <w14:textFill>
            <w14:solidFill>
              <w14:schemeClr w14:val="tx1"/>
            </w14:solidFill>
          </w14:textFill>
        </w:rPr>
        <w:t>信息港文体中心委托运营服务项目</w:t>
      </w:r>
      <w:bookmarkStart w:id="391" w:name="_GoBack"/>
      <w:bookmarkEnd w:id="391"/>
    </w:p>
    <w:p>
      <w:pPr>
        <w:adjustRightInd/>
        <w:spacing w:line="360" w:lineRule="auto"/>
        <w:jc w:val="center"/>
        <w:rPr>
          <w:rFonts w:hint="eastAsia" w:ascii="宋体" w:hAnsi="宋体" w:eastAsia="宋体" w:cs="宋体"/>
          <w:b/>
          <w:bCs/>
          <w:color w:val="000000" w:themeColor="text1"/>
          <w:sz w:val="48"/>
          <w:szCs w:val="48"/>
          <w:highlight w:val="none"/>
          <w14:textFill>
            <w14:solidFill>
              <w14:schemeClr w14:val="tx1"/>
            </w14:solidFill>
          </w14:textFill>
        </w:rPr>
      </w:pPr>
    </w:p>
    <w:p>
      <w:pPr>
        <w:adjustRightInd/>
        <w:spacing w:line="360" w:lineRule="auto"/>
        <w:jc w:val="center"/>
        <w:rPr>
          <w:rFonts w:hint="eastAsia" w:ascii="宋体" w:hAnsi="宋体" w:eastAsia="宋体" w:cs="宋体"/>
          <w:color w:val="000000" w:themeColor="text1"/>
          <w:sz w:val="48"/>
          <w:szCs w:val="48"/>
          <w:highlight w:val="none"/>
          <w14:textFill>
            <w14:solidFill>
              <w14:schemeClr w14:val="tx1"/>
            </w14:solidFill>
          </w14:textFill>
        </w:rPr>
      </w:pPr>
    </w:p>
    <w:p>
      <w:pPr>
        <w:adjustRightInd/>
        <w:spacing w:line="360" w:lineRule="auto"/>
        <w:jc w:val="center"/>
        <w:rPr>
          <w:rFonts w:hint="eastAsia" w:ascii="宋体" w:hAnsi="宋体" w:eastAsia="宋体" w:cs="宋体"/>
          <w:b/>
          <w:bCs/>
          <w:color w:val="000000" w:themeColor="text1"/>
          <w:sz w:val="72"/>
          <w:szCs w:val="72"/>
          <w:highlight w:val="none"/>
          <w14:textFill>
            <w14:solidFill>
              <w14:schemeClr w14:val="tx1"/>
            </w14:solidFill>
          </w14:textFill>
        </w:rPr>
      </w:pPr>
      <w:r>
        <w:rPr>
          <w:rFonts w:hint="eastAsia" w:ascii="宋体" w:hAnsi="宋体" w:eastAsia="宋体" w:cs="宋体"/>
          <w:b/>
          <w:bCs/>
          <w:color w:val="000000" w:themeColor="text1"/>
          <w:sz w:val="72"/>
          <w:szCs w:val="72"/>
          <w:highlight w:val="none"/>
          <w14:textFill>
            <w14:solidFill>
              <w14:schemeClr w14:val="tx1"/>
            </w14:solidFill>
          </w14:textFill>
        </w:rPr>
        <w:t>招标文件</w:t>
      </w:r>
    </w:p>
    <w:p>
      <w:pPr>
        <w:adjustRightInd/>
        <w:spacing w:line="360" w:lineRule="auto"/>
        <w:jc w:val="center"/>
        <w:rPr>
          <w:rFonts w:hint="eastAsia" w:ascii="宋体" w:hAnsi="宋体" w:eastAsia="宋体" w:cs="宋体"/>
          <w:b/>
          <w:bCs w:val="0"/>
          <w:color w:val="000000" w:themeColor="text1"/>
          <w:sz w:val="30"/>
          <w:szCs w:val="30"/>
          <w:highlight w:val="none"/>
          <w14:textFill>
            <w14:solidFill>
              <w14:schemeClr w14:val="tx1"/>
            </w14:solidFill>
          </w14:textFill>
        </w:rPr>
      </w:pPr>
      <w:r>
        <w:rPr>
          <w:rFonts w:hint="eastAsia" w:ascii="宋体" w:hAnsi="宋体" w:eastAsia="宋体" w:cs="宋体"/>
          <w:b/>
          <w:bCs w:val="0"/>
          <w:color w:val="000000" w:themeColor="text1"/>
          <w:sz w:val="44"/>
          <w:szCs w:val="44"/>
          <w:highlight w:val="none"/>
          <w14:textFill>
            <w14:solidFill>
              <w14:schemeClr w14:val="tx1"/>
            </w14:solidFill>
          </w14:textFill>
        </w:rPr>
        <w:t>（电子招投标）</w:t>
      </w:r>
    </w:p>
    <w:p>
      <w:pPr>
        <w:snapToGrid w:val="0"/>
        <w:spacing w:line="360" w:lineRule="auto"/>
        <w:jc w:val="center"/>
        <w:rPr>
          <w:rFonts w:hint="eastAsia" w:ascii="宋体" w:hAnsi="宋体" w:eastAsia="宋体" w:cs="宋体"/>
          <w:b w:val="0"/>
          <w:bCs w:val="0"/>
          <w:color w:val="000000" w:themeColor="text1"/>
          <w:sz w:val="30"/>
          <w:szCs w:val="30"/>
          <w:highlight w:val="none"/>
          <w:lang w:eastAsia="zh-CN"/>
          <w14:textFill>
            <w14:solidFill>
              <w14:schemeClr w14:val="tx1"/>
            </w14:solidFill>
          </w14:textFill>
        </w:rPr>
      </w:pPr>
      <w:r>
        <w:rPr>
          <w:rFonts w:hint="eastAsia" w:ascii="宋体" w:hAnsi="宋体" w:eastAsia="宋体" w:cs="宋体"/>
          <w:b w:val="0"/>
          <w:bCs w:val="0"/>
          <w:color w:val="000000" w:themeColor="text1"/>
          <w:sz w:val="30"/>
          <w:szCs w:val="30"/>
          <w:highlight w:val="none"/>
          <w14:textFill>
            <w14:solidFill>
              <w14:schemeClr w14:val="tx1"/>
            </w14:solidFill>
          </w14:textFill>
        </w:rPr>
        <w:t>编号</w:t>
      </w:r>
      <w:r>
        <w:rPr>
          <w:rFonts w:hint="eastAsia" w:ascii="宋体" w:hAnsi="宋体" w:eastAsia="宋体" w:cs="宋体"/>
          <w:b w:val="0"/>
          <w:bCs w:val="0"/>
          <w:color w:val="000000" w:themeColor="text1"/>
          <w:sz w:val="30"/>
          <w:szCs w:val="30"/>
          <w:highlight w:val="none"/>
          <w:lang w:eastAsia="zh-CN"/>
          <w14:textFill>
            <w14:solidFill>
              <w14:schemeClr w14:val="tx1"/>
            </w14:solidFill>
          </w14:textFill>
        </w:rPr>
        <w:t>：萧开</w:t>
      </w:r>
      <w:r>
        <w:rPr>
          <w:rFonts w:hint="eastAsia" w:ascii="宋体" w:hAnsi="宋体" w:cs="宋体"/>
          <w:b w:val="0"/>
          <w:bCs w:val="0"/>
          <w:color w:val="000000" w:themeColor="text1"/>
          <w:sz w:val="30"/>
          <w:szCs w:val="30"/>
          <w:highlight w:val="none"/>
          <w:lang w:eastAsia="zh-CN"/>
          <w14:textFill>
            <w14:solidFill>
              <w14:schemeClr w14:val="tx1"/>
            </w14:solidFill>
          </w14:textFill>
        </w:rPr>
        <w:t>企</w:t>
      </w:r>
      <w:r>
        <w:rPr>
          <w:rFonts w:hint="eastAsia" w:ascii="宋体" w:hAnsi="宋体" w:eastAsia="宋体" w:cs="宋体"/>
          <w:b w:val="0"/>
          <w:bCs w:val="0"/>
          <w:color w:val="000000" w:themeColor="text1"/>
          <w:sz w:val="30"/>
          <w:szCs w:val="30"/>
          <w:highlight w:val="none"/>
          <w:lang w:eastAsia="zh-CN"/>
          <w14:textFill>
            <w14:solidFill>
              <w14:schemeClr w14:val="tx1"/>
            </w14:solidFill>
          </w14:textFill>
        </w:rPr>
        <w:t>采（202</w:t>
      </w:r>
      <w:r>
        <w:rPr>
          <w:rFonts w:hint="eastAsia" w:ascii="宋体" w:hAnsi="宋体" w:cs="宋体"/>
          <w:b w:val="0"/>
          <w:bCs w:val="0"/>
          <w:color w:val="000000" w:themeColor="text1"/>
          <w:sz w:val="30"/>
          <w:szCs w:val="30"/>
          <w:highlight w:val="none"/>
          <w:lang w:val="en-US" w:eastAsia="zh-CN"/>
          <w14:textFill>
            <w14:solidFill>
              <w14:schemeClr w14:val="tx1"/>
            </w14:solidFill>
          </w14:textFill>
        </w:rPr>
        <w:t>4</w:t>
      </w:r>
      <w:r>
        <w:rPr>
          <w:rFonts w:hint="eastAsia" w:ascii="宋体" w:hAnsi="宋体" w:eastAsia="宋体" w:cs="宋体"/>
          <w:b w:val="0"/>
          <w:bCs w:val="0"/>
          <w:color w:val="000000" w:themeColor="text1"/>
          <w:sz w:val="30"/>
          <w:szCs w:val="30"/>
          <w:highlight w:val="none"/>
          <w:lang w:eastAsia="zh-CN"/>
          <w14:textFill>
            <w14:solidFill>
              <w14:schemeClr w14:val="tx1"/>
            </w14:solidFill>
          </w14:textFill>
        </w:rPr>
        <w:t>）</w:t>
      </w:r>
      <w:r>
        <w:rPr>
          <w:rFonts w:hint="eastAsia" w:ascii="宋体" w:hAnsi="宋体" w:cs="宋体"/>
          <w:b w:val="0"/>
          <w:bCs w:val="0"/>
          <w:color w:val="000000" w:themeColor="text1"/>
          <w:sz w:val="30"/>
          <w:szCs w:val="30"/>
          <w:highlight w:val="none"/>
          <w:lang w:val="en-US" w:eastAsia="zh-CN"/>
          <w14:textFill>
            <w14:solidFill>
              <w14:schemeClr w14:val="tx1"/>
            </w14:solidFill>
          </w14:textFill>
        </w:rPr>
        <w:t>13</w:t>
      </w:r>
      <w:r>
        <w:rPr>
          <w:rFonts w:hint="eastAsia" w:ascii="宋体" w:hAnsi="宋体" w:eastAsia="宋体" w:cs="宋体"/>
          <w:b w:val="0"/>
          <w:bCs w:val="0"/>
          <w:color w:val="000000" w:themeColor="text1"/>
          <w:sz w:val="30"/>
          <w:szCs w:val="30"/>
          <w:highlight w:val="none"/>
          <w:lang w:eastAsia="zh-CN"/>
          <w14:textFill>
            <w14:solidFill>
              <w14:schemeClr w14:val="tx1"/>
            </w14:solidFill>
          </w14:textFill>
        </w:rPr>
        <w:t>号</w:t>
      </w:r>
    </w:p>
    <w:p>
      <w:pPr>
        <w:snapToGrid w:val="0"/>
        <w:spacing w:line="360" w:lineRule="auto"/>
        <w:jc w:val="center"/>
        <w:rPr>
          <w:rFonts w:hint="eastAsia" w:ascii="宋体" w:hAnsi="宋体" w:eastAsia="宋体" w:cs="宋体"/>
          <w:b w:val="0"/>
          <w:bCs w:val="0"/>
          <w:color w:val="000000" w:themeColor="text1"/>
          <w:sz w:val="30"/>
          <w:szCs w:val="30"/>
          <w:highlight w:val="none"/>
          <w:lang w:val="en-US" w:eastAsia="zh-CN"/>
          <w14:textFill>
            <w14:solidFill>
              <w14:schemeClr w14:val="tx1"/>
            </w14:solidFill>
          </w14:textFill>
        </w:rPr>
      </w:pPr>
    </w:p>
    <w:p>
      <w:pPr>
        <w:adjustRightInd/>
        <w:spacing w:line="360" w:lineRule="auto"/>
        <w:rPr>
          <w:rFonts w:hint="eastAsia" w:ascii="宋体" w:hAnsi="宋体" w:eastAsia="宋体" w:cs="宋体"/>
          <w:color w:val="000000" w:themeColor="text1"/>
          <w:sz w:val="28"/>
          <w:szCs w:val="20"/>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44"/>
          <w:szCs w:val="44"/>
          <w:highlight w:val="none"/>
          <w14:textFill>
            <w14:solidFill>
              <w14:schemeClr w14:val="tx1"/>
            </w14:solidFill>
          </w14:textFill>
        </w:rPr>
      </w:pPr>
      <w:r>
        <w:rPr>
          <w:rFonts w:hint="eastAsia" w:ascii="宋体" w:hAnsi="宋体" w:eastAsia="宋体" w:cs="宋体"/>
          <w:b/>
          <w:color w:val="000000" w:themeColor="text1"/>
          <w:sz w:val="44"/>
          <w:szCs w:val="44"/>
          <w:highlight w:val="none"/>
          <w14:textFill>
            <w14:solidFill>
              <w14:schemeClr w14:val="tx1"/>
            </w14:solidFill>
          </w14:textFill>
        </w:rPr>
        <w:t xml:space="preserve"> </w:t>
      </w:r>
    </w:p>
    <w:p>
      <w:pPr>
        <w:spacing w:line="360" w:lineRule="auto"/>
        <w:jc w:val="center"/>
        <w:rPr>
          <w:rFonts w:hint="eastAsia" w:ascii="宋体" w:hAnsi="宋体" w:eastAsia="宋体" w:cs="宋体"/>
          <w:b/>
          <w:color w:val="000000" w:themeColor="text1"/>
          <w:sz w:val="44"/>
          <w:szCs w:val="44"/>
          <w:highlight w:val="none"/>
          <w14:textFill>
            <w14:solidFill>
              <w14:schemeClr w14:val="tx1"/>
            </w14:solidFill>
          </w14:textFill>
        </w:rPr>
      </w:pPr>
    </w:p>
    <w:p>
      <w:pPr>
        <w:snapToGrid w:val="0"/>
        <w:spacing w:line="360" w:lineRule="auto"/>
        <w:jc w:val="both"/>
        <w:rPr>
          <w:rFonts w:hint="eastAsia" w:ascii="宋体" w:hAnsi="宋体" w:eastAsia="宋体" w:cs="宋体"/>
          <w:color w:val="000000" w:themeColor="text1"/>
          <w:sz w:val="32"/>
          <w:szCs w:val="32"/>
          <w:highlight w:val="none"/>
          <w14:textFill>
            <w14:solidFill>
              <w14:schemeClr w14:val="tx1"/>
            </w14:solidFill>
          </w14:textFill>
        </w:rPr>
      </w:pPr>
    </w:p>
    <w:p>
      <w:pPr>
        <w:pStyle w:val="24"/>
        <w:ind w:left="0" w:leftChars="0" w:firstLine="0" w:firstLineChars="0"/>
        <w:rPr>
          <w:rFonts w:hint="eastAsia" w:ascii="宋体" w:hAnsi="宋体" w:eastAsia="宋体" w:cs="宋体"/>
          <w:color w:val="000000" w:themeColor="text1"/>
          <w:highlight w:val="none"/>
          <w:lang w:eastAsia="zh-CN"/>
          <w14:textFill>
            <w14:solidFill>
              <w14:schemeClr w14:val="tx1"/>
            </w14:solidFill>
          </w14:textFill>
        </w:rPr>
      </w:pPr>
    </w:p>
    <w:p>
      <w:pPr>
        <w:rPr>
          <w:rFonts w:hint="eastAsia"/>
          <w:color w:val="000000" w:themeColor="text1"/>
          <w:highlight w:val="none"/>
          <w:lang w:eastAsia="zh-CN"/>
          <w14:textFill>
            <w14:solidFill>
              <w14:schemeClr w14:val="tx1"/>
            </w14:solidFill>
          </w14:textFill>
        </w:rPr>
      </w:pPr>
    </w:p>
    <w:p>
      <w:pPr>
        <w:spacing w:line="360" w:lineRule="auto"/>
        <w:jc w:val="center"/>
        <w:rPr>
          <w:rFonts w:hint="eastAsia" w:ascii="宋体" w:hAnsi="宋体" w:eastAsia="宋体" w:cs="宋体"/>
          <w:b/>
          <w:bCs w:val="0"/>
          <w:color w:val="000000" w:themeColor="text1"/>
          <w:spacing w:val="-20"/>
          <w:sz w:val="32"/>
          <w:szCs w:val="32"/>
          <w:highlight w:val="none"/>
          <w:lang w:eastAsia="zh-CN"/>
          <w14:textFill>
            <w14:solidFill>
              <w14:schemeClr w14:val="tx1"/>
            </w14:solidFill>
          </w14:textFill>
        </w:rPr>
      </w:pPr>
      <w:r>
        <w:rPr>
          <w:rFonts w:hint="eastAsia" w:ascii="宋体" w:hAnsi="宋体" w:eastAsia="宋体" w:cs="宋体"/>
          <w:b/>
          <w:bCs w:val="0"/>
          <w:color w:val="000000" w:themeColor="text1"/>
          <w:spacing w:val="-20"/>
          <w:sz w:val="32"/>
          <w:szCs w:val="32"/>
          <w:highlight w:val="none"/>
          <w:lang w:eastAsia="zh-CN"/>
          <w14:textFill>
            <w14:solidFill>
              <w14:schemeClr w14:val="tx1"/>
            </w14:solidFill>
          </w14:textFill>
        </w:rPr>
        <w:t>杭州萧山经济技术开发区国有资本控股集团有限公司</w:t>
      </w:r>
    </w:p>
    <w:p>
      <w:pPr>
        <w:spacing w:line="360" w:lineRule="auto"/>
        <w:jc w:val="center"/>
        <w:rPr>
          <w:rFonts w:hint="eastAsia" w:ascii="宋体" w:hAnsi="宋体" w:eastAsia="宋体" w:cs="宋体"/>
          <w:b/>
          <w:bCs w:val="0"/>
          <w:color w:val="000000" w:themeColor="text1"/>
          <w:sz w:val="32"/>
          <w:szCs w:val="32"/>
          <w:highlight w:val="none"/>
          <w14:textFill>
            <w14:solidFill>
              <w14:schemeClr w14:val="tx1"/>
            </w14:solidFill>
          </w14:textFill>
        </w:rPr>
      </w:pPr>
      <w:r>
        <w:rPr>
          <w:rFonts w:hint="eastAsia" w:ascii="宋体" w:hAnsi="宋体" w:eastAsia="宋体" w:cs="宋体"/>
          <w:b/>
          <w:bCs w:val="0"/>
          <w:color w:val="000000" w:themeColor="text1"/>
          <w:sz w:val="32"/>
          <w:szCs w:val="32"/>
          <w:highlight w:val="none"/>
          <w:lang w:eastAsia="zh-CN"/>
          <w14:textFill>
            <w14:solidFill>
              <w14:schemeClr w14:val="tx1"/>
            </w14:solidFill>
          </w14:textFill>
        </w:rPr>
        <w:t>杭州博望建设工程招标投标代理有限公司</w:t>
      </w:r>
    </w:p>
    <w:p>
      <w:pPr>
        <w:snapToGrid w:val="0"/>
        <w:spacing w:line="360" w:lineRule="auto"/>
        <w:jc w:val="center"/>
        <w:rPr>
          <w:rFonts w:hint="eastAsia" w:ascii="宋体" w:hAnsi="宋体" w:eastAsia="宋体" w:cs="宋体"/>
          <w:b/>
          <w:bCs w:val="0"/>
          <w:color w:val="000000" w:themeColor="text1"/>
          <w:sz w:val="24"/>
          <w:highlight w:val="none"/>
          <w14:textFill>
            <w14:solidFill>
              <w14:schemeClr w14:val="tx1"/>
            </w14:solidFill>
          </w14:textFill>
        </w:rPr>
      </w:pPr>
      <w:r>
        <w:rPr>
          <w:rFonts w:hint="eastAsia" w:ascii="宋体" w:hAnsi="宋体" w:eastAsia="宋体" w:cs="宋体"/>
          <w:b/>
          <w:bCs w:val="0"/>
          <w:color w:val="000000" w:themeColor="text1"/>
          <w:sz w:val="32"/>
          <w:szCs w:val="32"/>
          <w:highlight w:val="none"/>
          <w14:textFill>
            <w14:solidFill>
              <w14:schemeClr w14:val="tx1"/>
            </w14:solidFill>
          </w14:textFill>
        </w:rPr>
        <w:t>二〇二</w:t>
      </w:r>
      <w:r>
        <w:rPr>
          <w:rFonts w:hint="eastAsia" w:ascii="宋体" w:hAnsi="宋体" w:cs="宋体"/>
          <w:b/>
          <w:bCs w:val="0"/>
          <w:color w:val="000000" w:themeColor="text1"/>
          <w:sz w:val="32"/>
          <w:szCs w:val="32"/>
          <w:highlight w:val="none"/>
          <w:lang w:val="en-US" w:eastAsia="zh-CN"/>
          <w14:textFill>
            <w14:solidFill>
              <w14:schemeClr w14:val="tx1"/>
            </w14:solidFill>
          </w14:textFill>
        </w:rPr>
        <w:t>四</w:t>
      </w:r>
      <w:r>
        <w:rPr>
          <w:rFonts w:hint="eastAsia" w:ascii="宋体" w:hAnsi="宋体" w:eastAsia="宋体" w:cs="宋体"/>
          <w:b/>
          <w:bCs w:val="0"/>
          <w:color w:val="000000" w:themeColor="text1"/>
          <w:sz w:val="32"/>
          <w:szCs w:val="32"/>
          <w:highlight w:val="none"/>
          <w:lang w:val="en-US" w:eastAsia="zh-CN"/>
          <w14:textFill>
            <w14:solidFill>
              <w14:schemeClr w14:val="tx1"/>
            </w14:solidFill>
          </w14:textFill>
        </w:rPr>
        <w:t>年</w:t>
      </w:r>
      <w:r>
        <w:rPr>
          <w:rFonts w:hint="eastAsia" w:ascii="宋体" w:hAnsi="宋体" w:cs="宋体"/>
          <w:b/>
          <w:bCs w:val="0"/>
          <w:color w:val="000000" w:themeColor="text1"/>
          <w:sz w:val="32"/>
          <w:szCs w:val="32"/>
          <w:highlight w:val="none"/>
          <w:lang w:val="en-US" w:eastAsia="zh-CN"/>
          <w14:textFill>
            <w14:solidFill>
              <w14:schemeClr w14:val="tx1"/>
            </w14:solidFill>
          </w14:textFill>
        </w:rPr>
        <w:t>三</w:t>
      </w:r>
      <w:r>
        <w:rPr>
          <w:rFonts w:hint="eastAsia" w:ascii="宋体" w:hAnsi="宋体" w:eastAsia="宋体" w:cs="宋体"/>
          <w:b/>
          <w:bCs w:val="0"/>
          <w:color w:val="000000" w:themeColor="text1"/>
          <w:sz w:val="32"/>
          <w:szCs w:val="32"/>
          <w:highlight w:val="none"/>
          <w14:textFill>
            <w14:solidFill>
              <w14:schemeClr w14:val="tx1"/>
            </w14:solidFill>
          </w14:textFill>
        </w:rPr>
        <w:t>月</w:t>
      </w:r>
      <w:r>
        <w:rPr>
          <w:rFonts w:hint="eastAsia" w:ascii="宋体" w:hAnsi="宋体" w:cs="宋体"/>
          <w:b/>
          <w:bCs w:val="0"/>
          <w:color w:val="000000" w:themeColor="text1"/>
          <w:sz w:val="32"/>
          <w:szCs w:val="32"/>
          <w:highlight w:val="none"/>
          <w:lang w:eastAsia="zh-CN"/>
          <w14:textFill>
            <w14:solidFill>
              <w14:schemeClr w14:val="tx1"/>
            </w14:solidFill>
          </w14:textFill>
        </w:rPr>
        <w:t>二十六</w:t>
      </w:r>
      <w:r>
        <w:rPr>
          <w:rFonts w:hint="eastAsia" w:ascii="宋体" w:hAnsi="宋体" w:eastAsia="宋体" w:cs="宋体"/>
          <w:b/>
          <w:bCs w:val="0"/>
          <w:color w:val="000000" w:themeColor="text1"/>
          <w:sz w:val="32"/>
          <w:szCs w:val="32"/>
          <w:highlight w:val="none"/>
          <w14:textFill>
            <w14:solidFill>
              <w14:schemeClr w14:val="tx1"/>
            </w14:solidFill>
          </w14:textFill>
        </w:rPr>
        <w:t>日</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br w:type="page"/>
      </w:r>
      <w:bookmarkStart w:id="0" w:name="_Hlt67893495"/>
      <w:bookmarkEnd w:id="0"/>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48"/>
          <w:szCs w:val="48"/>
          <w:highlight w:val="none"/>
          <w14:textFill>
            <w14:solidFill>
              <w14:schemeClr w14:val="tx1"/>
            </w14:solidFill>
          </w14:textFill>
        </w:rPr>
      </w:pPr>
      <w:r>
        <w:rPr>
          <w:rFonts w:hint="eastAsia" w:ascii="宋体" w:hAnsi="宋体" w:eastAsia="宋体" w:cs="宋体"/>
          <w:b/>
          <w:color w:val="000000" w:themeColor="text1"/>
          <w:sz w:val="48"/>
          <w:szCs w:val="48"/>
          <w:highlight w:val="none"/>
          <w14:textFill>
            <w14:solidFill>
              <w14:schemeClr w14:val="tx1"/>
            </w14:solidFill>
          </w14:textFill>
        </w:rPr>
        <w:t>目  录</w:t>
      </w:r>
    </w:p>
    <w:p>
      <w:pPr>
        <w:spacing w:line="360" w:lineRule="auto"/>
        <w:rPr>
          <w:rFonts w:hint="eastAsia" w:ascii="宋体" w:hAnsi="宋体" w:eastAsia="宋体" w:cs="宋体"/>
          <w:color w:val="000000" w:themeColor="text1"/>
          <w:sz w:val="32"/>
          <w:szCs w:val="32"/>
          <w:highlight w:val="none"/>
          <w14:textFill>
            <w14:solidFill>
              <w14:schemeClr w14:val="tx1"/>
            </w14:solidFill>
          </w14:textFill>
        </w:rPr>
      </w:pPr>
    </w:p>
    <w:p>
      <w:pPr>
        <w:spacing w:line="360" w:lineRule="auto"/>
        <w:rPr>
          <w:rFonts w:hint="eastAsia" w:ascii="宋体" w:hAnsi="宋体" w:eastAsia="宋体" w:cs="宋体"/>
          <w:color w:val="000000" w:themeColor="text1"/>
          <w:sz w:val="32"/>
          <w:szCs w:val="32"/>
          <w:highlight w:val="none"/>
          <w14:textFill>
            <w14:solidFill>
              <w14:schemeClr w14:val="tx1"/>
            </w14:solidFill>
          </w14:textFill>
        </w:rPr>
      </w:pP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第一部分      招标公告</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第二部分      投标人须知</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第三部分      采购需求</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第四部分      评标办法</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第五部分      拟签订的合同文本</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第六部分      应提交的有关格式范例</w:t>
      </w: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bookmarkStart w:id="1" w:name="_Hlt91233176"/>
      <w:bookmarkEnd w:id="1"/>
      <w:bookmarkStart w:id="2" w:name="_Toc91899869"/>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adjustRightInd/>
        <w:spacing w:line="360" w:lineRule="auto"/>
        <w:jc w:val="center"/>
        <w:outlineLvl w:val="0"/>
        <w:rPr>
          <w:rFonts w:hint="eastAsia" w:ascii="宋体" w:hAnsi="宋体" w:eastAsia="宋体" w:cs="宋体"/>
          <w:b/>
          <w:color w:val="000000" w:themeColor="text1"/>
          <w:sz w:val="36"/>
          <w:szCs w:val="20"/>
          <w:highlight w:val="none"/>
          <w14:textFill>
            <w14:solidFill>
              <w14:schemeClr w14:val="tx1"/>
            </w14:solidFill>
          </w14:textFill>
        </w:rPr>
      </w:pPr>
      <w:bookmarkStart w:id="3" w:name="第一部分"/>
      <w:r>
        <w:rPr>
          <w:rFonts w:hint="eastAsia" w:ascii="宋体" w:hAnsi="宋体" w:eastAsia="宋体" w:cs="宋体"/>
          <w:b/>
          <w:color w:val="000000" w:themeColor="text1"/>
          <w:sz w:val="36"/>
          <w:szCs w:val="36"/>
          <w:highlight w:val="none"/>
          <w14:textFill>
            <w14:solidFill>
              <w14:schemeClr w14:val="tx1"/>
            </w14:solidFill>
          </w14:textFill>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eastAsia="宋体" w:cs="宋体"/>
          <w:b/>
          <w:color w:val="000000" w:themeColor="text1"/>
          <w:sz w:val="36"/>
          <w:szCs w:val="20"/>
          <w:highlight w:val="none"/>
          <w14:textFill>
            <w14:solidFill>
              <w14:schemeClr w14:val="tx1"/>
            </w14:solidFill>
          </w14:textFill>
        </w:rPr>
        <w:t>第一部分 招标公告</w:t>
      </w:r>
    </w:p>
    <w:p>
      <w:pPr>
        <w:pBdr>
          <w:top w:val="single" w:color="auto" w:sz="4" w:space="1"/>
          <w:left w:val="single" w:color="auto" w:sz="4" w:space="4"/>
          <w:bottom w:val="single" w:color="auto" w:sz="4" w:space="1"/>
          <w:right w:val="single" w:color="auto" w:sz="4" w:space="4"/>
        </w:pBd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信息港文体中心委托运营服务项目</w:t>
      </w:r>
      <w:r>
        <w:rPr>
          <w:rFonts w:hint="eastAsia" w:ascii="宋体" w:hAnsi="宋体" w:eastAsia="宋体" w:cs="宋体"/>
          <w:color w:val="000000" w:themeColor="text1"/>
          <w:sz w:val="24"/>
          <w:highlight w:val="none"/>
          <w14:textFill>
            <w14:solidFill>
              <w14:schemeClr w14:val="tx1"/>
            </w14:solidFill>
          </w14:textFill>
        </w:rPr>
        <w:t>招标项目的潜在投标人应在政采云平台（</w:t>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"https://www.zcygov.cn/）获取（下载）招标文件，并于2021年" </w:instrText>
      </w:r>
      <w:r>
        <w:rPr>
          <w:rFonts w:hint="eastAsia" w:ascii="宋体" w:hAnsi="宋体" w:eastAsia="宋体" w:cs="宋体"/>
          <w:color w:val="000000" w:themeColor="text1"/>
          <w:highlight w:val="none"/>
          <w14:textFill>
            <w14:solidFill>
              <w14:schemeClr w14:val="tx1"/>
            </w14:solidFill>
          </w14:textFill>
        </w:rPr>
        <w:fldChar w:fldCharType="separate"/>
      </w:r>
      <w:r>
        <w:rPr>
          <w:rStyle w:val="76"/>
          <w:rFonts w:hint="eastAsia" w:ascii="宋体" w:hAnsi="宋体" w:eastAsia="宋体" w:cs="宋体"/>
          <w:snapToGrid/>
          <w:color w:val="000000" w:themeColor="text1"/>
          <w:kern w:val="2"/>
          <w:sz w:val="24"/>
          <w:szCs w:val="24"/>
          <w:highlight w:val="none"/>
          <w14:textFill>
            <w14:solidFill>
              <w14:schemeClr w14:val="tx1"/>
            </w14:solidFill>
          </w14:textFill>
        </w:rPr>
        <w:t>https://www.zcygov.cn/）获取（下载）招标文件，并于</w:t>
      </w:r>
      <w:r>
        <w:rPr>
          <w:rFonts w:hint="eastAsia" w:ascii="宋体" w:hAnsi="宋体" w:eastAsia="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4</w:t>
      </w:r>
      <w:r>
        <w:rPr>
          <w:rFonts w:hint="eastAsia" w:ascii="宋体" w:hAnsi="宋体" w:eastAsia="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04</w:t>
      </w:r>
      <w:r>
        <w:rPr>
          <w:rFonts w:hint="eastAsia" w:ascii="宋体" w:hAnsi="宋体" w:eastAsia="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16</w:t>
      </w:r>
      <w:r>
        <w:rPr>
          <w:rFonts w:hint="eastAsia" w:ascii="宋体" w:hAnsi="宋体" w:eastAsia="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0</w:t>
      </w:r>
      <w:r>
        <w:rPr>
          <w:rFonts w:hint="eastAsia" w:ascii="宋体" w:hAnsi="宋体" w:eastAsia="宋体" w:cs="宋体"/>
          <w:color w:val="000000" w:themeColor="text1"/>
          <w:sz w:val="24"/>
          <w:highlight w:val="none"/>
          <w:u w:val="single"/>
          <w:lang w:val="en-US" w:eastAsia="zh-CN"/>
          <w14:textFill>
            <w14:solidFill>
              <w14:schemeClr w14:val="tx1"/>
            </w14:solidFill>
          </w14:textFill>
        </w:rPr>
        <w:t>9</w:t>
      </w:r>
      <w:r>
        <w:rPr>
          <w:rFonts w:hint="eastAsia" w:ascii="宋体" w:hAnsi="宋体" w:eastAsia="宋体" w:cs="宋体"/>
          <w:color w:val="000000" w:themeColor="text1"/>
          <w:sz w:val="24"/>
          <w:highlight w:val="none"/>
          <w:u w:val="single"/>
          <w14:textFill>
            <w14:solidFill>
              <w14:schemeClr w14:val="tx1"/>
            </w14:solidFill>
          </w14:textFill>
        </w:rPr>
        <w:t>点</w:t>
      </w:r>
      <w:r>
        <w:rPr>
          <w:rFonts w:hint="eastAsia" w:ascii="宋体" w:hAnsi="宋体" w:eastAsia="宋体" w:cs="宋体"/>
          <w:color w:val="000000" w:themeColor="text1"/>
          <w:sz w:val="24"/>
          <w:highlight w:val="none"/>
          <w:u w:val="single"/>
          <w:lang w:val="en-US" w:eastAsia="zh-CN"/>
          <w14:textFill>
            <w14:solidFill>
              <w14:schemeClr w14:val="tx1"/>
            </w14:solidFill>
          </w14:textFill>
        </w:rPr>
        <w:t>00</w:t>
      </w:r>
      <w:r>
        <w:rPr>
          <w:rFonts w:hint="eastAsia" w:ascii="宋体" w:hAnsi="宋体" w:eastAsia="宋体" w:cs="宋体"/>
          <w:color w:val="000000" w:themeColor="text1"/>
          <w:sz w:val="24"/>
          <w:highlight w:val="none"/>
          <w:u w:val="single"/>
          <w14:textFill>
            <w14:solidFill>
              <w14:schemeClr w14:val="tx1"/>
            </w14:solidFill>
          </w14:textFill>
        </w:rPr>
        <w:t>分</w:t>
      </w:r>
      <w:r>
        <w:rPr>
          <w:rFonts w:hint="eastAsia" w:ascii="宋体" w:hAnsi="宋体" w:eastAsia="宋体" w:cs="宋体"/>
          <w:bCs/>
          <w:color w:val="000000" w:themeColor="text1"/>
          <w:sz w:val="24"/>
          <w:highlight w:val="none"/>
          <w:u w:val="single"/>
          <w14:textFill>
            <w14:solidFill>
              <w14:schemeClr w14:val="tx1"/>
            </w14:solidFill>
          </w14:textFill>
        </w:rPr>
        <w:t>00秒</w:t>
      </w:r>
      <w:r>
        <w:rPr>
          <w:rFonts w:hint="eastAsia" w:ascii="宋体" w:hAnsi="宋体" w:eastAsia="宋体" w:cs="宋体"/>
          <w:bCs/>
          <w:color w:val="000000" w:themeColor="text1"/>
          <w:sz w:val="24"/>
          <w:highlight w:val="none"/>
          <w:u w:val="single"/>
          <w14:textFill>
            <w14:solidFill>
              <w14:schemeClr w14:val="tx1"/>
            </w14:solidFill>
          </w14:textFill>
        </w:rPr>
        <w:fldChar w:fldCharType="end"/>
      </w:r>
      <w:r>
        <w:rPr>
          <w:rFonts w:hint="eastAsia" w:ascii="宋体" w:hAnsi="宋体" w:eastAsia="宋体" w:cs="宋体"/>
          <w:bCs/>
          <w:color w:val="000000" w:themeColor="text1"/>
          <w:sz w:val="24"/>
          <w:highlight w:val="none"/>
          <w14:textFill>
            <w14:solidFill>
              <w14:schemeClr w14:val="tx1"/>
            </w14:solidFill>
          </w14:textFill>
        </w:rPr>
        <w:t>（北京时间）前</w:t>
      </w:r>
      <w:r>
        <w:rPr>
          <w:rFonts w:hint="eastAsia" w:ascii="宋体" w:hAnsi="宋体" w:eastAsia="宋体" w:cs="宋体"/>
          <w:color w:val="000000" w:themeColor="text1"/>
          <w:sz w:val="24"/>
          <w:highlight w:val="none"/>
          <w14:textFill>
            <w14:solidFill>
              <w14:schemeClr w14:val="tx1"/>
            </w14:solidFill>
          </w14:textFill>
        </w:rPr>
        <w:t>递交（上传）投标文件。</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一、项目基本情况</w:t>
      </w:r>
    </w:p>
    <w:p>
      <w:pPr>
        <w:spacing w:line="360" w:lineRule="auto"/>
        <w:ind w:firstLine="482" w:firstLineChars="200"/>
        <w:rPr>
          <w:rFonts w:hint="eastAsia"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项目编号：</w:t>
      </w:r>
      <w:r>
        <w:rPr>
          <w:rFonts w:hint="eastAsia" w:ascii="宋体" w:hAnsi="宋体" w:eastAsia="宋体" w:cs="宋体"/>
          <w:b w:val="0"/>
          <w:bCs/>
          <w:color w:val="000000" w:themeColor="text1"/>
          <w:sz w:val="24"/>
          <w:szCs w:val="24"/>
          <w:highlight w:val="none"/>
          <w:lang w:eastAsia="zh-CN"/>
          <w14:textFill>
            <w14:solidFill>
              <w14:schemeClr w14:val="tx1"/>
            </w14:solidFill>
          </w14:textFill>
        </w:rPr>
        <w:t>萧开</w:t>
      </w:r>
      <w:r>
        <w:rPr>
          <w:rFonts w:hint="eastAsia" w:ascii="宋体" w:hAnsi="宋体" w:cs="宋体"/>
          <w:b w:val="0"/>
          <w:bCs/>
          <w:color w:val="000000" w:themeColor="text1"/>
          <w:sz w:val="24"/>
          <w:szCs w:val="24"/>
          <w:highlight w:val="none"/>
          <w:lang w:eastAsia="zh-CN"/>
          <w14:textFill>
            <w14:solidFill>
              <w14:schemeClr w14:val="tx1"/>
            </w14:solidFill>
          </w14:textFill>
        </w:rPr>
        <w:t>企</w:t>
      </w:r>
      <w:r>
        <w:rPr>
          <w:rFonts w:hint="eastAsia" w:ascii="宋体" w:hAnsi="宋体" w:eastAsia="宋体" w:cs="宋体"/>
          <w:b w:val="0"/>
          <w:bCs/>
          <w:color w:val="000000" w:themeColor="text1"/>
          <w:sz w:val="24"/>
          <w:szCs w:val="24"/>
          <w:highlight w:val="none"/>
          <w:lang w:eastAsia="zh-CN"/>
          <w14:textFill>
            <w14:solidFill>
              <w14:schemeClr w14:val="tx1"/>
            </w14:solidFill>
          </w14:textFill>
        </w:rPr>
        <w:t>采（202</w:t>
      </w:r>
      <w:r>
        <w:rPr>
          <w:rFonts w:hint="eastAsia" w:ascii="宋体" w:hAnsi="宋体" w:cs="宋体"/>
          <w:b w:val="0"/>
          <w:bCs/>
          <w:color w:val="000000" w:themeColor="text1"/>
          <w:sz w:val="24"/>
          <w:szCs w:val="24"/>
          <w:highlight w:val="none"/>
          <w:lang w:val="en-US" w:eastAsia="zh-CN"/>
          <w14:textFill>
            <w14:solidFill>
              <w14:schemeClr w14:val="tx1"/>
            </w14:solidFill>
          </w14:textFill>
        </w:rPr>
        <w:t>4</w:t>
      </w:r>
      <w:r>
        <w:rPr>
          <w:rFonts w:hint="eastAsia" w:ascii="宋体" w:hAnsi="宋体" w:eastAsia="宋体" w:cs="宋体"/>
          <w:b w:val="0"/>
          <w:bCs/>
          <w:color w:val="000000" w:themeColor="text1"/>
          <w:sz w:val="24"/>
          <w:szCs w:val="24"/>
          <w:highlight w:val="none"/>
          <w:lang w:eastAsia="zh-CN"/>
          <w14:textFill>
            <w14:solidFill>
              <w14:schemeClr w14:val="tx1"/>
            </w14:solidFill>
          </w14:textFill>
        </w:rPr>
        <w:t>）</w:t>
      </w:r>
      <w:r>
        <w:rPr>
          <w:rFonts w:hint="eastAsia" w:ascii="宋体" w:hAnsi="宋体" w:cs="宋体"/>
          <w:b w:val="0"/>
          <w:bCs/>
          <w:color w:val="000000" w:themeColor="text1"/>
          <w:sz w:val="24"/>
          <w:szCs w:val="24"/>
          <w:highlight w:val="none"/>
          <w:lang w:val="en-US" w:eastAsia="zh-CN"/>
          <w14:textFill>
            <w14:solidFill>
              <w14:schemeClr w14:val="tx1"/>
            </w14:solidFill>
          </w14:textFill>
        </w:rPr>
        <w:t>13</w:t>
      </w:r>
      <w:r>
        <w:rPr>
          <w:rFonts w:hint="eastAsia" w:ascii="宋体" w:hAnsi="宋体" w:eastAsia="宋体" w:cs="宋体"/>
          <w:b w:val="0"/>
          <w:bCs/>
          <w:color w:val="000000" w:themeColor="text1"/>
          <w:sz w:val="24"/>
          <w:szCs w:val="24"/>
          <w:highlight w:val="none"/>
          <w:lang w:eastAsia="zh-CN"/>
          <w14:textFill>
            <w14:solidFill>
              <w14:schemeClr w14:val="tx1"/>
            </w14:solidFill>
          </w14:textFill>
        </w:rPr>
        <w:t>号</w:t>
      </w:r>
    </w:p>
    <w:p>
      <w:pPr>
        <w:spacing w:line="360" w:lineRule="auto"/>
        <w:ind w:firstLine="482"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项目名称：</w:t>
      </w:r>
      <w:r>
        <w:rPr>
          <w:rFonts w:hint="eastAsia" w:ascii="宋体" w:hAnsi="宋体" w:cs="宋体"/>
          <w:b w:val="0"/>
          <w:bCs/>
          <w:color w:val="000000" w:themeColor="text1"/>
          <w:sz w:val="24"/>
          <w:szCs w:val="24"/>
          <w:highlight w:val="none"/>
          <w:lang w:val="en-US" w:eastAsia="zh-CN"/>
          <w14:textFill>
            <w14:solidFill>
              <w14:schemeClr w14:val="tx1"/>
            </w14:solidFill>
          </w14:textFill>
        </w:rPr>
        <w:t>信息港文体中心委托运营服务项目</w:t>
      </w:r>
    </w:p>
    <w:p>
      <w:pPr>
        <w:spacing w:line="360" w:lineRule="auto"/>
        <w:ind w:firstLine="482" w:firstLineChars="200"/>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预算金额</w:t>
      </w:r>
      <w:r>
        <w:rPr>
          <w:rFonts w:hint="eastAsia" w:ascii="宋体" w:hAnsi="宋体" w:cs="宋体"/>
          <w:b/>
          <w:color w:val="000000" w:themeColor="text1"/>
          <w:sz w:val="24"/>
          <w:szCs w:val="24"/>
          <w:highlight w:val="none"/>
          <w:lang w:eastAsia="zh-CN"/>
          <w14:textFill>
            <w14:solidFill>
              <w14:schemeClr w14:val="tx1"/>
            </w14:solidFill>
          </w14:textFill>
        </w:rPr>
        <w:t>：</w:t>
      </w:r>
      <w:r>
        <w:rPr>
          <w:rFonts w:hint="eastAsia" w:ascii="宋体" w:hAnsi="宋体" w:cs="宋体"/>
          <w:b w:val="0"/>
          <w:bCs/>
          <w:color w:val="000000" w:themeColor="text1"/>
          <w:sz w:val="24"/>
          <w:szCs w:val="24"/>
          <w:highlight w:val="none"/>
          <w:lang w:eastAsia="zh-CN"/>
          <w14:textFill>
            <w14:solidFill>
              <w14:schemeClr w14:val="tx1"/>
            </w14:solidFill>
          </w14:textFill>
        </w:rPr>
        <w:t>壹亿元整（</w:t>
      </w:r>
      <w:r>
        <w:rPr>
          <w:rFonts w:hint="eastAsia" w:ascii="宋体" w:hAnsi="宋体" w:cs="宋体"/>
          <w:b w:val="0"/>
          <w:bCs/>
          <w:color w:val="000000" w:themeColor="text1"/>
          <w:sz w:val="24"/>
          <w:szCs w:val="24"/>
          <w:highlight w:val="none"/>
          <w:lang w:val="en-US" w:eastAsia="zh-CN"/>
          <w14:textFill>
            <w14:solidFill>
              <w14:schemeClr w14:val="tx1"/>
            </w14:solidFill>
          </w14:textFill>
        </w:rPr>
        <w:t>1000</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.00</w:t>
      </w:r>
      <w:r>
        <w:rPr>
          <w:rFonts w:hint="eastAsia" w:ascii="宋体" w:hAnsi="宋体" w:cs="宋体"/>
          <w:b w:val="0"/>
          <w:bCs/>
          <w:color w:val="000000" w:themeColor="text1"/>
          <w:sz w:val="24"/>
          <w:szCs w:val="24"/>
          <w:highlight w:val="none"/>
          <w:lang w:val="en-US" w:eastAsia="zh-CN"/>
          <w14:textFill>
            <w14:solidFill>
              <w14:schemeClr w14:val="tx1"/>
            </w14:solidFill>
          </w14:textFill>
        </w:rPr>
        <w:t>万元/年）；</w:t>
      </w:r>
    </w:p>
    <w:p>
      <w:pPr>
        <w:spacing w:line="360" w:lineRule="auto"/>
        <w:ind w:firstLine="482"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最高限价</w:t>
      </w:r>
      <w:r>
        <w:rPr>
          <w:rFonts w:hint="eastAsia" w:ascii="宋体" w:hAnsi="宋体" w:cs="宋体"/>
          <w:b/>
          <w:color w:val="000000" w:themeColor="text1"/>
          <w:sz w:val="24"/>
          <w:szCs w:val="24"/>
          <w:highlight w:val="none"/>
          <w:lang w:eastAsia="zh-CN"/>
          <w14:textFill>
            <w14:solidFill>
              <w14:schemeClr w14:val="tx1"/>
            </w14:solidFill>
          </w14:textFill>
        </w:rPr>
        <w:t>：</w:t>
      </w:r>
      <w:r>
        <w:rPr>
          <w:rFonts w:hint="eastAsia" w:ascii="宋体" w:hAnsi="宋体" w:cs="宋体"/>
          <w:b w:val="0"/>
          <w:bCs/>
          <w:color w:val="000000" w:themeColor="text1"/>
          <w:sz w:val="24"/>
          <w:szCs w:val="24"/>
          <w:highlight w:val="none"/>
          <w:lang w:eastAsia="zh-CN"/>
          <w14:textFill>
            <w14:solidFill>
              <w14:schemeClr w14:val="tx1"/>
            </w14:solidFill>
          </w14:textFill>
        </w:rPr>
        <w:t>壹亿元整（</w:t>
      </w:r>
      <w:r>
        <w:rPr>
          <w:rFonts w:hint="eastAsia" w:ascii="宋体" w:hAnsi="宋体" w:cs="宋体"/>
          <w:b w:val="0"/>
          <w:bCs/>
          <w:color w:val="000000" w:themeColor="text1"/>
          <w:sz w:val="24"/>
          <w:szCs w:val="24"/>
          <w:highlight w:val="none"/>
          <w:lang w:val="en-US" w:eastAsia="zh-CN"/>
          <w14:textFill>
            <w14:solidFill>
              <w14:schemeClr w14:val="tx1"/>
            </w14:solidFill>
          </w14:textFill>
        </w:rPr>
        <w:t>1000</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.00</w:t>
      </w:r>
      <w:r>
        <w:rPr>
          <w:rFonts w:hint="eastAsia" w:ascii="宋体" w:hAnsi="宋体" w:cs="宋体"/>
          <w:b w:val="0"/>
          <w:bCs/>
          <w:color w:val="000000" w:themeColor="text1"/>
          <w:sz w:val="24"/>
          <w:szCs w:val="24"/>
          <w:highlight w:val="none"/>
          <w:lang w:val="en-US" w:eastAsia="zh-CN"/>
          <w14:textFill>
            <w14:solidFill>
              <w14:schemeClr w14:val="tx1"/>
            </w14:solidFill>
          </w14:textFill>
        </w:rPr>
        <w:t>万元/年）。</w:t>
      </w:r>
    </w:p>
    <w:p>
      <w:pPr>
        <w:spacing w:line="360" w:lineRule="auto"/>
        <w:ind w:firstLine="482" w:firstLineChars="200"/>
        <w:rPr>
          <w:rFonts w:hint="eastAsia" w:ascii="宋体" w:hAnsi="宋体" w:eastAsia="宋体" w:cs="宋体"/>
          <w:bCs/>
          <w:snapToGrid/>
          <w:color w:val="000000" w:themeColor="text1"/>
          <w:kern w:val="2"/>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采购需求：</w:t>
      </w:r>
      <w:r>
        <w:rPr>
          <w:rFonts w:hint="eastAsia" w:ascii="宋体" w:hAnsi="宋体" w:cs="宋体"/>
          <w:b w:val="0"/>
          <w:bCs/>
          <w:color w:val="000000" w:themeColor="text1"/>
          <w:sz w:val="24"/>
          <w:szCs w:val="24"/>
          <w:highlight w:val="none"/>
          <w:lang w:val="en-US" w:eastAsia="zh-CN"/>
          <w14:textFill>
            <w14:solidFill>
              <w14:schemeClr w14:val="tx1"/>
            </w14:solidFill>
          </w14:textFill>
        </w:rPr>
        <w:t>信息港文体中心委托运营服务项目</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服务期</w:t>
      </w: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0年</w:t>
      </w:r>
      <w:r>
        <w:rPr>
          <w:rFonts w:hint="eastAsia" w:ascii="宋体" w:hAnsi="宋体" w:eastAsia="宋体" w:cs="宋体"/>
          <w:bCs/>
          <w:snapToGrid/>
          <w:color w:val="000000" w:themeColor="text1"/>
          <w:kern w:val="2"/>
          <w:sz w:val="24"/>
          <w:szCs w:val="24"/>
          <w:highlight w:val="none"/>
          <w14:textFill>
            <w14:solidFill>
              <w14:schemeClr w14:val="tx1"/>
            </w14:solidFill>
          </w14:textFill>
        </w:rPr>
        <w:t>。详见招标文件第三部分采购需求。</w:t>
      </w:r>
    </w:p>
    <w:p>
      <w:pPr>
        <w:pStyle w:val="15"/>
        <w:spacing w:line="360" w:lineRule="auto"/>
        <w:ind w:firstLine="48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合同履约期限：</w:t>
      </w:r>
      <w:r>
        <w:rPr>
          <w:rFonts w:hint="eastAsia" w:ascii="宋体" w:hAnsi="宋体" w:eastAsia="宋体" w:cs="宋体"/>
          <w:color w:val="000000" w:themeColor="text1"/>
          <w:sz w:val="24"/>
          <w:szCs w:val="24"/>
          <w:highlight w:val="none"/>
          <w:lang w:eastAsia="zh-CN"/>
          <w14:textFill>
            <w14:solidFill>
              <w14:schemeClr w14:val="tx1"/>
            </w14:solidFill>
          </w14:textFill>
        </w:rPr>
        <w:t>详见采购需求</w:t>
      </w:r>
    </w:p>
    <w:p>
      <w:pPr>
        <w:pStyle w:val="15"/>
        <w:spacing w:line="360" w:lineRule="auto"/>
        <w:ind w:firstLine="48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本项目接受联合体投标：</w:t>
      </w:r>
      <w:r>
        <w:rPr>
          <w:rFonts w:hint="eastAsia" w:ascii="宋体" w:hAnsi="宋体" w:eastAsia="宋体" w:cs="宋体"/>
          <w:b/>
          <w:bCs w:val="0"/>
          <w:color w:val="000000" w:themeColor="text1"/>
          <w:sz w:val="24"/>
          <w:szCs w:val="24"/>
          <w:highlight w:val="none"/>
          <w14:textFill>
            <w14:solidFill>
              <w14:schemeClr w14:val="tx1"/>
            </w14:solidFill>
          </w14:textFill>
        </w:rPr>
        <w:t>（√）是；（</w:t>
      </w:r>
      <w:r>
        <w:rPr>
          <w:rFonts w:hint="eastAsia" w:ascii="宋体" w:hAnsi="宋体" w:eastAsia="宋体" w:cs="宋体"/>
          <w:b/>
          <w:bCs w:val="0"/>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bCs w:val="0"/>
          <w:color w:val="000000" w:themeColor="text1"/>
          <w:sz w:val="24"/>
          <w:szCs w:val="24"/>
          <w:highlight w:val="none"/>
          <w14:textFill>
            <w14:solidFill>
              <w14:schemeClr w14:val="tx1"/>
            </w14:solidFill>
          </w14:textFill>
        </w:rPr>
        <w:t>）否</w:t>
      </w:r>
      <w:r>
        <w:rPr>
          <w:rFonts w:hint="eastAsia" w:ascii="宋体" w:hAnsi="宋体" w:eastAsia="宋体" w:cs="宋体"/>
          <w:b/>
          <w:bCs w:val="0"/>
          <w:color w:val="000000" w:themeColor="text1"/>
          <w:kern w:val="0"/>
          <w:sz w:val="24"/>
          <w:szCs w:val="24"/>
          <w:highlight w:val="none"/>
          <w14:textFill>
            <w14:solidFill>
              <w14:schemeClr w14:val="tx1"/>
            </w14:solidFill>
          </w14:textFill>
        </w:rPr>
        <w:t>。</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二、申请人的资格要求：</w:t>
      </w:r>
    </w:p>
    <w:p>
      <w:pPr>
        <w:spacing w:line="360" w:lineRule="auto"/>
        <w:ind w:firstLine="480"/>
        <w:rPr>
          <w:rFonts w:hint="eastAsia" w:ascii="宋体" w:hAnsi="宋体" w:eastAsia="宋体" w:cs="宋体"/>
          <w:snapToGrid w:val="0"/>
          <w:color w:val="000000" w:themeColor="text1"/>
          <w:kern w:val="28"/>
          <w:sz w:val="24"/>
          <w:szCs w:val="20"/>
          <w:highlight w:val="none"/>
          <w14:textFill>
            <w14:solidFill>
              <w14:schemeClr w14:val="tx1"/>
            </w14:solidFill>
          </w14:textFill>
        </w:rPr>
      </w:pPr>
      <w:r>
        <w:rPr>
          <w:rFonts w:hint="eastAsia" w:ascii="宋体" w:hAnsi="宋体" w:eastAsia="宋体" w:cs="宋体"/>
          <w:snapToGrid w:val="0"/>
          <w:color w:val="000000" w:themeColor="text1"/>
          <w:kern w:val="28"/>
          <w:sz w:val="24"/>
          <w:szCs w:val="20"/>
          <w:highlight w:val="none"/>
          <w14:textFill>
            <w14:solidFill>
              <w14:schemeClr w14:val="tx1"/>
            </w14:solidFill>
          </w14:textFill>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snapToGrid w:val="0"/>
          <w:color w:val="000000" w:themeColor="text1"/>
          <w:kern w:val="28"/>
          <w:sz w:val="24"/>
          <w:szCs w:val="20"/>
          <w:highlight w:val="none"/>
          <w14:textFill>
            <w14:solidFill>
              <w14:schemeClr w14:val="tx1"/>
            </w14:solidFill>
          </w14:textFill>
        </w:rPr>
        <w:t>2.落实政府采购政策需满足的资格要求：</w:t>
      </w:r>
      <w:r>
        <w:rPr>
          <w:rFonts w:hint="eastAsia" w:ascii="宋体" w:hAnsi="宋体" w:eastAsia="宋体" w:cs="宋体"/>
          <w:color w:val="000000" w:themeColor="text1"/>
          <w:sz w:val="24"/>
          <w:szCs w:val="24"/>
          <w:highlight w:val="none"/>
          <w:lang w:val="en-US" w:eastAsia="zh-CN"/>
          <w14:textFill>
            <w14:solidFill>
              <w14:schemeClr w14:val="tx1"/>
            </w14:solidFill>
          </w14:textFill>
        </w:rPr>
        <w:t>无</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3.本项目的特定资格要求：无；</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 xml:space="preserve">三、获取招标文件 </w:t>
      </w: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时间：</w:t>
      </w:r>
      <w:r>
        <w:rPr>
          <w:rFonts w:hint="eastAsia" w:ascii="宋体" w:hAnsi="宋体" w:eastAsia="宋体" w:cs="宋体"/>
          <w:color w:val="000000" w:themeColor="text1"/>
          <w:sz w:val="24"/>
          <w:highlight w:val="none"/>
          <w14:textFill>
            <w14:solidFill>
              <w14:schemeClr w14:val="tx1"/>
            </w14:solidFill>
          </w14:textFill>
        </w:rPr>
        <w:t>/至</w:t>
      </w:r>
      <w:r>
        <w:rPr>
          <w:rFonts w:hint="eastAsia" w:ascii="宋体" w:hAnsi="宋体" w:eastAsia="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4</w:t>
      </w:r>
      <w:r>
        <w:rPr>
          <w:rFonts w:hint="eastAsia" w:ascii="宋体" w:hAnsi="宋体" w:eastAsia="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04</w:t>
      </w:r>
      <w:r>
        <w:rPr>
          <w:rFonts w:hint="eastAsia" w:ascii="宋体" w:hAnsi="宋体" w:eastAsia="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16</w:t>
      </w:r>
      <w:r>
        <w:rPr>
          <w:rFonts w:hint="eastAsia" w:ascii="宋体" w:hAnsi="宋体" w:eastAsia="宋体" w:cs="宋体"/>
          <w:color w:val="000000" w:themeColor="text1"/>
          <w:sz w:val="24"/>
          <w:highlight w:val="none"/>
          <w:u w:val="single"/>
          <w14:textFill>
            <w14:solidFill>
              <w14:schemeClr w14:val="tx1"/>
            </w14:solidFill>
          </w14:textFill>
        </w:rPr>
        <w:t>日</w:t>
      </w:r>
      <w:r>
        <w:rPr>
          <w:rFonts w:hint="eastAsia" w:ascii="宋体" w:hAnsi="宋体" w:eastAsia="宋体" w:cs="宋体"/>
          <w:color w:val="000000" w:themeColor="text1"/>
          <w:sz w:val="24"/>
          <w:highlight w:val="none"/>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地点（网址）：</w:t>
      </w:r>
      <w:r>
        <w:rPr>
          <w:rFonts w:hint="eastAsia" w:ascii="宋体" w:hAnsi="宋体" w:eastAsia="宋体" w:cs="宋体"/>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方式：</w:t>
      </w:r>
      <w:r>
        <w:rPr>
          <w:rFonts w:hint="eastAsia" w:ascii="宋体" w:hAnsi="宋体" w:eastAsia="宋体" w:cs="宋体"/>
          <w:color w:val="000000" w:themeColor="text1"/>
          <w:sz w:val="24"/>
          <w:highlight w:val="none"/>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售价（元）：</w:t>
      </w:r>
      <w:r>
        <w:rPr>
          <w:rFonts w:hint="eastAsia" w:ascii="宋体" w:hAnsi="宋体" w:eastAsia="宋体" w:cs="宋体"/>
          <w:color w:val="000000" w:themeColor="text1"/>
          <w:sz w:val="24"/>
          <w:highlight w:val="none"/>
          <w14:textFill>
            <w14:solidFill>
              <w14:schemeClr w14:val="tx1"/>
            </w14:solidFill>
          </w14:textFill>
        </w:rPr>
        <w:t>0</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四、提交投标文件截止时间、开标时间和地点</w:t>
      </w: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提交投标文件截止时间：</w:t>
      </w:r>
      <w:r>
        <w:rPr>
          <w:rFonts w:hint="eastAsia" w:ascii="宋体" w:hAnsi="宋体" w:eastAsia="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4</w:t>
      </w:r>
      <w:r>
        <w:rPr>
          <w:rFonts w:hint="eastAsia" w:ascii="宋体" w:hAnsi="宋体" w:eastAsia="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04</w:t>
      </w:r>
      <w:r>
        <w:rPr>
          <w:rFonts w:hint="eastAsia" w:ascii="宋体" w:hAnsi="宋体" w:eastAsia="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16</w:t>
      </w:r>
      <w:r>
        <w:rPr>
          <w:rFonts w:hint="eastAsia" w:ascii="宋体" w:hAnsi="宋体" w:eastAsia="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0</w:t>
      </w:r>
      <w:r>
        <w:rPr>
          <w:rFonts w:hint="eastAsia" w:ascii="宋体" w:hAnsi="宋体" w:eastAsia="宋体" w:cs="宋体"/>
          <w:color w:val="000000" w:themeColor="text1"/>
          <w:sz w:val="24"/>
          <w:highlight w:val="none"/>
          <w:u w:val="single"/>
          <w:lang w:val="en-US" w:eastAsia="zh-CN"/>
          <w14:textFill>
            <w14:solidFill>
              <w14:schemeClr w14:val="tx1"/>
            </w14:solidFill>
          </w14:textFill>
        </w:rPr>
        <w:t>9</w:t>
      </w:r>
      <w:r>
        <w:rPr>
          <w:rFonts w:hint="eastAsia" w:ascii="宋体" w:hAnsi="宋体" w:eastAsia="宋体" w:cs="宋体"/>
          <w:color w:val="000000" w:themeColor="text1"/>
          <w:sz w:val="24"/>
          <w:highlight w:val="none"/>
          <w:u w:val="single"/>
          <w14:textFill>
            <w14:solidFill>
              <w14:schemeClr w14:val="tx1"/>
            </w14:solidFill>
          </w14:textFill>
        </w:rPr>
        <w:t>点</w:t>
      </w:r>
      <w:r>
        <w:rPr>
          <w:rFonts w:hint="eastAsia" w:ascii="宋体" w:hAnsi="宋体" w:eastAsia="宋体" w:cs="宋体"/>
          <w:color w:val="000000" w:themeColor="text1"/>
          <w:sz w:val="24"/>
          <w:highlight w:val="none"/>
          <w:u w:val="single"/>
          <w:lang w:val="en-US" w:eastAsia="zh-CN"/>
          <w14:textFill>
            <w14:solidFill>
              <w14:schemeClr w14:val="tx1"/>
            </w14:solidFill>
          </w14:textFill>
        </w:rPr>
        <w:t>00</w:t>
      </w:r>
      <w:r>
        <w:rPr>
          <w:rFonts w:hint="eastAsia" w:ascii="宋体" w:hAnsi="宋体" w:eastAsia="宋体" w:cs="宋体"/>
          <w:color w:val="000000" w:themeColor="text1"/>
          <w:sz w:val="24"/>
          <w:highlight w:val="none"/>
          <w:u w:val="single"/>
          <w14:textFill>
            <w14:solidFill>
              <w14:schemeClr w14:val="tx1"/>
            </w14:solidFill>
          </w14:textFill>
        </w:rPr>
        <w:t>分</w:t>
      </w:r>
      <w:r>
        <w:rPr>
          <w:rFonts w:hint="eastAsia" w:ascii="宋体" w:hAnsi="宋体" w:eastAsia="宋体" w:cs="宋体"/>
          <w:color w:val="000000" w:themeColor="text1"/>
          <w:sz w:val="24"/>
          <w:highlight w:val="none"/>
          <w14:textFill>
            <w14:solidFill>
              <w14:schemeClr w14:val="tx1"/>
            </w14:solidFill>
          </w14:textFill>
        </w:rPr>
        <w:t>（北京时间）</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投标地点（网址）：</w:t>
      </w:r>
      <w:r>
        <w:rPr>
          <w:rFonts w:hint="eastAsia" w:ascii="宋体" w:hAnsi="宋体" w:eastAsia="宋体" w:cs="宋体"/>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hint="eastAsia" w:ascii="宋体" w:hAnsi="宋体" w:eastAsia="宋体" w:cs="宋体"/>
          <w:bCs/>
          <w:color w:val="000000" w:themeColor="text1"/>
          <w:sz w:val="24"/>
          <w:highlight w:val="none"/>
          <w:u w:val="singl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开标时间：</w:t>
      </w:r>
      <w:r>
        <w:rPr>
          <w:rFonts w:hint="eastAsia" w:ascii="宋体" w:hAnsi="宋体" w:eastAsia="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4</w:t>
      </w:r>
      <w:r>
        <w:rPr>
          <w:rFonts w:hint="eastAsia" w:ascii="宋体" w:hAnsi="宋体" w:eastAsia="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04</w:t>
      </w:r>
      <w:r>
        <w:rPr>
          <w:rFonts w:hint="eastAsia" w:ascii="宋体" w:hAnsi="宋体" w:eastAsia="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16</w:t>
      </w:r>
      <w:r>
        <w:rPr>
          <w:rFonts w:hint="eastAsia" w:ascii="宋体" w:hAnsi="宋体" w:eastAsia="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0</w:t>
      </w:r>
      <w:r>
        <w:rPr>
          <w:rFonts w:hint="eastAsia" w:ascii="宋体" w:hAnsi="宋体" w:eastAsia="宋体" w:cs="宋体"/>
          <w:color w:val="000000" w:themeColor="text1"/>
          <w:sz w:val="24"/>
          <w:highlight w:val="none"/>
          <w:u w:val="single"/>
          <w:lang w:val="en-US" w:eastAsia="zh-CN"/>
          <w14:textFill>
            <w14:solidFill>
              <w14:schemeClr w14:val="tx1"/>
            </w14:solidFill>
          </w14:textFill>
        </w:rPr>
        <w:t>9</w:t>
      </w:r>
      <w:r>
        <w:rPr>
          <w:rFonts w:hint="eastAsia" w:ascii="宋体" w:hAnsi="宋体" w:eastAsia="宋体" w:cs="宋体"/>
          <w:color w:val="000000" w:themeColor="text1"/>
          <w:sz w:val="24"/>
          <w:highlight w:val="none"/>
          <w:u w:val="single"/>
          <w14:textFill>
            <w14:solidFill>
              <w14:schemeClr w14:val="tx1"/>
            </w14:solidFill>
          </w14:textFill>
        </w:rPr>
        <w:t>点</w:t>
      </w:r>
      <w:r>
        <w:rPr>
          <w:rFonts w:hint="eastAsia" w:ascii="宋体" w:hAnsi="宋体" w:eastAsia="宋体" w:cs="宋体"/>
          <w:color w:val="000000" w:themeColor="text1"/>
          <w:sz w:val="24"/>
          <w:highlight w:val="none"/>
          <w:u w:val="single"/>
          <w:lang w:val="en-US" w:eastAsia="zh-CN"/>
          <w14:textFill>
            <w14:solidFill>
              <w14:schemeClr w14:val="tx1"/>
            </w14:solidFill>
          </w14:textFill>
        </w:rPr>
        <w:t>00</w:t>
      </w:r>
      <w:r>
        <w:rPr>
          <w:rFonts w:hint="eastAsia" w:ascii="宋体" w:hAnsi="宋体" w:eastAsia="宋体" w:cs="宋体"/>
          <w:color w:val="000000" w:themeColor="text1"/>
          <w:sz w:val="24"/>
          <w:highlight w:val="none"/>
          <w:u w:val="single"/>
          <w14:textFill>
            <w14:solidFill>
              <w14:schemeClr w14:val="tx1"/>
            </w14:solidFill>
          </w14:textFill>
        </w:rPr>
        <w:t>分</w:t>
      </w: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开标地点（网址）：</w:t>
      </w:r>
      <w:r>
        <w:rPr>
          <w:rFonts w:hint="eastAsia" w:ascii="宋体" w:hAnsi="宋体" w:eastAsia="宋体" w:cs="宋体"/>
          <w:color w:val="000000" w:themeColor="text1"/>
          <w:sz w:val="24"/>
          <w:highlight w:val="none"/>
          <w14:textFill>
            <w14:solidFill>
              <w14:schemeClr w14:val="tx1"/>
            </w14:solidFill>
          </w14:textFill>
        </w:rPr>
        <w:t>政采云平台（https://www.zcygov.cn/）</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 xml:space="preserve">五、公告期限 </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自本公告发布之日起5个工作日。</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六、其他补充事宜</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七、对本次采购提出询问、质疑、投诉，请按以下方式联系</w:t>
      </w:r>
    </w:p>
    <w:p>
      <w:pPr>
        <w:widowControl/>
        <w:spacing w:line="360" w:lineRule="auto"/>
        <w:jc w:val="left"/>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1.采购人信息</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名称：</w:t>
      </w:r>
      <w:r>
        <w:rPr>
          <w:rFonts w:hint="eastAsia" w:ascii="宋体" w:hAnsi="宋体" w:eastAsia="宋体" w:cs="宋体"/>
          <w:color w:val="000000" w:themeColor="text1"/>
          <w:sz w:val="24"/>
          <w:highlight w:val="none"/>
          <w:lang w:eastAsia="zh-CN"/>
          <w14:textFill>
            <w14:solidFill>
              <w14:schemeClr w14:val="tx1"/>
            </w14:solidFill>
          </w14:textFill>
        </w:rPr>
        <w:t>杭州萧山经济技术开发区国有资本控股集团有限公司</w:t>
      </w:r>
    </w:p>
    <w:p>
      <w:pPr>
        <w:spacing w:line="360" w:lineRule="auto"/>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地址：杭州市萧山区建设二路146号</w:t>
      </w:r>
    </w:p>
    <w:p>
      <w:pPr>
        <w:kinsoku/>
        <w:topLinePunct w:val="0"/>
        <w:bidi w:val="0"/>
        <w:spacing w:line="360" w:lineRule="auto"/>
        <w:jc w:val="left"/>
        <w:rPr>
          <w:rFonts w:hint="default" w:ascii="宋体" w:hAnsi="宋体" w:eastAsia="宋体" w:cs="宋体"/>
          <w:color w:val="000000" w:themeColor="text1"/>
          <w:sz w:val="24"/>
          <w:szCs w:val="28"/>
          <w:highlight w:val="none"/>
          <w:lang w:val="en-US" w:eastAsia="zh-CN"/>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项目联系人（询问）：</w:t>
      </w:r>
      <w:r>
        <w:rPr>
          <w:rFonts w:hint="eastAsia" w:ascii="宋体" w:hAnsi="宋体" w:cs="宋体"/>
          <w:color w:val="000000" w:themeColor="text1"/>
          <w:sz w:val="24"/>
          <w:szCs w:val="28"/>
          <w:highlight w:val="none"/>
          <w:lang w:val="en-US" w:eastAsia="zh-CN"/>
          <w14:textFill>
            <w14:solidFill>
              <w14:schemeClr w14:val="tx1"/>
            </w14:solidFill>
          </w14:textFill>
        </w:rPr>
        <w:t>胡女士</w:t>
      </w:r>
    </w:p>
    <w:p>
      <w:pPr>
        <w:spacing w:line="360" w:lineRule="auto"/>
        <w:jc w:val="left"/>
        <w:rPr>
          <w:rFonts w:hint="default" w:ascii="宋体" w:hAnsi="宋体" w:eastAsia="宋体" w:cs="宋体"/>
          <w:color w:val="000000" w:themeColor="text1"/>
          <w:sz w:val="24"/>
          <w:szCs w:val="28"/>
          <w:highlight w:val="none"/>
          <w:lang w:val="en-US" w:eastAsia="zh-CN"/>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项目联系方式（询问）：</w:t>
      </w:r>
      <w:r>
        <w:rPr>
          <w:rFonts w:hint="eastAsia" w:ascii="宋体" w:hAnsi="宋体" w:eastAsia="宋体" w:cs="宋体"/>
          <w:color w:val="000000" w:themeColor="text1"/>
          <w:sz w:val="24"/>
          <w:szCs w:val="28"/>
          <w:highlight w:val="none"/>
          <w:lang w:eastAsia="zh-CN"/>
          <w14:textFill>
            <w14:solidFill>
              <w14:schemeClr w14:val="tx1"/>
            </w14:solidFill>
          </w14:textFill>
        </w:rPr>
        <w:t>0571</w:t>
      </w:r>
      <w:r>
        <w:rPr>
          <w:rFonts w:hint="eastAsia" w:ascii="宋体" w:hAnsi="宋体" w:eastAsia="宋体" w:cs="宋体"/>
          <w:color w:val="000000" w:themeColor="text1"/>
          <w:sz w:val="24"/>
          <w:szCs w:val="28"/>
          <w:highlight w:val="none"/>
          <w:lang w:val="en-US" w:eastAsia="zh-CN"/>
          <w14:textFill>
            <w14:solidFill>
              <w14:schemeClr w14:val="tx1"/>
            </w14:solidFill>
          </w14:textFill>
        </w:rPr>
        <w:t>-</w:t>
      </w:r>
      <w:r>
        <w:rPr>
          <w:rFonts w:hint="eastAsia" w:ascii="宋体" w:hAnsi="宋体" w:cs="宋体"/>
          <w:color w:val="000000" w:themeColor="text1"/>
          <w:sz w:val="24"/>
          <w:szCs w:val="28"/>
          <w:highlight w:val="none"/>
          <w:lang w:val="en-US" w:eastAsia="zh-CN"/>
          <w14:textFill>
            <w14:solidFill>
              <w14:schemeClr w14:val="tx1"/>
            </w14:solidFill>
          </w14:textFill>
        </w:rPr>
        <w:t>82833899</w:t>
      </w:r>
    </w:p>
    <w:p>
      <w:pPr>
        <w:kinsoku/>
        <w:topLinePunct w:val="0"/>
        <w:bidi w:val="0"/>
        <w:spacing w:line="360" w:lineRule="auto"/>
        <w:jc w:val="left"/>
        <w:rPr>
          <w:rFonts w:hint="default" w:ascii="宋体" w:hAnsi="宋体" w:eastAsia="宋体" w:cs="宋体"/>
          <w:color w:val="000000" w:themeColor="text1"/>
          <w:sz w:val="24"/>
          <w:szCs w:val="28"/>
          <w:highlight w:val="none"/>
          <w:lang w:val="en-US" w:eastAsia="zh-CN"/>
          <w14:textFill>
            <w14:solidFill>
              <w14:schemeClr w14:val="tx1"/>
            </w14:solidFill>
          </w14:textFill>
        </w:rPr>
      </w:pPr>
      <w:bookmarkStart w:id="11" w:name="_Toc28359086"/>
      <w:bookmarkStart w:id="12" w:name="_Toc28359009"/>
      <w:r>
        <w:rPr>
          <w:rFonts w:hint="eastAsia" w:ascii="宋体" w:hAnsi="宋体" w:eastAsia="宋体" w:cs="宋体"/>
          <w:color w:val="000000" w:themeColor="text1"/>
          <w:sz w:val="24"/>
          <w:szCs w:val="28"/>
          <w:highlight w:val="none"/>
          <w14:textFill>
            <w14:solidFill>
              <w14:schemeClr w14:val="tx1"/>
            </w14:solidFill>
          </w14:textFill>
        </w:rPr>
        <w:t>质疑联系人：</w:t>
      </w:r>
      <w:r>
        <w:rPr>
          <w:rFonts w:hint="eastAsia" w:ascii="宋体" w:hAnsi="宋体" w:cs="宋体"/>
          <w:color w:val="000000" w:themeColor="text1"/>
          <w:sz w:val="24"/>
          <w:szCs w:val="28"/>
          <w:highlight w:val="none"/>
          <w:lang w:val="en-US" w:eastAsia="zh-CN"/>
          <w14:textFill>
            <w14:solidFill>
              <w14:schemeClr w14:val="tx1"/>
            </w14:solidFill>
          </w14:textFill>
        </w:rPr>
        <w:t>王女士</w:t>
      </w:r>
    </w:p>
    <w:p>
      <w:pPr>
        <w:spacing w:line="360" w:lineRule="auto"/>
        <w:jc w:val="left"/>
        <w:rPr>
          <w:rFonts w:hint="default" w:ascii="宋体" w:hAnsi="宋体" w:eastAsia="宋体" w:cs="宋体"/>
          <w:color w:val="000000" w:themeColor="text1"/>
          <w:sz w:val="24"/>
          <w:szCs w:val="28"/>
          <w:highlight w:val="none"/>
          <w:lang w:val="en-US" w:eastAsia="zh-CN"/>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质疑联系方式：</w:t>
      </w:r>
      <w:r>
        <w:rPr>
          <w:rFonts w:hint="eastAsia" w:ascii="宋体" w:hAnsi="宋体" w:cs="宋体"/>
          <w:color w:val="000000" w:themeColor="text1"/>
          <w:sz w:val="24"/>
          <w:szCs w:val="28"/>
          <w:highlight w:val="none"/>
          <w:lang w:val="en-US" w:eastAsia="zh-CN"/>
          <w14:textFill>
            <w14:solidFill>
              <w14:schemeClr w14:val="tx1"/>
            </w14:solidFill>
          </w14:textFill>
        </w:rPr>
        <w:t>0571-82959758</w:t>
      </w:r>
    </w:p>
    <w:p>
      <w:pPr>
        <w:spacing w:line="360" w:lineRule="auto"/>
        <w:jc w:val="left"/>
        <w:rPr>
          <w:rFonts w:hint="default" w:ascii="宋体" w:hAnsi="宋体" w:eastAsia="宋体" w:cs="宋体"/>
          <w:color w:val="000000" w:themeColor="text1"/>
          <w:sz w:val="24"/>
          <w:szCs w:val="28"/>
          <w:highlight w:val="none"/>
          <w:u w:val="single"/>
          <w:lang w:val="en-US" w:eastAsia="zh-CN"/>
          <w14:textFill>
            <w14:solidFill>
              <w14:schemeClr w14:val="tx1"/>
            </w14:solidFill>
          </w14:textFill>
        </w:rPr>
      </w:pPr>
    </w:p>
    <w:p>
      <w:pPr>
        <w:spacing w:line="360" w:lineRule="auto"/>
        <w:jc w:val="left"/>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2.采购代理机构信息</w:t>
      </w:r>
      <w:bookmarkEnd w:id="11"/>
      <w:bookmarkEnd w:id="12"/>
    </w:p>
    <w:p>
      <w:pPr>
        <w:spacing w:line="360" w:lineRule="auto"/>
        <w:jc w:val="left"/>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名称：杭州博望建设工程招标投标代理有限公司</w:t>
      </w:r>
    </w:p>
    <w:p>
      <w:pPr>
        <w:spacing w:line="360" w:lineRule="auto"/>
        <w:jc w:val="left"/>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地址：杭州市萧山区金城路433号天汇园一幢A座5楼</w:t>
      </w:r>
    </w:p>
    <w:p>
      <w:pPr>
        <w:spacing w:line="360" w:lineRule="auto"/>
        <w:jc w:val="left"/>
        <w:rPr>
          <w:rFonts w:hint="eastAsia" w:ascii="宋体" w:hAnsi="宋体" w:eastAsia="宋体" w:cs="宋体"/>
          <w:color w:val="000000" w:themeColor="text1"/>
          <w:sz w:val="24"/>
          <w:szCs w:val="28"/>
          <w:highlight w:val="none"/>
          <w:lang w:val="en-US"/>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项目联系人（询问）：高华萍</w:t>
      </w:r>
    </w:p>
    <w:p>
      <w:pPr>
        <w:spacing w:line="360" w:lineRule="auto"/>
        <w:jc w:val="left"/>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项目联系方式（询问）：0571-838812</w:t>
      </w:r>
      <w:r>
        <w:rPr>
          <w:rFonts w:hint="eastAsia" w:ascii="宋体" w:hAnsi="宋体" w:eastAsia="宋体" w:cs="宋体"/>
          <w:color w:val="000000" w:themeColor="text1"/>
          <w:sz w:val="24"/>
          <w:szCs w:val="28"/>
          <w:highlight w:val="none"/>
          <w:lang w:val="en-US" w:eastAsia="zh-CN"/>
          <w14:textFill>
            <w14:solidFill>
              <w14:schemeClr w14:val="tx1"/>
            </w14:solidFill>
          </w14:textFill>
        </w:rPr>
        <w:t>1</w:t>
      </w:r>
      <w:r>
        <w:rPr>
          <w:rFonts w:hint="eastAsia" w:ascii="宋体" w:hAnsi="宋体" w:eastAsia="宋体" w:cs="宋体"/>
          <w:color w:val="000000" w:themeColor="text1"/>
          <w:sz w:val="24"/>
          <w:szCs w:val="28"/>
          <w:highlight w:val="none"/>
          <w14:textFill>
            <w14:solidFill>
              <w14:schemeClr w14:val="tx1"/>
            </w14:solidFill>
          </w14:textFill>
        </w:rPr>
        <w:t>8</w:t>
      </w:r>
    </w:p>
    <w:p>
      <w:pPr>
        <w:spacing w:line="360" w:lineRule="auto"/>
        <w:jc w:val="left"/>
        <w:rPr>
          <w:rFonts w:hint="eastAsia" w:ascii="宋体" w:hAnsi="宋体" w:eastAsia="宋体" w:cs="宋体"/>
          <w:color w:val="000000" w:themeColor="text1"/>
          <w:sz w:val="24"/>
          <w:szCs w:val="28"/>
          <w:highlight w:val="none"/>
          <w:lang w:val="en-US" w:eastAsia="zh-CN"/>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质疑联系人：</w:t>
      </w:r>
      <w:r>
        <w:rPr>
          <w:rFonts w:hint="eastAsia" w:ascii="宋体" w:hAnsi="宋体" w:eastAsia="宋体" w:cs="宋体"/>
          <w:color w:val="000000" w:themeColor="text1"/>
          <w:sz w:val="24"/>
          <w:szCs w:val="28"/>
          <w:highlight w:val="none"/>
          <w:lang w:eastAsia="zh-CN"/>
          <w14:textFill>
            <w14:solidFill>
              <w14:schemeClr w14:val="tx1"/>
            </w14:solidFill>
          </w14:textFill>
        </w:rPr>
        <w:t>范梦迪</w:t>
      </w:r>
    </w:p>
    <w:p>
      <w:pPr>
        <w:spacing w:line="360" w:lineRule="auto"/>
        <w:jc w:val="left"/>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质疑联系方式：0571-83881208</w:t>
      </w:r>
    </w:p>
    <w:p>
      <w:pPr>
        <w:spacing w:line="360" w:lineRule="auto"/>
        <w:jc w:val="left"/>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3.监督管理部门</w:t>
      </w:r>
    </w:p>
    <w:p>
      <w:pPr>
        <w:spacing w:line="360" w:lineRule="auto"/>
        <w:jc w:val="left"/>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名称：开发区财政局</w:t>
      </w:r>
    </w:p>
    <w:p>
      <w:pPr>
        <w:spacing w:line="360" w:lineRule="auto"/>
        <w:jc w:val="left"/>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地址：杭州市萧山区市心北路99号</w:t>
      </w:r>
    </w:p>
    <w:p>
      <w:pPr>
        <w:spacing w:line="360" w:lineRule="auto"/>
        <w:jc w:val="left"/>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联系人：倪女士</w:t>
      </w:r>
    </w:p>
    <w:p>
      <w:pPr>
        <w:spacing w:line="360" w:lineRule="auto"/>
        <w:jc w:val="left"/>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监督投诉电话：0571-82866806</w:t>
      </w:r>
    </w:p>
    <w:p>
      <w:pPr>
        <w:keepNext w:val="0"/>
        <w:keepLines w:val="0"/>
        <w:pageBreakBefore w:val="0"/>
        <w:widowControl w:val="0"/>
        <w:kinsoku/>
        <w:wordWrap w:val="0"/>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CA问题联系电话（人工）：汇信CA 400-888-4636；天谷CA 400-087-8198。</w:t>
      </w:r>
    </w:p>
    <w:p>
      <w:pPr>
        <w:adjustRightInd/>
        <w:spacing w:line="360" w:lineRule="auto"/>
        <w:jc w:val="center"/>
        <w:outlineLvl w:val="0"/>
        <w:rPr>
          <w:rFonts w:hint="eastAsia" w:ascii="宋体" w:hAnsi="宋体" w:eastAsia="宋体" w:cs="宋体"/>
          <w:b/>
          <w:color w:val="000000" w:themeColor="text1"/>
          <w:sz w:val="36"/>
          <w:szCs w:val="20"/>
          <w:highlight w:val="none"/>
          <w14:textFill>
            <w14:solidFill>
              <w14:schemeClr w14:val="tx1"/>
            </w14:solidFill>
          </w14:textFill>
        </w:rPr>
      </w:pPr>
      <w:r>
        <w:rPr>
          <w:rFonts w:hint="eastAsia" w:ascii="宋体" w:hAnsi="宋体" w:eastAsia="宋体" w:cs="宋体"/>
          <w:b/>
          <w:color w:val="000000" w:themeColor="text1"/>
          <w:sz w:val="36"/>
          <w:szCs w:val="20"/>
          <w:highlight w:val="none"/>
          <w14:textFill>
            <w14:solidFill>
              <w14:schemeClr w14:val="tx1"/>
            </w14:solidFill>
          </w14:textFill>
        </w:rPr>
        <w:br w:type="page"/>
      </w:r>
      <w:r>
        <w:rPr>
          <w:rFonts w:hint="eastAsia" w:ascii="宋体" w:hAnsi="宋体" w:eastAsia="宋体" w:cs="宋体"/>
          <w:b/>
          <w:color w:val="000000" w:themeColor="text1"/>
          <w:sz w:val="36"/>
          <w:szCs w:val="20"/>
          <w:highlight w:val="none"/>
          <w14:textFill>
            <w14:solidFill>
              <w14:schemeClr w14:val="tx1"/>
            </w14:solidFill>
          </w14:textFill>
        </w:rPr>
        <w:t>第二部分</w:t>
      </w:r>
      <w:bookmarkEnd w:id="8"/>
      <w:r>
        <w:rPr>
          <w:rFonts w:hint="eastAsia" w:ascii="宋体" w:hAnsi="宋体" w:eastAsia="宋体" w:cs="宋体"/>
          <w:b/>
          <w:color w:val="000000" w:themeColor="text1"/>
          <w:sz w:val="36"/>
          <w:szCs w:val="20"/>
          <w:highlight w:val="none"/>
          <w14:textFill>
            <w14:solidFill>
              <w14:schemeClr w14:val="tx1"/>
            </w14:solidFill>
          </w14:textFill>
        </w:rPr>
        <w:t xml:space="preserve"> 投标人须知</w:t>
      </w:r>
      <w:bookmarkEnd w:id="9"/>
    </w:p>
    <w:p>
      <w:pPr>
        <w:snapToGrid w:val="0"/>
        <w:spacing w:line="360" w:lineRule="auto"/>
        <w:jc w:val="center"/>
        <w:rPr>
          <w:rFonts w:hint="eastAsia" w:ascii="宋体" w:hAnsi="宋体" w:eastAsia="宋体" w:cs="宋体"/>
          <w:b/>
          <w:color w:val="000000" w:themeColor="text1"/>
          <w:sz w:val="32"/>
          <w:szCs w:val="20"/>
          <w:highlight w:val="none"/>
          <w14:textFill>
            <w14:solidFill>
              <w14:schemeClr w14:val="tx1"/>
            </w14:solidFill>
          </w14:textFill>
        </w:rPr>
      </w:pPr>
      <w:r>
        <w:rPr>
          <w:rFonts w:hint="eastAsia" w:ascii="宋体" w:hAnsi="宋体" w:eastAsia="宋体" w:cs="宋体"/>
          <w:b/>
          <w:color w:val="000000" w:themeColor="text1"/>
          <w:sz w:val="32"/>
          <w:szCs w:val="20"/>
          <w:highlight w:val="none"/>
          <w14:textFill>
            <w14:solidFill>
              <w14:schemeClr w14:val="tx1"/>
            </w14:solidFill>
          </w14:textFill>
        </w:rPr>
        <w:t>前附表</w:t>
      </w:r>
    </w:p>
    <w:tbl>
      <w:tblPr>
        <w:tblStyle w:val="62"/>
        <w:tblW w:w="91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393"/>
        <w:gridCol w:w="71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序号</w:t>
            </w:r>
          </w:p>
        </w:tc>
        <w:tc>
          <w:tcPr>
            <w:tcW w:w="139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事项</w:t>
            </w:r>
          </w:p>
        </w:tc>
        <w:tc>
          <w:tcPr>
            <w:tcW w:w="713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4"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139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项目属性</w:t>
            </w:r>
          </w:p>
        </w:tc>
        <w:tc>
          <w:tcPr>
            <w:tcW w:w="713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 √</w:t>
            </w:r>
            <w:r>
              <w:rPr>
                <w:rFonts w:hint="eastAsia" w:ascii="宋体" w:hAnsi="宋体" w:eastAsia="宋体" w:cs="宋体"/>
                <w:b/>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b/>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服务</w:t>
            </w:r>
            <w:r>
              <w:rPr>
                <w:rFonts w:hint="eastAsia" w:ascii="宋体" w:hAnsi="宋体" w:eastAsia="宋体" w:cs="宋体"/>
                <w:color w:val="000000" w:themeColor="text1"/>
                <w:sz w:val="24"/>
                <w:highlight w:val="none"/>
                <w14:textFill>
                  <w14:solidFill>
                    <w14:schemeClr w14:val="tx1"/>
                  </w14:solidFill>
                </w14:textFill>
              </w:rPr>
              <w:t>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59"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139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采购标的对应的中小企业划分标准所属行业</w:t>
            </w:r>
          </w:p>
        </w:tc>
        <w:tc>
          <w:tcPr>
            <w:tcW w:w="713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color w:val="000000" w:themeColor="text1"/>
                <w:kern w:val="0"/>
                <w:sz w:val="24"/>
                <w:highlight w:val="none"/>
                <w:u w:val="none"/>
                <w:lang w:eastAsia="zh-CN"/>
                <w14:textFill>
                  <w14:solidFill>
                    <w14:schemeClr w14:val="tx1"/>
                  </w14:solidFill>
                </w14:textFill>
              </w:rPr>
            </w:pP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hint="eastAsia" w:ascii="宋体" w:hAnsi="宋体" w:eastAsia="宋体" w:cs="宋体"/>
                <w:color w:val="000000" w:themeColor="text1"/>
                <w:kern w:val="0"/>
                <w:sz w:val="24"/>
                <w:highlight w:val="none"/>
                <w14:textFill>
                  <w14:solidFill>
                    <w14:schemeClr w14:val="tx1"/>
                  </w14:solidFill>
                </w14:textFill>
              </w:rPr>
              <w:t>标的：</w:t>
            </w:r>
            <w:r>
              <w:rPr>
                <w:rFonts w:hint="eastAsia" w:ascii="宋体" w:hAnsi="宋体" w:cs="宋体"/>
                <w:color w:val="000000" w:themeColor="text1"/>
                <w:kern w:val="0"/>
                <w:sz w:val="24"/>
                <w:highlight w:val="none"/>
                <w:u w:val="single"/>
                <w:lang w:val="en-US" w:eastAsia="zh-CN"/>
                <w14:textFill>
                  <w14:solidFill>
                    <w14:schemeClr w14:val="tx1"/>
                  </w14:solidFill>
                </w14:textFill>
              </w:rPr>
              <w:t>信息港文体中心委托运营服务项目</w:t>
            </w:r>
            <w:r>
              <w:rPr>
                <w:rFonts w:hint="eastAsia" w:ascii="宋体" w:hAnsi="宋体" w:eastAsia="宋体" w:cs="宋体"/>
                <w:color w:val="000000" w:themeColor="text1"/>
                <w:kern w:val="0"/>
                <w:sz w:val="24"/>
                <w:highlight w:val="none"/>
                <w14:textFill>
                  <w14:solidFill>
                    <w14:schemeClr w14:val="tx1"/>
                  </w14:solidFill>
                </w14:textFill>
              </w:rPr>
              <w:t>，属于</w:t>
            </w:r>
            <w:r>
              <w:rPr>
                <w:rFonts w:hint="eastAsia" w:ascii="宋体" w:hAnsi="宋体" w:eastAsia="宋体" w:cs="宋体"/>
                <w:color w:val="000000" w:themeColor="text1"/>
                <w:kern w:val="0"/>
                <w:sz w:val="24"/>
                <w:highlight w:val="none"/>
                <w:u w:val="single"/>
                <w14:textFill>
                  <w14:solidFill>
                    <w14:schemeClr w14:val="tx1"/>
                  </w14:solidFill>
                </w14:textFill>
              </w:rPr>
              <w:t>租赁和商务服</w:t>
            </w:r>
            <w:r>
              <w:rPr>
                <w:rFonts w:hint="eastAsia" w:ascii="宋体" w:hAnsi="宋体" w:eastAsia="宋体" w:cs="宋体"/>
                <w:i w:val="0"/>
                <w:iCs w:val="0"/>
                <w:color w:val="000000" w:themeColor="text1"/>
                <w:kern w:val="0"/>
                <w:sz w:val="24"/>
                <w:highlight w:val="none"/>
                <w:u w:val="single"/>
                <w14:textFill>
                  <w14:solidFill>
                    <w14:schemeClr w14:val="tx1"/>
                  </w14:solidFill>
                </w14:textFill>
              </w:rPr>
              <w:t>务业</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行业划分标准：</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宋体" w:hAnsi="宋体" w:eastAsia="宋体" w:cs="宋体"/>
                <w:color w:val="000000" w:themeColor="text1"/>
                <w:highlight w:val="none"/>
                <w:lang w:val="en-US"/>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1"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p>
        </w:tc>
        <w:tc>
          <w:tcPr>
            <w:tcW w:w="139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是否允许采购进口产品</w:t>
            </w:r>
          </w:p>
        </w:tc>
        <w:tc>
          <w:tcPr>
            <w:tcW w:w="713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color w:val="000000" w:themeColor="text1"/>
                <w:sz w:val="24"/>
                <w:szCs w:val="32"/>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szCs w:val="32"/>
                <w:highlight w:val="none"/>
                <w14:textFill>
                  <w14:solidFill>
                    <w14:schemeClr w14:val="tx1"/>
                  </w14:solidFill>
                </w14:textFill>
              </w:rPr>
              <w:t>本项目不允许采购进口产品。</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color w:val="000000" w:themeColor="text1"/>
                <w:sz w:val="24"/>
                <w:szCs w:val="32"/>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 xml:space="preserve">（ </w:t>
            </w:r>
            <w:r>
              <w:rPr>
                <w:rFonts w:hint="eastAsia" w:ascii="宋体" w:hAnsi="宋体" w:eastAsia="宋体" w:cs="宋体"/>
                <w:b/>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b/>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szCs w:val="32"/>
                <w:highlight w:val="none"/>
                <w14:textFill>
                  <w14:solidFill>
                    <w14:schemeClr w14:val="tx1"/>
                  </w14:solidFill>
                </w14:textFill>
              </w:rPr>
              <w:t>可以就    采购进口产品。</w:t>
            </w:r>
          </w:p>
          <w:p>
            <w:pPr>
              <w:pStyle w:val="2"/>
              <w:keepNext w:val="0"/>
              <w:keepLines w:val="0"/>
              <w:pageBreakBefore w:val="0"/>
              <w:widowControl w:val="0"/>
              <w:kinsoku/>
              <w:wordWrap/>
              <w:overflowPunct/>
              <w:topLinePunct w:val="0"/>
              <w:autoSpaceDE/>
              <w:autoSpaceDN/>
              <w:bidi w:val="0"/>
              <w:spacing w:line="440" w:lineRule="exact"/>
              <w:ind w:left="0" w:leftChars="0" w:firstLine="0" w:firstLineChars="0"/>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进口产品是指通过中国海关保关验放进入中国境内且产自境关外的产品。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5"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w:t>
            </w:r>
          </w:p>
        </w:tc>
        <w:tc>
          <w:tcPr>
            <w:tcW w:w="139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分包</w:t>
            </w:r>
          </w:p>
        </w:tc>
        <w:tc>
          <w:tcPr>
            <w:tcW w:w="713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b/>
                <w:color w:val="000000" w:themeColor="text1"/>
                <w:sz w:val="24"/>
                <w:highlight w:val="none"/>
                <w14:textFill>
                  <w14:solidFill>
                    <w14:schemeClr w14:val="tx1"/>
                  </w14:solidFill>
                </w14:textFill>
              </w:rPr>
              <w:t>）</w:t>
            </w:r>
            <w:r>
              <w:rPr>
                <w:rFonts w:hint="eastAsia" w:ascii="宋体" w:hAnsi="宋体" w:eastAsia="宋体" w:cs="宋体"/>
                <w:color w:val="000000" w:themeColor="text1"/>
                <w:kern w:val="0"/>
                <w:sz w:val="24"/>
                <w:highlight w:val="none"/>
                <w14:textFill>
                  <w14:solidFill>
                    <w14:schemeClr w14:val="tx1"/>
                  </w14:solidFill>
                </w14:textFill>
              </w:rPr>
              <w:t>A</w:t>
            </w:r>
            <w:r>
              <w:rPr>
                <w:rFonts w:hint="eastAsia" w:ascii="宋体" w:hAnsi="宋体" w:eastAsia="宋体" w:cs="宋体"/>
                <w:color w:val="000000" w:themeColor="text1"/>
                <w:sz w:val="24"/>
                <w:highlight w:val="none"/>
                <w14:textFill>
                  <w14:solidFill>
                    <w14:schemeClr w14:val="tx1"/>
                  </w14:solidFill>
                </w14:textFill>
              </w:rPr>
              <w:t>同意将非主体、非关键性的工作分包。</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w:t>
            </w:r>
            <w:r>
              <w:rPr>
                <w:rFonts w:hint="eastAsia" w:ascii="宋体" w:hAnsi="宋体" w:eastAsia="宋体" w:cs="宋体"/>
                <w:color w:val="000000" w:themeColor="text1"/>
                <w:kern w:val="0"/>
                <w:sz w:val="24"/>
                <w:highlight w:val="none"/>
                <w14:textFill>
                  <w14:solidFill>
                    <w14:schemeClr w14:val="tx1"/>
                  </w14:solidFill>
                </w14:textFill>
              </w:rPr>
              <w:t>B</w:t>
            </w:r>
            <w:r>
              <w:rPr>
                <w:rFonts w:hint="eastAsia" w:ascii="宋体" w:hAnsi="宋体" w:eastAsia="宋体" w:cs="宋体"/>
                <w:color w:val="000000" w:themeColor="text1"/>
                <w:sz w:val="24"/>
                <w:highlight w:val="none"/>
                <w14:textFill>
                  <w14:solidFill>
                    <w14:schemeClr w14:val="tx1"/>
                  </w14:solidFill>
                </w14:textFill>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w:t>
            </w:r>
          </w:p>
        </w:tc>
        <w:tc>
          <w:tcPr>
            <w:tcW w:w="139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开标前答疑会或现场考察</w:t>
            </w:r>
          </w:p>
        </w:tc>
        <w:tc>
          <w:tcPr>
            <w:tcW w:w="713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w:t>
            </w:r>
            <w:r>
              <w:rPr>
                <w:rFonts w:hint="eastAsia" w:ascii="宋体" w:hAnsi="宋体" w:eastAsia="宋体" w:cs="宋体"/>
                <w:color w:val="000000" w:themeColor="text1"/>
                <w:kern w:val="0"/>
                <w:sz w:val="24"/>
                <w:highlight w:val="none"/>
                <w14:textFill>
                  <w14:solidFill>
                    <w14:schemeClr w14:val="tx1"/>
                  </w14:solidFill>
                </w14:textFill>
              </w:rPr>
              <w:t>A</w:t>
            </w:r>
            <w:r>
              <w:rPr>
                <w:rFonts w:hint="eastAsia" w:ascii="宋体" w:hAnsi="宋体" w:eastAsia="宋体" w:cs="宋体"/>
                <w:color w:val="000000" w:themeColor="text1"/>
                <w:sz w:val="24"/>
                <w:highlight w:val="none"/>
                <w14:textFill>
                  <w14:solidFill>
                    <w14:schemeClr w14:val="tx1"/>
                  </w14:solidFill>
                </w14:textFill>
              </w:rPr>
              <w:t>不组织。</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  ）</w:t>
            </w:r>
            <w:r>
              <w:rPr>
                <w:rFonts w:hint="eastAsia" w:ascii="宋体" w:hAnsi="宋体" w:eastAsia="宋体" w:cs="宋体"/>
                <w:color w:val="000000" w:themeColor="text1"/>
                <w:kern w:val="0"/>
                <w:sz w:val="24"/>
                <w:highlight w:val="none"/>
                <w14:textFill>
                  <w14:solidFill>
                    <w14:schemeClr w14:val="tx1"/>
                  </w14:solidFill>
                </w14:textFill>
              </w:rPr>
              <w:t>B组织</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时间：</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lang w:val="en-US" w:eastAsia="zh-CN"/>
                <w14:textFill>
                  <w14:solidFill>
                    <w14:schemeClr w14:val="tx1"/>
                  </w14:solidFill>
                </w14:textFill>
              </w:rPr>
              <w:t>/</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,地点：</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lang w:val="en-US" w:eastAsia="zh-CN"/>
                <w14:textFill>
                  <w14:solidFill>
                    <w14:schemeClr w14:val="tx1"/>
                  </w14:solidFill>
                </w14:textFill>
              </w:rPr>
              <w:t>/</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color w:val="000000" w:themeColor="text1"/>
                <w:sz w:val="24"/>
                <w:szCs w:val="20"/>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lang w:val="en-US" w:eastAsia="zh-CN"/>
                <w14:textFill>
                  <w14:solidFill>
                    <w14:schemeClr w14:val="tx1"/>
                  </w14:solidFill>
                </w14:textFill>
              </w:rPr>
              <w:t>/</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none"/>
                <w:lang w:eastAsia="zh-CN"/>
                <w14:textFill>
                  <w14:solidFill>
                    <w14:schemeClr w14:val="tx1"/>
                  </w14:solidFill>
                </w14:textFill>
              </w:rPr>
              <w:t>；</w:t>
            </w:r>
            <w:r>
              <w:rPr>
                <w:rFonts w:hint="eastAsia" w:ascii="宋体" w:hAnsi="宋体" w:eastAsia="宋体" w:cs="宋体"/>
                <w:color w:val="000000" w:themeColor="text1"/>
                <w:sz w:val="24"/>
                <w:highlight w:val="none"/>
                <w:u w:val="none"/>
                <w:lang w:val="en-US" w:eastAsia="zh-CN"/>
                <w14:textFill>
                  <w14:solidFill>
                    <w14:schemeClr w14:val="tx1"/>
                  </w14:solidFill>
                </w14:textFill>
              </w:rPr>
              <w:t>其他说明：/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2"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w:t>
            </w:r>
          </w:p>
        </w:tc>
        <w:tc>
          <w:tcPr>
            <w:tcW w:w="139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样品提供</w:t>
            </w:r>
          </w:p>
        </w:tc>
        <w:tc>
          <w:tcPr>
            <w:tcW w:w="713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b w:val="0"/>
                <w:bCs/>
                <w:color w:val="000000" w:themeColor="text1"/>
                <w:sz w:val="24"/>
                <w:highlight w:val="none"/>
                <w14:textFill>
                  <w14:solidFill>
                    <w14:schemeClr w14:val="tx1"/>
                  </w14:solidFill>
                </w14:textFill>
              </w:rPr>
            </w:pPr>
            <w:r>
              <w:rPr>
                <w:rFonts w:hint="eastAsia" w:ascii="宋体" w:hAnsi="宋体" w:eastAsia="宋体" w:cs="宋体"/>
                <w:b/>
                <w:bCs w:val="0"/>
                <w:color w:val="000000" w:themeColor="text1"/>
                <w:sz w:val="24"/>
                <w:highlight w:val="none"/>
                <w14:textFill>
                  <w14:solidFill>
                    <w14:schemeClr w14:val="tx1"/>
                  </w14:solidFill>
                </w14:textFill>
              </w:rPr>
              <w:t>（√）</w:t>
            </w:r>
            <w:r>
              <w:rPr>
                <w:rFonts w:hint="eastAsia" w:ascii="宋体" w:hAnsi="宋体" w:eastAsia="宋体" w:cs="宋体"/>
                <w:b w:val="0"/>
                <w:bCs/>
                <w:color w:val="000000" w:themeColor="text1"/>
                <w:sz w:val="24"/>
                <w:highlight w:val="none"/>
                <w14:textFill>
                  <w14:solidFill>
                    <w14:schemeClr w14:val="tx1"/>
                  </w14:solidFill>
                </w14:textFill>
              </w:rPr>
              <w:t>A不要求提供。</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eastAsia="宋体" w:cs="宋体"/>
                <w:b/>
                <w:bCs w:val="0"/>
                <w:color w:val="000000" w:themeColor="text1"/>
                <w:sz w:val="24"/>
                <w:highlight w:val="none"/>
                <w14:textFill>
                  <w14:solidFill>
                    <w14:schemeClr w14:val="tx1"/>
                  </w14:solidFill>
                </w14:textFill>
              </w:rPr>
              <w:t>（  ）</w:t>
            </w:r>
            <w:r>
              <w:rPr>
                <w:rFonts w:hint="eastAsia" w:ascii="宋体" w:hAnsi="宋体" w:eastAsia="宋体" w:cs="宋体"/>
                <w:b w:val="0"/>
                <w:bCs/>
                <w:color w:val="000000" w:themeColor="text1"/>
                <w:sz w:val="24"/>
                <w:highlight w:val="none"/>
                <w14:textFill>
                  <w14:solidFill>
                    <w14:schemeClr w14:val="tx1"/>
                  </w14:solidFill>
                </w14:textFill>
              </w:rPr>
              <w:t>B要求提供</w:t>
            </w:r>
            <w:r>
              <w:rPr>
                <w:rFonts w:hint="eastAsia" w:ascii="宋体" w:hAnsi="宋体" w:eastAsia="宋体" w:cs="宋体"/>
                <w:b w:val="0"/>
                <w:bCs/>
                <w:color w:val="000000" w:themeColor="text1"/>
                <w:sz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1"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w:t>
            </w:r>
          </w:p>
        </w:tc>
        <w:tc>
          <w:tcPr>
            <w:tcW w:w="139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方案讲解演示</w:t>
            </w:r>
          </w:p>
        </w:tc>
        <w:tc>
          <w:tcPr>
            <w:tcW w:w="713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w:t>
            </w:r>
            <w:r>
              <w:rPr>
                <w:rFonts w:hint="eastAsia" w:ascii="宋体" w:hAnsi="宋体" w:eastAsia="宋体" w:cs="宋体"/>
                <w:b/>
                <w:bCs w:val="0"/>
                <w:color w:val="000000" w:themeColor="text1"/>
                <w:sz w:val="24"/>
                <w:highlight w:val="none"/>
                <w14:textFill>
                  <w14:solidFill>
                    <w14:schemeClr w14:val="tx1"/>
                  </w14:solidFill>
                </w14:textFill>
              </w:rPr>
              <w:t>√</w:t>
            </w:r>
            <w:r>
              <w:rPr>
                <w:rFonts w:hint="eastAsia" w:ascii="宋体" w:hAnsi="宋体" w:eastAsia="宋体" w:cs="宋体"/>
                <w:b/>
                <w:color w:val="000000" w:themeColor="text1"/>
                <w:sz w:val="24"/>
                <w:highlight w:val="none"/>
                <w14:textFill>
                  <w14:solidFill>
                    <w14:schemeClr w14:val="tx1"/>
                  </w14:solidFill>
                </w14:textFill>
              </w:rPr>
              <w:t>）</w:t>
            </w:r>
            <w:r>
              <w:rPr>
                <w:rFonts w:hint="eastAsia" w:ascii="宋体" w:hAnsi="宋体" w:eastAsia="宋体" w:cs="宋体"/>
                <w:color w:val="000000" w:themeColor="text1"/>
                <w:kern w:val="0"/>
                <w:sz w:val="24"/>
                <w:highlight w:val="none"/>
                <w14:textFill>
                  <w14:solidFill>
                    <w14:schemeClr w14:val="tx1"/>
                  </w14:solidFill>
                </w14:textFill>
              </w:rPr>
              <w:t>A</w:t>
            </w:r>
            <w:r>
              <w:rPr>
                <w:rFonts w:hint="eastAsia" w:ascii="宋体" w:hAnsi="宋体" w:eastAsia="宋体" w:cs="宋体"/>
                <w:color w:val="000000" w:themeColor="text1"/>
                <w:kern w:val="0"/>
                <w:sz w:val="24"/>
                <w:highlight w:val="none"/>
                <w:lang w:val="en-US" w:eastAsia="zh-CN"/>
                <w14:textFill>
                  <w14:solidFill>
                    <w14:schemeClr w14:val="tx1"/>
                  </w14:solidFill>
                </w14:textFill>
              </w:rPr>
              <w:t>不</w:t>
            </w:r>
            <w:r>
              <w:rPr>
                <w:rFonts w:hint="eastAsia" w:ascii="宋体" w:hAnsi="宋体" w:eastAsia="宋体" w:cs="宋体"/>
                <w:color w:val="000000" w:themeColor="text1"/>
                <w:sz w:val="24"/>
                <w:highlight w:val="none"/>
                <w14:textFill>
                  <w14:solidFill>
                    <w14:schemeClr w14:val="tx1"/>
                  </w14:solidFill>
                </w14:textFill>
              </w:rPr>
              <w:t>组织。</w:t>
            </w:r>
          </w:p>
          <w:p>
            <w:pPr>
              <w:keepNext w:val="0"/>
              <w:keepLines w:val="0"/>
              <w:pageBreakBefore w:val="0"/>
              <w:widowControl w:val="0"/>
              <w:kinsoku/>
              <w:wordWrap/>
              <w:overflowPunct/>
              <w:topLinePunct w:val="0"/>
              <w:autoSpaceDE/>
              <w:autoSpaceDN/>
              <w:bidi w:val="0"/>
              <w:adjustRightInd w:val="0"/>
              <w:spacing w:after="0" w:line="440" w:lineRule="exact"/>
              <w:textAlignment w:val="auto"/>
              <w:rPr>
                <w:rFonts w:hint="eastAsia" w:ascii="宋体" w:hAnsi="宋体" w:eastAsia="宋体" w:cs="宋体"/>
                <w:b/>
                <w:color w:val="000000" w:themeColor="text1"/>
                <w:kern w:val="0"/>
                <w:sz w:val="24"/>
                <w:highlight w:val="none"/>
                <w:lang w:val="zh-CN"/>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b/>
                <w:color w:val="000000" w:themeColor="text1"/>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B</w:t>
            </w:r>
            <w:r>
              <w:rPr>
                <w:rFonts w:hint="eastAsia" w:ascii="宋体" w:hAnsi="宋体" w:eastAsia="宋体" w:cs="宋体"/>
                <w:color w:val="000000" w:themeColor="text1"/>
                <w:sz w:val="24"/>
                <w:highlight w:val="none"/>
                <w14:textFill>
                  <w14:solidFill>
                    <w14:schemeClr w14:val="tx1"/>
                  </w14:solidFill>
                </w14:textFill>
              </w:rPr>
              <w:t>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6" w:hRule="atLeast"/>
          <w:tblHeader/>
          <w:jc w:val="center"/>
        </w:trPr>
        <w:tc>
          <w:tcPr>
            <w:tcW w:w="629" w:type="dxa"/>
            <w:vMerge w:val="restart"/>
            <w:tcBorders>
              <w:top w:val="single" w:color="auto" w:sz="4" w:space="0"/>
              <w:left w:val="single" w:color="auto" w:sz="4" w:space="0"/>
              <w:right w:val="single" w:color="auto" w:sz="4" w:space="0"/>
            </w:tcBorders>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8</w:t>
            </w:r>
          </w:p>
        </w:tc>
        <w:tc>
          <w:tcPr>
            <w:tcW w:w="1393" w:type="dxa"/>
            <w:vMerge w:val="restart"/>
            <w:tcBorders>
              <w:top w:val="single" w:color="000000" w:sz="8" w:space="0"/>
              <w:left w:val="single" w:color="auto" w:sz="4" w:space="0"/>
              <w:right w:val="single" w:color="000000" w:sz="8" w:space="0"/>
            </w:tcBorders>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投标人应当提供的资格、资信证明文件</w:t>
            </w:r>
          </w:p>
        </w:tc>
        <w:tc>
          <w:tcPr>
            <w:tcW w:w="7132"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（1）资格证明文件：见招标文件第二部分11.1。</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vMerge w:val="continue"/>
            <w:tcBorders>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tc>
        <w:tc>
          <w:tcPr>
            <w:tcW w:w="1393" w:type="dxa"/>
            <w:vMerge w:val="continue"/>
            <w:tcBorders>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
                <w:color w:val="000000" w:themeColor="text1"/>
                <w:sz w:val="24"/>
                <w:highlight w:val="none"/>
                <w14:textFill>
                  <w14:solidFill>
                    <w14:schemeClr w14:val="tx1"/>
                  </w14:solidFill>
                </w14:textFill>
              </w:rPr>
            </w:pPr>
          </w:p>
        </w:tc>
        <w:tc>
          <w:tcPr>
            <w:tcW w:w="7132"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9</w:t>
            </w:r>
          </w:p>
        </w:tc>
        <w:tc>
          <w:tcPr>
            <w:tcW w:w="139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 w:val="0"/>
                <w:bCs/>
                <w:color w:val="000000" w:themeColor="text1"/>
                <w:sz w:val="24"/>
                <w:highlight w:val="none"/>
                <w14:textFill>
                  <w14:solidFill>
                    <w14:schemeClr w14:val="tx1"/>
                  </w14:solidFill>
                </w14:textFill>
              </w:rPr>
            </w:pPr>
            <w:r>
              <w:rPr>
                <w:rFonts w:hint="eastAsia" w:ascii="宋体" w:hAnsi="宋体" w:eastAsia="宋体" w:cs="宋体"/>
                <w:b/>
                <w:bCs w:val="0"/>
                <w:color w:val="000000" w:themeColor="text1"/>
                <w:sz w:val="24"/>
                <w:highlight w:val="none"/>
                <w14:textFill>
                  <w14:solidFill>
                    <w14:schemeClr w14:val="tx1"/>
                  </w14:solidFill>
                </w14:textFill>
              </w:rPr>
              <w:t>报价要求</w:t>
            </w:r>
          </w:p>
        </w:tc>
        <w:tc>
          <w:tcPr>
            <w:tcW w:w="713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color w:val="000000" w:themeColor="text1"/>
                <w:kern w:val="0"/>
                <w:sz w:val="24"/>
                <w:highlight w:val="none"/>
                <w:lang w:val="zh-CN"/>
                <w14:textFill>
                  <w14:solidFill>
                    <w14:schemeClr w14:val="tx1"/>
                  </w14:solidFill>
                </w14:textFill>
              </w:rPr>
            </w:pPr>
            <w:r>
              <w:rPr>
                <w:rFonts w:hint="eastAsia" w:ascii="宋体" w:hAnsi="宋体" w:eastAsia="宋体" w:cs="宋体"/>
                <w:b w:val="0"/>
                <w:bCs/>
                <w:color w:val="000000" w:themeColor="text1"/>
                <w:kern w:val="0"/>
                <w:sz w:val="24"/>
                <w:highlight w:val="none"/>
                <w:lang w:val="zh-CN"/>
                <w14:textFill>
                  <w14:solidFill>
                    <w14:schemeClr w14:val="tx1"/>
                  </w14:solidFill>
                </w14:textFill>
              </w:rPr>
              <w:t>有关本项目实施所需的所有费用（含税费）均计入报价。</w:t>
            </w:r>
            <w:r>
              <w:rPr>
                <w:rFonts w:hint="eastAsia" w:ascii="宋体" w:hAnsi="宋体" w:eastAsia="宋体" w:cs="宋体"/>
                <w:b w:val="0"/>
                <w:bCs/>
                <w:color w:val="000000" w:themeColor="text1"/>
                <w:kern w:val="0"/>
                <w:sz w:val="24"/>
                <w:highlight w:val="none"/>
                <w14:textFill>
                  <w14:solidFill>
                    <w14:schemeClr w14:val="tx1"/>
                  </w14:solidFill>
                </w14:textFill>
              </w:rPr>
              <w:t>开标一览表（报价表）是报价的唯一载体</w:t>
            </w:r>
            <w:r>
              <w:rPr>
                <w:rFonts w:hint="eastAsia" w:ascii="宋体" w:hAnsi="宋体" w:eastAsia="宋体" w:cs="宋体"/>
                <w:b w:val="0"/>
                <w:bCs/>
                <w:color w:val="000000" w:themeColor="text1"/>
                <w:kern w:val="0"/>
                <w:sz w:val="24"/>
                <w:highlight w:val="none"/>
                <w:lang w:val="zh-CN"/>
                <w14:textFill>
                  <w14:solidFill>
                    <w14:schemeClr w14:val="tx1"/>
                  </w14:solidFill>
                </w14:textFill>
              </w:rPr>
              <w:t>。投标文件中价格全部采用人民币报价。招标文件未列明，而投标人认为必需的费用也需列入报价。提醒：验收时检测费用由采购人承担，不包含在投标总价中。</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b w:val="0"/>
                <w:bCs/>
                <w:color w:val="000000" w:themeColor="text1"/>
                <w:kern w:val="0"/>
                <w:sz w:val="24"/>
                <w:highlight w:val="none"/>
                <w:lang w:val="zh-CN"/>
                <w14:textFill>
                  <w14:solidFill>
                    <w14:schemeClr w14:val="tx1"/>
                  </w14:solidFill>
                </w14:textFill>
              </w:rPr>
            </w:pPr>
            <w:r>
              <w:rPr>
                <w:rFonts w:hint="eastAsia" w:ascii="宋体" w:hAnsi="宋体" w:eastAsia="宋体" w:cs="宋体"/>
                <w:b w:val="0"/>
                <w:bCs/>
                <w:color w:val="000000" w:themeColor="text1"/>
                <w:kern w:val="0"/>
                <w:sz w:val="24"/>
                <w:highlight w:val="none"/>
                <w:lang w:val="zh-CN"/>
                <w14:textFill>
                  <w14:solidFill>
                    <w14:schemeClr w14:val="tx1"/>
                  </w14:solidFill>
                </w14:textFill>
              </w:rPr>
              <w:t>投标报价出现下列情形的，投标无效：</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color w:val="000000" w:themeColor="text1"/>
                <w:kern w:val="0"/>
                <w:sz w:val="24"/>
                <w:highlight w:val="none"/>
                <w:lang w:val="zh-CN"/>
                <w14:textFill>
                  <w14:solidFill>
                    <w14:schemeClr w14:val="tx1"/>
                  </w14:solidFill>
                </w14:textFill>
              </w:rPr>
            </w:pPr>
            <w:r>
              <w:rPr>
                <w:rFonts w:hint="eastAsia" w:ascii="宋体" w:hAnsi="宋体" w:eastAsia="宋体" w:cs="宋体"/>
                <w:b w:val="0"/>
                <w:bCs/>
                <w:color w:val="000000" w:themeColor="text1"/>
                <w:kern w:val="0"/>
                <w:sz w:val="24"/>
                <w:highlight w:val="none"/>
                <w:lang w:val="zh-CN"/>
                <w14:textFill>
                  <w14:solidFill>
                    <w14:schemeClr w14:val="tx1"/>
                  </w14:solidFill>
                </w14:textFill>
              </w:rPr>
              <w:t>投标文件出现不是唯一的、有选择性投标报价的；</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color w:val="000000" w:themeColor="text1"/>
                <w:kern w:val="0"/>
                <w:sz w:val="24"/>
                <w:highlight w:val="none"/>
                <w:lang w:val="zh-CN"/>
                <w14:textFill>
                  <w14:solidFill>
                    <w14:schemeClr w14:val="tx1"/>
                  </w14:solidFill>
                </w14:textFill>
              </w:rPr>
            </w:pPr>
            <w:r>
              <w:rPr>
                <w:rFonts w:hint="eastAsia" w:ascii="宋体" w:hAnsi="宋体" w:eastAsia="宋体" w:cs="宋体"/>
                <w:b w:val="0"/>
                <w:bCs/>
                <w:color w:val="000000" w:themeColor="text1"/>
                <w:kern w:val="0"/>
                <w:sz w:val="24"/>
                <w:highlight w:val="none"/>
                <w:lang w:val="zh-CN"/>
                <w14:textFill>
                  <w14:solidFill>
                    <w14:schemeClr w14:val="tx1"/>
                  </w14:solidFill>
                </w14:textFill>
              </w:rPr>
              <w:t>投标报价超过招标文件中规定的预算金额或者最高限价的</w:t>
            </w:r>
            <w:r>
              <w:rPr>
                <w:rFonts w:hint="eastAsia" w:ascii="宋体" w:hAnsi="宋体" w:cs="宋体"/>
                <w:b w:val="0"/>
                <w:bCs/>
                <w:color w:val="000000" w:themeColor="text1"/>
                <w:kern w:val="0"/>
                <w:sz w:val="24"/>
                <w:highlight w:val="none"/>
                <w:lang w:val="zh-CN"/>
                <w14:textFill>
                  <w14:solidFill>
                    <w14:schemeClr w14:val="tx1"/>
                  </w14:solidFill>
                </w14:textFill>
              </w:rPr>
              <w:t>；</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color w:val="000000" w:themeColor="text1"/>
                <w:kern w:val="0"/>
                <w:sz w:val="24"/>
                <w:highlight w:val="none"/>
                <w:lang w:eastAsia="zh-CN"/>
                <w14:textFill>
                  <w14:solidFill>
                    <w14:schemeClr w14:val="tx1"/>
                  </w14:solidFill>
                </w14:textFill>
              </w:rPr>
            </w:pPr>
            <w:r>
              <w:rPr>
                <w:rFonts w:hint="eastAsia" w:ascii="宋体" w:hAnsi="宋体" w:eastAsia="宋体" w:cs="宋体"/>
                <w:b w:val="0"/>
                <w:bCs/>
                <w:color w:val="000000" w:themeColor="text1"/>
                <w:kern w:val="0"/>
                <w:sz w:val="24"/>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val="0"/>
                <w:bCs/>
                <w:color w:val="000000" w:themeColor="text1"/>
                <w:kern w:val="0"/>
                <w:sz w:val="24"/>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color w:val="000000" w:themeColor="text1"/>
                <w:kern w:val="0"/>
                <w:sz w:val="24"/>
                <w:highlight w:val="none"/>
                <w14:textFill>
                  <w14:solidFill>
                    <w14:schemeClr w14:val="tx1"/>
                  </w14:solidFill>
                </w14:textFill>
              </w:rPr>
            </w:pPr>
            <w:r>
              <w:rPr>
                <w:rFonts w:hint="eastAsia" w:ascii="宋体" w:hAnsi="宋体" w:eastAsia="宋体" w:cs="宋体"/>
                <w:b w:val="0"/>
                <w:bCs/>
                <w:color w:val="000000" w:themeColor="text1"/>
                <w:kern w:val="0"/>
                <w:sz w:val="24"/>
                <w:highlight w:val="none"/>
                <w14:textFill>
                  <w14:solidFill>
                    <w14:schemeClr w14:val="tx1"/>
                  </w14:solidFill>
                </w14:textFill>
              </w:rPr>
              <w:t>投标人对根据修正原则修正后的报价不确认的。</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color w:val="000000" w:themeColor="text1"/>
                <w:highlight w:val="none"/>
                <w14:textFill>
                  <w14:solidFill>
                    <w14:schemeClr w14:val="tx1"/>
                  </w14:solidFill>
                </w14:textFill>
              </w:rPr>
            </w:pPr>
            <w:r>
              <w:rPr>
                <w:rFonts w:hint="eastAsia" w:ascii="宋体" w:hAnsi="宋体" w:eastAsia="宋体" w:cs="宋体"/>
                <w:b w:val="0"/>
                <w:bCs/>
                <w:color w:val="000000" w:themeColor="text1"/>
                <w:kern w:val="0"/>
                <w:sz w:val="24"/>
                <w:highlight w:val="none"/>
                <w14:textFill>
                  <w14:solidFill>
                    <w14:schemeClr w14:val="tx1"/>
                  </w14:solidFill>
                </w14:textFill>
              </w:rPr>
              <w:t>资格文件、商务技术文件与报价文件未分开制作</w:t>
            </w:r>
            <w:r>
              <w:rPr>
                <w:rFonts w:hint="eastAsia" w:ascii="宋体" w:hAnsi="宋体" w:eastAsia="宋体" w:cs="宋体"/>
                <w:b w:val="0"/>
                <w:bCs/>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jc w:val="center"/>
        </w:trPr>
        <w:tc>
          <w:tcPr>
            <w:tcW w:w="629" w:type="dxa"/>
            <w:vMerge w:val="restart"/>
            <w:tcBorders>
              <w:top w:val="single" w:color="auto" w:sz="4" w:space="0"/>
              <w:left w:val="single" w:color="000000" w:sz="8" w:space="0"/>
              <w:right w:val="single" w:color="000000" w:sz="2" w:space="0"/>
            </w:tcBorders>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0</w:t>
            </w:r>
          </w:p>
        </w:tc>
        <w:tc>
          <w:tcPr>
            <w:tcW w:w="1393" w:type="dxa"/>
            <w:vMerge w:val="restart"/>
            <w:tcBorders>
              <w:top w:val="single" w:color="000000" w:sz="8" w:space="0"/>
              <w:left w:val="single" w:color="000000" w:sz="2" w:space="0"/>
              <w:right w:val="single" w:color="000000" w:sz="8" w:space="0"/>
            </w:tcBorders>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中小企业信用融资</w:t>
            </w:r>
          </w:p>
        </w:tc>
        <w:tc>
          <w:tcPr>
            <w:tcW w:w="713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napToGrid w:val="0"/>
              <w:spacing w:line="440" w:lineRule="exact"/>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本项目支持《杭州市萧山区政府采购支持中小企业信用融资暂行办法》。</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有融资需求的中标供应商可参照相关规定及银行方案凭政府采购合同向相关合作银行提出信用融资（贷款）申请。</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详见</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jc w:val="center"/>
        </w:trPr>
        <w:tc>
          <w:tcPr>
            <w:tcW w:w="629" w:type="dxa"/>
            <w:vMerge w:val="continue"/>
            <w:tcBorders>
              <w:left w:val="single" w:color="000000" w:sz="8" w:space="0"/>
              <w:right w:val="single" w:color="000000" w:sz="2" w:space="0"/>
            </w:tcBorders>
            <w:vAlign w:val="center"/>
          </w:tcPr>
          <w:p>
            <w:pPr>
              <w:keepNext w:val="0"/>
              <w:keepLines w:val="0"/>
              <w:pageBreakBefore w:val="0"/>
              <w:kinsoku/>
              <w:wordWrap/>
              <w:overflowPunct/>
              <w:topLinePunct w:val="0"/>
              <w:autoSpaceDE/>
              <w:autoSpaceDN/>
              <w:bidi w:val="0"/>
              <w:spacing w:line="440" w:lineRule="exact"/>
              <w:ind w:firstLine="420" w:firstLineChars="200"/>
              <w:jc w:val="center"/>
              <w:textAlignment w:val="auto"/>
              <w:rPr>
                <w:rFonts w:hint="eastAsia" w:ascii="宋体" w:hAnsi="宋体" w:eastAsia="宋体" w:cs="宋体"/>
                <w:color w:val="000000" w:themeColor="text1"/>
                <w:highlight w:val="none"/>
                <w14:textFill>
                  <w14:solidFill>
                    <w14:schemeClr w14:val="tx1"/>
                  </w14:solidFill>
                </w14:textFill>
              </w:rPr>
            </w:pPr>
          </w:p>
        </w:tc>
        <w:tc>
          <w:tcPr>
            <w:tcW w:w="1393" w:type="dxa"/>
            <w:vMerge w:val="continue"/>
            <w:tcBorders>
              <w:left w:val="single" w:color="000000" w:sz="2" w:space="0"/>
              <w:right w:val="single" w:color="000000" w:sz="8" w:space="0"/>
            </w:tcBorders>
            <w:vAlign w:val="center"/>
          </w:tcPr>
          <w:p>
            <w:pPr>
              <w:keepNext w:val="0"/>
              <w:keepLines w:val="0"/>
              <w:pageBreakBefore w:val="0"/>
              <w:kinsoku/>
              <w:wordWrap/>
              <w:overflowPunct/>
              <w:topLinePunct w:val="0"/>
              <w:autoSpaceDE/>
              <w:autoSpaceDN/>
              <w:bidi w:val="0"/>
              <w:spacing w:line="440" w:lineRule="exact"/>
              <w:ind w:firstLine="420" w:firstLineChars="200"/>
              <w:jc w:val="center"/>
              <w:textAlignment w:val="auto"/>
              <w:rPr>
                <w:rFonts w:hint="eastAsia" w:ascii="宋体" w:hAnsi="宋体" w:eastAsia="宋体" w:cs="宋体"/>
                <w:color w:val="000000" w:themeColor="text1"/>
                <w:highlight w:val="none"/>
                <w14:textFill>
                  <w14:solidFill>
                    <w14:schemeClr w14:val="tx1"/>
                  </w14:solidFill>
                </w14:textFill>
              </w:rPr>
            </w:pPr>
          </w:p>
        </w:tc>
        <w:tc>
          <w:tcPr>
            <w:tcW w:w="713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eastAsia="宋体" w:cs="宋体"/>
                <w:snapToGrid w:val="0"/>
                <w:color w:val="000000" w:themeColor="text1"/>
                <w:kern w:val="28"/>
                <w:sz w:val="24"/>
                <w:highlight w:val="none"/>
                <w14:textFill>
                  <w14:solidFill>
                    <w14:schemeClr w14:val="tx1"/>
                  </w14:solidFill>
                </w14:textFill>
              </w:rPr>
            </w:pPr>
            <w:r>
              <w:rPr>
                <w:rFonts w:hint="eastAsia" w:ascii="宋体" w:hAnsi="宋体" w:eastAsia="宋体" w:cs="宋体"/>
                <w:snapToGrid w:val="0"/>
                <w:color w:val="000000" w:themeColor="text1"/>
                <w:kern w:val="28"/>
                <w:sz w:val="24"/>
                <w:highlight w:val="none"/>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3"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1</w:t>
            </w:r>
          </w:p>
        </w:tc>
        <w:tc>
          <w:tcPr>
            <w:tcW w:w="139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备份投标文件</w:t>
            </w:r>
          </w:p>
        </w:tc>
        <w:tc>
          <w:tcPr>
            <w:tcW w:w="7132" w:type="dxa"/>
            <w:tcBorders>
              <w:top w:val="single" w:color="000000" w:sz="8" w:space="0"/>
              <w:left w:val="single" w:color="000000" w:sz="2" w:space="0"/>
              <w:bottom w:val="single" w:color="000000" w:sz="8" w:space="0"/>
              <w:right w:val="single" w:color="000000" w:sz="8" w:space="0"/>
            </w:tcBorders>
            <w:vAlign w:val="center"/>
          </w:tcPr>
          <w:p>
            <w:pPr>
              <w:pStyle w:val="34"/>
              <w:keepNext w:val="0"/>
              <w:keepLines w:val="0"/>
              <w:pageBreakBefore w:val="0"/>
              <w:kinsoku/>
              <w:wordWrap/>
              <w:overflowPunct/>
              <w:topLinePunct w:val="0"/>
              <w:autoSpaceDE/>
              <w:autoSpaceDN/>
              <w:bidi w:val="0"/>
              <w:spacing w:line="440" w:lineRule="exact"/>
              <w:ind w:left="0" w:leftChars="0" w:hanging="4" w:firstLineChars="0"/>
              <w:textAlignment w:val="auto"/>
              <w:rPr>
                <w:rFonts w:hint="eastAsia" w:ascii="宋体" w:hAnsi="宋体" w:eastAsia="宋体" w:cs="宋体"/>
                <w:color w:val="000000" w:themeColor="text1"/>
                <w:kern w:val="28"/>
                <w:sz w:val="24"/>
                <w:highlight w:val="none"/>
                <w:lang w:val="en-US" w:eastAsia="zh-CN"/>
                <w14:textFill>
                  <w14:solidFill>
                    <w14:schemeClr w14:val="tx1"/>
                  </w14:solidFill>
                </w14:textFill>
              </w:rPr>
            </w:pPr>
            <w:r>
              <w:rPr>
                <w:rFonts w:hint="eastAsia" w:ascii="宋体" w:hAnsi="宋体" w:eastAsia="宋体" w:cs="宋体"/>
                <w:color w:val="000000" w:themeColor="text1"/>
                <w:kern w:val="28"/>
                <w:sz w:val="24"/>
                <w:szCs w:val="24"/>
                <w:highlight w:val="none"/>
                <w:lang w:val="en-US" w:eastAsia="zh-CN"/>
                <w14:textFill>
                  <w14:solidFill>
                    <w14:schemeClr w14:val="tx1"/>
                  </w14:solidFill>
                </w14:textFill>
              </w:rPr>
              <w:t>备份文件是否收取：不收取。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0"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2</w:t>
            </w:r>
          </w:p>
        </w:tc>
        <w:tc>
          <w:tcPr>
            <w:tcW w:w="139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采购机构代理费用</w:t>
            </w:r>
          </w:p>
        </w:tc>
        <w:tc>
          <w:tcPr>
            <w:tcW w:w="713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napToGrid w:val="0"/>
              <w:spacing w:line="440" w:lineRule="exact"/>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采购机构代理费用由</w:t>
            </w:r>
            <w:r>
              <w:rPr>
                <w:rFonts w:hint="eastAsia" w:ascii="宋体" w:hAnsi="宋体" w:eastAsia="宋体" w:cs="宋体"/>
                <w:color w:val="000000" w:themeColor="text1"/>
                <w:sz w:val="24"/>
                <w:highlight w:val="none"/>
                <w:lang w:eastAsia="zh-CN"/>
                <w14:textFill>
                  <w14:solidFill>
                    <w14:schemeClr w14:val="tx1"/>
                  </w14:solidFill>
                </w14:textFill>
              </w:rPr>
              <w:t>采购</w:t>
            </w:r>
            <w:r>
              <w:rPr>
                <w:rFonts w:hint="eastAsia" w:ascii="宋体" w:hAnsi="宋体" w:eastAsia="宋体" w:cs="宋体"/>
                <w:color w:val="000000" w:themeColor="text1"/>
                <w:sz w:val="24"/>
                <w:highlight w:val="none"/>
                <w14:textFill>
                  <w14:solidFill>
                    <w14:schemeClr w14:val="tx1"/>
                  </w14:solidFill>
                </w14:textFill>
              </w:rPr>
              <w:t>人支付。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53"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
                <w:color w:val="000000" w:themeColor="text1"/>
                <w:sz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highlight w:val="none"/>
                <w:lang w:val="en-US" w:eastAsia="zh-CN"/>
                <w14:textFill>
                  <w14:solidFill>
                    <w14:schemeClr w14:val="tx1"/>
                  </w14:solidFill>
                </w14:textFill>
              </w:rPr>
              <w:t>1</w:t>
            </w:r>
            <w:r>
              <w:rPr>
                <w:rFonts w:hint="eastAsia" w:ascii="宋体" w:hAnsi="宋体" w:cs="宋体"/>
                <w:b w:val="0"/>
                <w:bCs/>
                <w:color w:val="000000" w:themeColor="text1"/>
                <w:sz w:val="24"/>
                <w:highlight w:val="none"/>
                <w:lang w:val="en-US" w:eastAsia="zh-CN"/>
                <w14:textFill>
                  <w14:solidFill>
                    <w14:schemeClr w14:val="tx1"/>
                  </w14:solidFill>
                </w14:textFill>
              </w:rPr>
              <w:t>3</w:t>
            </w:r>
          </w:p>
        </w:tc>
        <w:tc>
          <w:tcPr>
            <w:tcW w:w="139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
                <w:color w:val="000000" w:themeColor="text1"/>
                <w:sz w:val="24"/>
                <w:highlight w:val="none"/>
                <w:lang w:val="en-US" w:eastAsia="zh-CN"/>
                <w14:textFill>
                  <w14:solidFill>
                    <w14:schemeClr w14:val="tx1"/>
                  </w14:solidFill>
                </w14:textFill>
              </w:rPr>
            </w:pPr>
            <w:r>
              <w:rPr>
                <w:rFonts w:hint="eastAsia" w:ascii="宋体" w:hAnsi="宋体" w:eastAsia="宋体" w:cs="宋体"/>
                <w:b/>
                <w:color w:val="000000" w:themeColor="text1"/>
                <w:sz w:val="24"/>
                <w:highlight w:val="none"/>
                <w:lang w:val="en-US" w:eastAsia="zh-CN"/>
                <w14:textFill>
                  <w14:solidFill>
                    <w14:schemeClr w14:val="tx1"/>
                  </w14:solidFill>
                </w14:textFill>
              </w:rPr>
              <w:t>履约保证金</w:t>
            </w:r>
          </w:p>
        </w:tc>
        <w:tc>
          <w:tcPr>
            <w:tcW w:w="7132" w:type="dxa"/>
            <w:tcBorders>
              <w:top w:val="single" w:color="000000" w:sz="8" w:space="0"/>
              <w:left w:val="single" w:color="000000" w:sz="2" w:space="0"/>
              <w:bottom w:val="single" w:color="000000" w:sz="8" w:space="0"/>
              <w:right w:val="single" w:color="000000" w:sz="8" w:space="0"/>
            </w:tcBorders>
            <w:vAlign w:val="center"/>
          </w:tcPr>
          <w:p>
            <w:pPr>
              <w:pStyle w:val="15"/>
              <w:keepNext w:val="0"/>
              <w:keepLines w:val="0"/>
              <w:pageBreakBefore w:val="0"/>
              <w:kinsoku/>
              <w:wordWrap/>
              <w:overflowPunct/>
              <w:topLinePunct w:val="0"/>
              <w:autoSpaceDE/>
              <w:autoSpaceDN/>
              <w:bidi w:val="0"/>
              <w:spacing w:line="440" w:lineRule="exact"/>
              <w:ind w:firstLine="0"/>
              <w:textAlignment w:val="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24"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 w:val="0"/>
                <w:bCs/>
                <w:color w:val="000000" w:themeColor="text1"/>
                <w:sz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highlight w:val="none"/>
                <w:lang w:val="en-US" w:eastAsia="zh-CN"/>
                <w14:textFill>
                  <w14:solidFill>
                    <w14:schemeClr w14:val="tx1"/>
                  </w14:solidFill>
                </w14:textFill>
              </w:rPr>
              <w:t>1</w:t>
            </w:r>
            <w:r>
              <w:rPr>
                <w:rFonts w:hint="eastAsia" w:ascii="宋体" w:hAnsi="宋体" w:cs="宋体"/>
                <w:b w:val="0"/>
                <w:bCs/>
                <w:color w:val="000000" w:themeColor="text1"/>
                <w:sz w:val="24"/>
                <w:highlight w:val="none"/>
                <w:lang w:val="en-US" w:eastAsia="zh-CN"/>
                <w14:textFill>
                  <w14:solidFill>
                    <w14:schemeClr w14:val="tx1"/>
                  </w14:solidFill>
                </w14:textFill>
              </w:rPr>
              <w:t>4</w:t>
            </w:r>
          </w:p>
        </w:tc>
        <w:tc>
          <w:tcPr>
            <w:tcW w:w="139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
                <w:color w:val="000000" w:themeColor="text1"/>
                <w:sz w:val="24"/>
                <w:highlight w:val="none"/>
                <w:lang w:val="en-US" w:eastAsia="zh-CN"/>
                <w14:textFill>
                  <w14:solidFill>
                    <w14:schemeClr w14:val="tx1"/>
                  </w14:solidFill>
                </w14:textFill>
              </w:rPr>
            </w:pPr>
            <w:r>
              <w:rPr>
                <w:rFonts w:hint="eastAsia" w:ascii="宋体" w:hAnsi="宋体" w:eastAsia="宋体" w:cs="宋体"/>
                <w:b/>
                <w:color w:val="000000" w:themeColor="text1"/>
                <w:sz w:val="24"/>
                <w:highlight w:val="none"/>
                <w:lang w:val="en-US" w:eastAsia="zh-CN"/>
                <w14:textFill>
                  <w14:solidFill>
                    <w14:schemeClr w14:val="tx1"/>
                  </w14:solidFill>
                </w14:textFill>
              </w:rPr>
              <w:t>资格审查和信用信息审查</w:t>
            </w:r>
          </w:p>
        </w:tc>
        <w:tc>
          <w:tcPr>
            <w:tcW w:w="7132" w:type="dxa"/>
            <w:tcBorders>
              <w:top w:val="single" w:color="000000" w:sz="8" w:space="0"/>
              <w:left w:val="single" w:color="000000" w:sz="2" w:space="0"/>
              <w:bottom w:val="single" w:color="000000" w:sz="8" w:space="0"/>
              <w:right w:val="single" w:color="000000" w:sz="8" w:space="0"/>
            </w:tcBorders>
            <w:vAlign w:val="center"/>
          </w:tcPr>
          <w:p>
            <w:pPr>
              <w:pStyle w:val="34"/>
              <w:keepNext w:val="0"/>
              <w:keepLines w:val="0"/>
              <w:pageBreakBefore w:val="0"/>
              <w:kinsoku/>
              <w:wordWrap/>
              <w:overflowPunct/>
              <w:topLinePunct w:val="0"/>
              <w:autoSpaceDE/>
              <w:autoSpaceDN/>
              <w:bidi w:val="0"/>
              <w:spacing w:line="440" w:lineRule="exact"/>
              <w:ind w:left="0" w:leftChars="0" w:hanging="4" w:firstLineChars="0"/>
              <w:textAlignment w:val="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 w:val="0"/>
                <w:bCs/>
                <w:color w:val="000000" w:themeColor="text1"/>
                <w:sz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highlight w:val="none"/>
                <w:lang w:val="en-US" w:eastAsia="zh-CN"/>
                <w14:textFill>
                  <w14:solidFill>
                    <w14:schemeClr w14:val="tx1"/>
                  </w14:solidFill>
                </w14:textFill>
              </w:rPr>
              <w:t>1</w:t>
            </w:r>
            <w:r>
              <w:rPr>
                <w:rFonts w:hint="eastAsia" w:ascii="宋体" w:hAnsi="宋体" w:cs="宋体"/>
                <w:b w:val="0"/>
                <w:bCs/>
                <w:color w:val="000000" w:themeColor="text1"/>
                <w:sz w:val="24"/>
                <w:highlight w:val="none"/>
                <w:lang w:val="en-US" w:eastAsia="zh-CN"/>
                <w14:textFill>
                  <w14:solidFill>
                    <w14:schemeClr w14:val="tx1"/>
                  </w14:solidFill>
                </w14:textFill>
              </w:rPr>
              <w:t>5</w:t>
            </w:r>
          </w:p>
        </w:tc>
        <w:tc>
          <w:tcPr>
            <w:tcW w:w="139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
                <w:color w:val="000000" w:themeColor="text1"/>
                <w:sz w:val="24"/>
                <w:highlight w:val="none"/>
                <w:lang w:val="en-US" w:eastAsia="zh-CN"/>
                <w14:textFill>
                  <w14:solidFill>
                    <w14:schemeClr w14:val="tx1"/>
                  </w14:solidFill>
                </w14:textFill>
              </w:rPr>
            </w:pPr>
            <w:r>
              <w:rPr>
                <w:rFonts w:hint="eastAsia" w:ascii="宋体" w:hAnsi="宋体" w:eastAsia="宋体" w:cs="宋体"/>
                <w:b/>
                <w:color w:val="000000" w:themeColor="text1"/>
                <w:sz w:val="24"/>
                <w:highlight w:val="none"/>
                <w:lang w:val="en-US" w:eastAsia="zh-CN"/>
                <w14:textFill>
                  <w14:solidFill>
                    <w14:schemeClr w14:val="tx1"/>
                  </w14:solidFill>
                </w14:textFill>
              </w:rPr>
              <w:t>质疑接收人及答复</w:t>
            </w:r>
          </w:p>
        </w:tc>
        <w:tc>
          <w:tcPr>
            <w:tcW w:w="713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napToGrid w:val="0"/>
              <w:spacing w:line="440" w:lineRule="exact"/>
              <w:textAlignment w:val="auto"/>
              <w:rPr>
                <w:rFonts w:hint="eastAsia" w:ascii="宋体" w:hAnsi="宋体" w:eastAsia="宋体" w:cs="宋体"/>
                <w:color w:val="000000" w:themeColor="text1"/>
                <w:sz w:val="24"/>
                <w:highlight w:val="none"/>
                <w:u w:val="single"/>
                <w:lang w:val="en-US"/>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采购人质疑接收人：</w:t>
            </w:r>
            <w:r>
              <w:rPr>
                <w:rFonts w:hint="eastAsia" w:ascii="宋体" w:hAnsi="宋体" w:eastAsia="宋体" w:cs="宋体"/>
                <w:color w:val="000000" w:themeColor="text1"/>
                <w:sz w:val="24"/>
                <w:highlight w:val="none"/>
                <w:u w:val="single"/>
                <w:lang w:val="en-US" w:eastAsia="zh-CN"/>
                <w14:textFill>
                  <w14:solidFill>
                    <w14:schemeClr w14:val="tx1"/>
                  </w14:solidFill>
                </w14:textFill>
              </w:rPr>
              <w:t>详见公告</w:t>
            </w:r>
          </w:p>
          <w:p>
            <w:pPr>
              <w:keepNext w:val="0"/>
              <w:keepLines w:val="0"/>
              <w:pageBreakBefore w:val="0"/>
              <w:kinsoku/>
              <w:wordWrap/>
              <w:overflowPunct/>
              <w:topLinePunct w:val="0"/>
              <w:autoSpaceDE/>
              <w:autoSpaceDN/>
              <w:bidi w:val="0"/>
              <w:snapToGrid w:val="0"/>
              <w:spacing w:line="440" w:lineRule="exact"/>
              <w:textAlignment w:val="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采购机构质疑接收人</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u w:val="single"/>
                <w:lang w:eastAsia="zh-CN"/>
                <w14:textFill>
                  <w14:solidFill>
                    <w14:schemeClr w14:val="tx1"/>
                  </w14:solidFill>
                </w14:textFill>
              </w:rPr>
              <w:t>范梦迪</w:t>
            </w:r>
            <w:r>
              <w:rPr>
                <w:rFonts w:hint="eastAsia" w:ascii="宋体" w:hAnsi="宋体" w:eastAsia="宋体" w:cs="宋体"/>
                <w:color w:val="000000" w:themeColor="text1"/>
                <w:sz w:val="24"/>
                <w:highlight w:val="none"/>
                <w:u w:val="non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联系方式：</w:t>
            </w:r>
            <w:r>
              <w:rPr>
                <w:rFonts w:hint="eastAsia" w:ascii="宋体" w:hAnsi="宋体" w:eastAsia="宋体" w:cs="宋体"/>
                <w:color w:val="000000" w:themeColor="text1"/>
                <w:sz w:val="24"/>
                <w:highlight w:val="none"/>
                <w:u w:val="single"/>
                <w:lang w:val="en-US" w:eastAsia="zh-CN"/>
                <w14:textFill>
                  <w14:solidFill>
                    <w14:schemeClr w14:val="tx1"/>
                  </w14:solidFill>
                </w14:textFill>
              </w:rPr>
              <w:t>0571-83881208</w:t>
            </w:r>
          </w:p>
          <w:p>
            <w:pPr>
              <w:keepNext w:val="0"/>
              <w:keepLines w:val="0"/>
              <w:pageBreakBefore w:val="0"/>
              <w:kinsoku/>
              <w:wordWrap/>
              <w:overflowPunct/>
              <w:topLinePunct w:val="0"/>
              <w:autoSpaceDE/>
              <w:autoSpaceDN/>
              <w:bidi w:val="0"/>
              <w:snapToGrid w:val="0"/>
              <w:spacing w:line="440" w:lineRule="exact"/>
              <w:textAlignment w:val="auto"/>
              <w:rPr>
                <w:rFonts w:hint="eastAsia" w:ascii="宋体" w:hAnsi="宋体" w:eastAsia="宋体" w:cs="宋体"/>
                <w:color w:val="000000" w:themeColor="text1"/>
                <w:sz w:val="24"/>
                <w:highlight w:val="none"/>
                <w:u w:val="none"/>
                <w14:textFill>
                  <w14:solidFill>
                    <w14:schemeClr w14:val="tx1"/>
                  </w14:solidFill>
                </w14:textFill>
              </w:rPr>
            </w:pPr>
            <w:r>
              <w:rPr>
                <w:rFonts w:hint="eastAsia" w:ascii="宋体" w:hAnsi="宋体" w:eastAsia="宋体" w:cs="宋体"/>
                <w:color w:val="000000" w:themeColor="text1"/>
                <w:sz w:val="24"/>
                <w:highlight w:val="none"/>
                <w:u w:val="none"/>
                <w14:textFill>
                  <w14:solidFill>
                    <w14:schemeClr w14:val="tx1"/>
                  </w14:solidFill>
                </w14:textFill>
              </w:rPr>
              <w:t>地址：</w:t>
            </w:r>
            <w:r>
              <w:rPr>
                <w:rFonts w:hint="eastAsia" w:ascii="宋体" w:hAnsi="宋体" w:eastAsia="宋体" w:cs="宋体"/>
                <w:color w:val="000000" w:themeColor="text1"/>
                <w:sz w:val="24"/>
                <w:highlight w:val="none"/>
                <w:u w:val="single"/>
                <w14:textFill>
                  <w14:solidFill>
                    <w14:schemeClr w14:val="tx1"/>
                  </w14:solidFill>
                </w14:textFill>
              </w:rPr>
              <w:t>杭州市萧山区金城路433号天汇园一幢A座5楼</w:t>
            </w:r>
            <w:r>
              <w:rPr>
                <w:rFonts w:hint="eastAsia" w:ascii="宋体" w:hAnsi="宋体" w:eastAsia="宋体" w:cs="宋体"/>
                <w:color w:val="000000" w:themeColor="text1"/>
                <w:sz w:val="24"/>
                <w:highlight w:val="none"/>
                <w:u w:val="none"/>
                <w14:textFill>
                  <w14:solidFill>
                    <w14:schemeClr w14:val="tx1"/>
                  </w14:solidFill>
                </w14:textFill>
              </w:rPr>
              <w:t xml:space="preserve"> </w:t>
            </w:r>
          </w:p>
          <w:p>
            <w:pPr>
              <w:keepNext w:val="0"/>
              <w:keepLines w:val="0"/>
              <w:pageBreakBefore w:val="0"/>
              <w:kinsoku/>
              <w:wordWrap/>
              <w:overflowPunct/>
              <w:topLinePunct w:val="0"/>
              <w:autoSpaceDE/>
              <w:autoSpaceDN/>
              <w:bidi w:val="0"/>
              <w:snapToGrid w:val="0"/>
              <w:spacing w:line="440" w:lineRule="exact"/>
              <w:textAlignment w:val="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u w:val="none"/>
                <w14:textFill>
                  <w14:solidFill>
                    <w14:schemeClr w14:val="tx1"/>
                  </w14:solidFill>
                </w14:textFill>
              </w:rPr>
              <w:t>邮箱：</w:t>
            </w:r>
            <w:r>
              <w:rPr>
                <w:rFonts w:hint="eastAsia" w:ascii="宋体" w:hAnsi="宋体" w:eastAsia="宋体" w:cs="宋体"/>
                <w:color w:val="000000" w:themeColor="text1"/>
                <w:sz w:val="24"/>
                <w:highlight w:val="none"/>
                <w:u w:val="single"/>
                <w:lang w:val="en-US" w:eastAsia="zh-CN"/>
                <w14:textFill>
                  <w14:solidFill>
                    <w14:schemeClr w14:val="tx1"/>
                  </w14:solidFill>
                </w14:textFill>
              </w:rPr>
              <w:fldChar w:fldCharType="begin"/>
            </w:r>
            <w:r>
              <w:rPr>
                <w:rFonts w:hint="eastAsia" w:ascii="宋体" w:hAnsi="宋体" w:eastAsia="宋体" w:cs="宋体"/>
                <w:color w:val="000000" w:themeColor="text1"/>
                <w:sz w:val="24"/>
                <w:highlight w:val="none"/>
                <w:u w:val="single"/>
                <w:lang w:val="en-US" w:eastAsia="zh-CN"/>
                <w14:textFill>
                  <w14:solidFill>
                    <w14:schemeClr w14:val="tx1"/>
                  </w14:solidFill>
                </w14:textFill>
              </w:rPr>
              <w:instrText xml:space="preserve"> HYPERLINK "mailto:751200605@qq.com" </w:instrText>
            </w:r>
            <w:r>
              <w:rPr>
                <w:rFonts w:hint="eastAsia" w:ascii="宋体" w:hAnsi="宋体" w:eastAsia="宋体" w:cs="宋体"/>
                <w:color w:val="000000" w:themeColor="text1"/>
                <w:sz w:val="24"/>
                <w:highlight w:val="none"/>
                <w:u w:val="single"/>
                <w:lang w:val="en-US" w:eastAsia="zh-CN"/>
                <w14:textFill>
                  <w14:solidFill>
                    <w14:schemeClr w14:val="tx1"/>
                  </w14:solidFill>
                </w14:textFill>
              </w:rPr>
              <w:fldChar w:fldCharType="separate"/>
            </w:r>
            <w:r>
              <w:rPr>
                <w:rStyle w:val="76"/>
                <w:rFonts w:hint="eastAsia" w:ascii="宋体" w:hAnsi="宋体" w:eastAsia="宋体" w:cs="宋体"/>
                <w:color w:val="000000" w:themeColor="text1"/>
                <w:sz w:val="24"/>
                <w:highlight w:val="none"/>
                <w:u w:val="single"/>
                <w:lang w:val="en-US" w:eastAsia="zh-CN"/>
                <w14:textFill>
                  <w14:solidFill>
                    <w14:schemeClr w14:val="tx1"/>
                  </w14:solidFill>
                </w14:textFill>
              </w:rPr>
              <w:t>492477800@qq.com</w:t>
            </w:r>
            <w:r>
              <w:rPr>
                <w:rFonts w:hint="eastAsia" w:ascii="宋体" w:hAnsi="宋体" w:eastAsia="宋体" w:cs="宋体"/>
                <w:color w:val="000000" w:themeColor="text1"/>
                <w:sz w:val="24"/>
                <w:highlight w:val="none"/>
                <w:u w:val="single"/>
                <w:lang w:val="en-US" w:eastAsia="zh-CN"/>
                <w14:textFill>
                  <w14:solidFill>
                    <w14:schemeClr w14:val="tx1"/>
                  </w14:solidFill>
                </w14:textFill>
              </w:rPr>
              <w:fldChar w:fldCharType="end"/>
            </w:r>
          </w:p>
          <w:p>
            <w:pPr>
              <w:keepNext w:val="0"/>
              <w:keepLines w:val="0"/>
              <w:pageBreakBefore w:val="0"/>
              <w:kinsoku/>
              <w:wordWrap/>
              <w:overflowPunct/>
              <w:topLinePunct w:val="0"/>
              <w:autoSpaceDE/>
              <w:autoSpaceDN/>
              <w:bidi w:val="0"/>
              <w:snapToGrid w:val="0"/>
              <w:spacing w:line="440" w:lineRule="exact"/>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如通过邮箱方式发送质疑，须提交符合法规及招标文件要求的质疑文件（参考附件2），盖章扫描后发送，质疑的受理按答复主体划分以采购人或采购机构邮箱回复确认受理为准。</w:t>
            </w:r>
          </w:p>
          <w:p>
            <w:pPr>
              <w:keepNext w:val="0"/>
              <w:keepLines w:val="0"/>
              <w:pageBreakBefore w:val="0"/>
              <w:kinsoku/>
              <w:wordWrap/>
              <w:overflowPunct/>
              <w:topLinePunct w:val="0"/>
              <w:autoSpaceDE/>
              <w:autoSpaceDN/>
              <w:bidi w:val="0"/>
              <w:snapToGrid w:val="0"/>
              <w:spacing w:line="440" w:lineRule="exac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本项目涉及资格条件、采购需求、评分办法及采购过程中有关现场考察或开标前答疑会事项由采购人进行答复。</w:t>
            </w:r>
          </w:p>
          <w:p>
            <w:pPr>
              <w:pStyle w:val="34"/>
              <w:keepNext w:val="0"/>
              <w:keepLines w:val="0"/>
              <w:pageBreakBefore w:val="0"/>
              <w:kinsoku/>
              <w:wordWrap/>
              <w:overflowPunct/>
              <w:topLinePunct w:val="0"/>
              <w:autoSpaceDE/>
              <w:autoSpaceDN/>
              <w:bidi w:val="0"/>
              <w:spacing w:line="440" w:lineRule="exact"/>
              <w:ind w:left="0" w:leftChars="0" w:hanging="4" w:firstLineChars="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涉及流程组织等相关事项，由采购机构进行答复。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6</w:t>
            </w:r>
          </w:p>
        </w:tc>
        <w:tc>
          <w:tcPr>
            <w:tcW w:w="139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特别说明</w:t>
            </w:r>
          </w:p>
        </w:tc>
        <w:tc>
          <w:tcPr>
            <w:tcW w:w="713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snapToGrid w:val="0"/>
                <w:color w:val="000000" w:themeColor="text1"/>
                <w:kern w:val="28"/>
                <w:sz w:val="24"/>
                <w:highlight w:val="none"/>
                <w:lang w:eastAsia="zh-CN"/>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本项目通用总则条款与前附表等专用特别规定有冲突之处，以专用条款（特别规定）为准</w:t>
            </w:r>
            <w:r>
              <w:rPr>
                <w:rFonts w:hint="eastAsia" w:ascii="宋体" w:hAnsi="宋体" w:eastAsia="宋体" w:cs="宋体"/>
                <w:b/>
                <w:color w:val="000000" w:themeColor="text1"/>
                <w:sz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7</w:t>
            </w:r>
          </w:p>
        </w:tc>
        <w:tc>
          <w:tcPr>
            <w:tcW w:w="139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napToGrid w:val="0"/>
              <w:spacing w:line="440" w:lineRule="exact"/>
              <w:textAlignment w:val="auto"/>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投标文件份数</w:t>
            </w:r>
          </w:p>
        </w:tc>
        <w:tc>
          <w:tcPr>
            <w:tcW w:w="713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中标单位应在中标后向采购人提供纸质投标文件一正</w:t>
            </w:r>
            <w:r>
              <w:rPr>
                <w:rFonts w:hint="eastAsia" w:ascii="宋体" w:hAnsi="宋体" w:eastAsia="宋体" w:cs="宋体"/>
                <w:b/>
                <w:color w:val="000000" w:themeColor="text1"/>
                <w:sz w:val="24"/>
                <w:highlight w:val="none"/>
                <w:lang w:val="en-US" w:eastAsia="zh-CN"/>
                <w14:textFill>
                  <w14:solidFill>
                    <w14:schemeClr w14:val="tx1"/>
                  </w14:solidFill>
                </w14:textFill>
              </w:rPr>
              <w:t>两</w:t>
            </w:r>
            <w:r>
              <w:rPr>
                <w:rFonts w:hint="eastAsia" w:ascii="宋体" w:hAnsi="宋体" w:eastAsia="宋体" w:cs="宋体"/>
                <w:b/>
                <w:color w:val="000000" w:themeColor="text1"/>
                <w:sz w:val="24"/>
                <w:highlight w:val="none"/>
                <w14:textFill>
                  <w14:solidFill>
                    <w14:schemeClr w14:val="tx1"/>
                  </w14:solidFill>
                </w14:textFill>
              </w:rPr>
              <w:t>副</w:t>
            </w:r>
            <w:r>
              <w:rPr>
                <w:rFonts w:hint="eastAsia" w:ascii="宋体" w:hAnsi="宋体" w:eastAsia="宋体" w:cs="宋体"/>
                <w:b/>
                <w:color w:val="000000" w:themeColor="text1"/>
                <w:sz w:val="24"/>
                <w:highlight w:val="none"/>
                <w:lang w:eastAsia="zh-CN"/>
                <w14:textFill>
                  <w14:solidFill>
                    <w14:schemeClr w14:val="tx1"/>
                  </w14:solidFill>
                </w14:textFill>
              </w:rPr>
              <w:t>（</w:t>
            </w:r>
            <w:r>
              <w:rPr>
                <w:rFonts w:hint="eastAsia" w:ascii="宋体" w:hAnsi="宋体" w:eastAsia="宋体" w:cs="宋体"/>
                <w:b/>
                <w:color w:val="000000" w:themeColor="text1"/>
                <w:sz w:val="24"/>
                <w:highlight w:val="none"/>
                <w:lang w:val="en-US" w:eastAsia="zh-CN"/>
                <w14:textFill>
                  <w14:solidFill>
                    <w14:schemeClr w14:val="tx1"/>
                  </w14:solidFill>
                </w14:textFill>
              </w:rPr>
              <w:t>加盖公章）</w:t>
            </w:r>
          </w:p>
        </w:tc>
      </w:tr>
    </w:tbl>
    <w:p>
      <w:pPr>
        <w:snapToGrid w:val="0"/>
        <w:spacing w:line="360" w:lineRule="auto"/>
        <w:jc w:val="center"/>
        <w:rPr>
          <w:rFonts w:hint="eastAsia" w:ascii="宋体" w:hAnsi="宋体" w:eastAsia="宋体" w:cs="宋体"/>
          <w:b/>
          <w:color w:val="000000" w:themeColor="text1"/>
          <w:sz w:val="32"/>
          <w:szCs w:val="20"/>
          <w:highlight w:val="none"/>
          <w14:textFill>
            <w14:solidFill>
              <w14:schemeClr w14:val="tx1"/>
            </w14:solidFill>
          </w14:textFill>
        </w:rPr>
      </w:pPr>
    </w:p>
    <w:bookmarkEnd w:id="10"/>
    <w:p>
      <w:pPr>
        <w:rPr>
          <w:rFonts w:hint="eastAsia" w:ascii="宋体" w:hAnsi="宋体" w:eastAsia="宋体" w:cs="宋体"/>
          <w:b/>
          <w:color w:val="000000" w:themeColor="text1"/>
          <w:sz w:val="32"/>
          <w:szCs w:val="20"/>
          <w:highlight w:val="none"/>
          <w14:textFill>
            <w14:solidFill>
              <w14:schemeClr w14:val="tx1"/>
            </w14:solidFill>
          </w14:textFill>
        </w:rPr>
      </w:pPr>
      <w:bookmarkStart w:id="13" w:name="_Toc164416483"/>
      <w:bookmarkStart w:id="14" w:name="第三部分"/>
      <w:r>
        <w:rPr>
          <w:rFonts w:hint="eastAsia" w:ascii="宋体" w:hAnsi="宋体" w:eastAsia="宋体" w:cs="宋体"/>
          <w:b/>
          <w:color w:val="000000" w:themeColor="text1"/>
          <w:sz w:val="32"/>
          <w:szCs w:val="20"/>
          <w:highlight w:val="none"/>
          <w14:textFill>
            <w14:solidFill>
              <w14:schemeClr w14:val="tx1"/>
            </w14:solidFill>
          </w14:textFill>
        </w:rPr>
        <w:br w:type="page"/>
      </w:r>
    </w:p>
    <w:p>
      <w:pPr>
        <w:adjustRightInd/>
        <w:spacing w:line="360" w:lineRule="auto"/>
        <w:ind w:firstLine="3845" w:firstLineChars="1197"/>
        <w:outlineLvl w:val="0"/>
        <w:rPr>
          <w:rFonts w:hint="eastAsia" w:ascii="宋体" w:hAnsi="宋体" w:eastAsia="宋体" w:cs="宋体"/>
          <w:b/>
          <w:color w:val="000000" w:themeColor="text1"/>
          <w:sz w:val="32"/>
          <w:szCs w:val="20"/>
          <w:highlight w:val="none"/>
          <w14:textFill>
            <w14:solidFill>
              <w14:schemeClr w14:val="tx1"/>
            </w14:solidFill>
          </w14:textFill>
        </w:rPr>
      </w:pPr>
      <w:r>
        <w:rPr>
          <w:rFonts w:hint="eastAsia" w:ascii="宋体" w:hAnsi="宋体" w:eastAsia="宋体" w:cs="宋体"/>
          <w:b/>
          <w:color w:val="000000" w:themeColor="text1"/>
          <w:sz w:val="32"/>
          <w:szCs w:val="20"/>
          <w:highlight w:val="none"/>
          <w14:textFill>
            <w14:solidFill>
              <w14:schemeClr w14:val="tx1"/>
            </w14:solidFill>
          </w14:textFill>
        </w:rPr>
        <w:t>一、总则</w:t>
      </w:r>
    </w:p>
    <w:p>
      <w:pPr>
        <w:snapToGrid w:val="0"/>
        <w:spacing w:line="360" w:lineRule="auto"/>
        <w:jc w:val="left"/>
        <w:outlineLvl w:val="1"/>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1.适用范围</w:t>
      </w:r>
    </w:p>
    <w:p>
      <w:pPr>
        <w:snapToGrid w:val="0"/>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2.定义</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 “采购人”系指招标公告中载明的本项目的采购人。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 “采购机构”系指招标公告中载明的本项目的采购机构。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 “投标人”系指是指响应招标、参加投标竞争的法人、其他组织或者自然人。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2.5“电子签名”系指数据电文中以电子形式所含、所附用于识别签名人身份并表明签名人认可其中内容的数据</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投标人电子签名指投标人电子公章</w:t>
      </w:r>
      <w:r>
        <w:rPr>
          <w:rFonts w:hint="eastAsia" w:ascii="宋体" w:hAnsi="宋体" w:eastAsia="宋体" w:cs="宋体"/>
          <w:color w:val="000000" w:themeColor="text1"/>
          <w:sz w:val="24"/>
          <w:highlight w:val="none"/>
          <w14:textFill>
            <w14:solidFill>
              <w14:schemeClr w14:val="tx1"/>
            </w14:solidFill>
          </w14:textFill>
        </w:rPr>
        <w:t>；“公章”系指单位法定名称章。因特殊原因需要使用冠以法定名称的业务专用章的，投标时须提供《业务专用章使用说明函》（附件4）。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2.6“电子交易平台”是指本项目政府采购活动所依托的政府采购云平台（https://www.zcygov.cn/）。</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2.7 “▲” 系指实质性要求条款，“（</w:t>
      </w:r>
      <w:r>
        <w:rPr>
          <w:rFonts w:hint="eastAsia" w:ascii="宋体" w:hAnsi="宋体" w:eastAsia="宋体" w:cs="宋体"/>
          <w:b w:val="0"/>
          <w:bCs/>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 系指适用本项目的要求，“（  ）”系指不适用本项目的要求。</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3.采购项目需要落实的政策</w:t>
      </w:r>
    </w:p>
    <w:p>
      <w:pPr>
        <w:spacing w:line="360" w:lineRule="auto"/>
        <w:ind w:firstLine="240" w:firstLineChars="1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支持中小企业发展</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3.</w:t>
      </w:r>
      <w:r>
        <w:rPr>
          <w:rFonts w:hint="eastAsia" w:ascii="宋体" w:hAnsi="宋体" w:cs="宋体"/>
          <w:bCs/>
          <w:color w:val="000000" w:themeColor="text1"/>
          <w:sz w:val="24"/>
          <w:highlight w:val="none"/>
          <w:lang w:val="en-US" w:eastAsia="zh-CN"/>
          <w14:textFill>
            <w14:solidFill>
              <w14:schemeClr w14:val="tx1"/>
            </w14:solidFill>
          </w14:textFill>
        </w:rPr>
        <w:t>1</w:t>
      </w:r>
      <w:r>
        <w:rPr>
          <w:rFonts w:hint="eastAsia" w:ascii="宋体" w:hAnsi="宋体" w:eastAsia="宋体" w:cs="宋体"/>
          <w:bCs/>
          <w:color w:val="000000" w:themeColor="text1"/>
          <w:sz w:val="24"/>
          <w:highlight w:val="none"/>
          <w14:textFill>
            <w14:solidFill>
              <w14:schemeClr w14:val="tx1"/>
            </w14:solidFill>
          </w14:textFill>
        </w:rPr>
        <w:t>.2</w:t>
      </w:r>
      <w:r>
        <w:rPr>
          <w:rFonts w:hint="eastAsia" w:ascii="宋体" w:hAnsi="宋体" w:eastAsia="宋体" w:cs="宋体"/>
          <w:color w:val="000000" w:themeColor="text1"/>
          <w:kern w:val="0"/>
          <w:sz w:val="24"/>
          <w:highlight w:val="none"/>
          <w14:textFill>
            <w14:solidFill>
              <w14:schemeClr w14:val="tx1"/>
            </w14:solidFill>
          </w14:textFill>
        </w:rPr>
        <w:t>在政府采购活动中，投标人提供的货物、工程或者服务符合下列情形的，享受中小企业扶持政策：</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w:t>
      </w:r>
      <w:r>
        <w:rPr>
          <w:rFonts w:hint="eastAsia" w:ascii="宋体" w:hAnsi="宋体" w:cs="宋体"/>
          <w:color w:val="000000" w:themeColor="text1"/>
          <w:kern w:val="0"/>
          <w:sz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highlight w:val="none"/>
          <w14:textFill>
            <w14:solidFill>
              <w14:schemeClr w14:val="tx1"/>
            </w14:solidFill>
          </w14:textFill>
        </w:rPr>
        <w:t>.2.1在货物采购项目中，货物由中小企业制造，即货物由中小企业生产且使用该中小企业商号或者注册商标；</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w:t>
      </w:r>
      <w:r>
        <w:rPr>
          <w:rFonts w:hint="eastAsia" w:ascii="宋体" w:hAnsi="宋体" w:cs="宋体"/>
          <w:color w:val="000000" w:themeColor="text1"/>
          <w:kern w:val="0"/>
          <w:sz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highlight w:val="none"/>
          <w14:textFill>
            <w14:solidFill>
              <w14:schemeClr w14:val="tx1"/>
            </w14:solidFill>
          </w14:textFill>
        </w:rPr>
        <w:t>.2.2在工程采购项目中，工程由中小企业承建，即工程施工单位为中小企业；</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w:t>
      </w:r>
      <w:r>
        <w:rPr>
          <w:rFonts w:hint="eastAsia" w:ascii="宋体" w:hAnsi="宋体" w:cs="宋体"/>
          <w:color w:val="000000" w:themeColor="text1"/>
          <w:kern w:val="0"/>
          <w:sz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highlight w:val="none"/>
          <w14:textFill>
            <w14:solidFill>
              <w14:schemeClr w14:val="tx1"/>
            </w14:solidFill>
          </w14:textFill>
        </w:rPr>
        <w:t>.2.3在服务采购项目中，服务由中小企业承接，即提供服务的人员为中小企业依照《中华人民共和国劳动合同法》订立劳动合同的从业人员。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.3对于未预留份额专门面向中小企业的政府采购货物或服务项目，以及预留份额政府采购货物或服务项目中的非预留部分标项，对小型和微型企业的投标报价给予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000000" w:themeColor="text1"/>
          <w:sz w:val="24"/>
          <w:highlight w:val="none"/>
          <w:lang w:val="en-US" w:eastAsia="zh-CN"/>
          <w14:textFill>
            <w14:solidFill>
              <w14:schemeClr w14:val="tx1"/>
            </w14:solidFill>
          </w14:textFill>
        </w:rPr>
        <w:t>10</w:t>
      </w:r>
      <w:r>
        <w:rPr>
          <w:rFonts w:hint="eastAsia" w:ascii="宋体" w:hAnsi="宋体" w:eastAsia="宋体" w:cs="宋体"/>
          <w:color w:val="000000" w:themeColor="text1"/>
          <w:sz w:val="24"/>
          <w:highlight w:val="none"/>
          <w14:textFill>
            <w14:solidFill>
              <w14:schemeClr w14:val="tx1"/>
            </w14:solidFill>
          </w14:textFill>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.7中小企业享受扶持政策获得政府采购合同的，小微企业不得将合同分包给大中型企业，中型企业不得将合同分包给大型企业。</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eastAsia="宋体" w:cs="宋体"/>
          <w:color w:val="000000" w:themeColor="text1"/>
          <w:sz w:val="24"/>
          <w:highlight w:val="none"/>
          <w14:textFill>
            <w14:solidFill>
              <w14:schemeClr w14:val="tx1"/>
            </w14:solidFill>
          </w14:textFill>
        </w:rPr>
        <w:cr/>
      </w:r>
      <w:r>
        <w:rPr>
          <w:rFonts w:hint="eastAsia" w:ascii="宋体" w:hAnsi="宋体" w:eastAsia="宋体" w:cs="宋体"/>
          <w:b/>
          <w:color w:val="000000" w:themeColor="text1"/>
          <w:sz w:val="24"/>
          <w:highlight w:val="none"/>
          <w14:textFill>
            <w14:solidFill>
              <w14:schemeClr w14:val="tx1"/>
            </w14:solidFill>
          </w14:textFill>
        </w:rPr>
        <w:t>4.询问、质疑、投诉</w:t>
      </w:r>
    </w:p>
    <w:p>
      <w:pPr>
        <w:autoSpaceDE w:val="0"/>
        <w:autoSpaceDN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4.1供应商询问</w:t>
      </w:r>
    </w:p>
    <w:p>
      <w:pPr>
        <w:autoSpaceDE w:val="0"/>
        <w:autoSpaceDN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4.2供应商质疑</w:t>
      </w:r>
    </w:p>
    <w:p>
      <w:pPr>
        <w:pStyle w:val="34"/>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w:t>
      </w:r>
      <w:r>
        <w:rPr>
          <w:rFonts w:hint="eastAsia" w:ascii="宋体" w:hAnsi="宋体" w:eastAsia="宋体" w:cs="宋体"/>
          <w:color w:val="000000" w:themeColor="text1"/>
          <w:sz w:val="24"/>
          <w:highlight w:val="none"/>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w:t>
      </w:r>
      <w:r>
        <w:rPr>
          <w:rFonts w:hint="eastAsia" w:ascii="宋体" w:hAnsi="宋体" w:eastAsia="宋体" w:cs="宋体"/>
          <w:color w:val="000000" w:themeColor="text1"/>
          <w:sz w:val="24"/>
          <w:highlight w:val="none"/>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hint="eastAsia" w:ascii="宋体" w:hAnsi="宋体" w:eastAsia="宋体" w:cs="宋体"/>
          <w:snapToGrid/>
          <w:color w:val="000000" w:themeColor="text1"/>
          <w:kern w:val="2"/>
          <w:sz w:val="24"/>
          <w:highlight w:val="none"/>
          <w14:textFill>
            <w14:solidFill>
              <w14:schemeClr w14:val="tx1"/>
            </w14:solidFill>
          </w14:textFill>
        </w:rPr>
      </w:pPr>
      <w:r>
        <w:rPr>
          <w:rFonts w:hint="eastAsia" w:ascii="宋体" w:hAnsi="宋体" w:eastAsia="宋体" w:cs="宋体"/>
          <w:snapToGrid/>
          <w:color w:val="000000" w:themeColor="text1"/>
          <w:kern w:val="2"/>
          <w:sz w:val="24"/>
          <w:highlight w:val="none"/>
          <w14:textFill>
            <w14:solidFill>
              <w14:schemeClr w14:val="tx1"/>
            </w14:solidFill>
          </w14:textFill>
        </w:rPr>
        <w:t>4.2.2.1对招标文件提出质疑的，质疑期限为供应商获得招标文件之日或者招标文件公告期限届满之日起计算。</w:t>
      </w:r>
    </w:p>
    <w:p>
      <w:pPr>
        <w:pStyle w:val="34"/>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4.2.2.2对采购过程提出质疑的，质疑期限为各采购程序环节结束之日起计算。对同一采购程序环节的质疑，供应商须一次性提出。</w:t>
      </w:r>
    </w:p>
    <w:p>
      <w:pPr>
        <w:pStyle w:val="34"/>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4.2.2.3对采购结果提出质疑的，质疑期限自采购结果公告期限届满之日起计算。</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4.2.3</w:t>
      </w:r>
      <w:r>
        <w:rPr>
          <w:rFonts w:hint="eastAsia" w:ascii="宋体" w:hAnsi="宋体" w:eastAsia="宋体" w:cs="宋体"/>
          <w:color w:val="000000" w:themeColor="text1"/>
          <w:sz w:val="24"/>
          <w:highlight w:val="none"/>
          <w14:textFill>
            <w14:solidFill>
              <w14:schemeClr w14:val="tx1"/>
            </w14:solidFill>
          </w14:textFill>
        </w:rPr>
        <w:t>供应商提出质疑应当提交质疑函和必要的证明材料。质疑函应当包括下列内容：</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4.2.3.1供应商的姓名或者名称、地址、邮编、联系人及联系电话；</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4.2.3.2质疑项目的名称、编号；</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4.2.3.3具体、明确的质疑事项和与质疑事项相关的请求；</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4.2.3.4事实依据；</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4.2.3.5必要的法律依据；</w:t>
      </w:r>
    </w:p>
    <w:p>
      <w:pPr>
        <w:pStyle w:val="34"/>
        <w:spacing w:line="360" w:lineRule="auto"/>
        <w:ind w:firstLine="960" w:firstLineChars="4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4.2.3.6提出质疑的日期。</w:t>
      </w:r>
    </w:p>
    <w:p>
      <w:pPr>
        <w:pStyle w:val="887"/>
        <w:shd w:val="clear" w:color="auto" w:fill="FFFFFF"/>
        <w:snapToGrid w:val="0"/>
        <w:spacing w:after="240" w:afterAutospacing="0" w:line="360" w:lineRule="auto"/>
        <w:ind w:firstLine="4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质疑函范本及制作说明详见附件2。</w:t>
      </w:r>
    </w:p>
    <w:p>
      <w:pPr>
        <w:pStyle w:val="887"/>
        <w:shd w:val="clear" w:color="auto" w:fill="FFFFFF"/>
        <w:snapToGrid w:val="0"/>
        <w:spacing w:after="240" w:afterAutospacing="0" w:line="360" w:lineRule="auto"/>
        <w:ind w:firstLine="4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zh-CN"/>
          <w14:textFill>
            <w14:solidFill>
              <w14:schemeClr w14:val="tx1"/>
            </w14:solidFill>
          </w14:textFill>
        </w:rPr>
        <w:t>4.2</w:t>
      </w:r>
      <w:r>
        <w:rPr>
          <w:rFonts w:hint="eastAsia" w:ascii="宋体" w:hAnsi="宋体" w:eastAsia="宋体" w:cs="宋体"/>
          <w:color w:val="000000" w:themeColor="text1"/>
          <w:highlight w:val="none"/>
          <w14:textFill>
            <w14:solidFill>
              <w14:schemeClr w14:val="tx1"/>
            </w14:solidFill>
          </w14:textFill>
        </w:rPr>
        <w:t>.4采购人或者采购机构应当在收到供应商的书面质疑后七个工作日内作出答复，并以书面形式通知质疑供应商和其他与质疑处理结果有利害关系的政府采购当事人，但答复的内容不得涉及商业秘密。</w:t>
      </w:r>
    </w:p>
    <w:p>
      <w:pPr>
        <w:pStyle w:val="887"/>
        <w:shd w:val="clear" w:color="auto" w:fill="FFFFFF"/>
        <w:snapToGrid w:val="0"/>
        <w:spacing w:after="240" w:afterAutospacing="0" w:line="360" w:lineRule="auto"/>
        <w:ind w:firstLine="480" w:firstLineChars="2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zh-CN"/>
          <w14:textFill>
            <w14:solidFill>
              <w14:schemeClr w14:val="tx1"/>
            </w14:solidFill>
          </w14:textFill>
        </w:rPr>
        <w:t>4.2</w:t>
      </w:r>
      <w:r>
        <w:rPr>
          <w:rFonts w:hint="eastAsia" w:ascii="宋体" w:hAnsi="宋体" w:eastAsia="宋体" w:cs="宋体"/>
          <w:color w:val="000000" w:themeColor="text1"/>
          <w:highlight w:val="none"/>
          <w14:textFill>
            <w14:solidFill>
              <w14:schemeClr w14:val="tx1"/>
            </w14:solidFill>
          </w14:textFill>
        </w:rPr>
        <w:t>.5询问或者质疑事项可能影响采购结果的，采购人应当暂停签订合同，已经签订合同的，应当中止履行合同。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hint="eastAsia" w:ascii="宋体" w:hAnsi="宋体" w:eastAsia="宋体" w:cs="宋体"/>
          <w:color w:val="000000" w:themeColor="text1"/>
          <w:highlight w:val="none"/>
          <w:lang w:val="zh-CN"/>
          <w14:textFill>
            <w14:solidFill>
              <w14:schemeClr w14:val="tx1"/>
            </w14:solidFill>
          </w14:textFill>
        </w:rPr>
      </w:pPr>
      <w:r>
        <w:rPr>
          <w:rFonts w:hint="eastAsia" w:ascii="宋体" w:hAnsi="宋体" w:eastAsia="宋体" w:cs="宋体"/>
          <w:color w:val="000000" w:themeColor="text1"/>
          <w:highlight w:val="none"/>
          <w:lang w:val="zh-CN"/>
          <w14:textFill>
            <w14:solidFill>
              <w14:schemeClr w14:val="tx1"/>
            </w14:solidFill>
          </w14:textFill>
        </w:rPr>
        <w:t>4.3供应商投诉</w:t>
      </w:r>
    </w:p>
    <w:p>
      <w:pPr>
        <w:pStyle w:val="887"/>
        <w:shd w:val="clear" w:color="auto" w:fill="FFFFFF"/>
        <w:snapToGrid w:val="0"/>
        <w:spacing w:after="240" w:afterAutospacing="0" w:line="360" w:lineRule="auto"/>
        <w:ind w:firstLine="480" w:firstLineChars="2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4.3.1质疑供应商对采购人、采购机构的答复不满意或者采购人、采购机构未在规定的时间内作出答复的，可以在答复期满后十五个工作日内向监督管理部门提出投诉。</w:t>
      </w:r>
    </w:p>
    <w:p>
      <w:pPr>
        <w:pStyle w:val="887"/>
        <w:shd w:val="clear" w:color="auto" w:fill="FFFFFF"/>
        <w:snapToGrid w:val="0"/>
        <w:spacing w:after="240" w:afterAutospacing="0" w:line="360" w:lineRule="auto"/>
        <w:ind w:firstLine="480" w:firstLineChars="2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4.3.</w:t>
      </w:r>
      <w:r>
        <w:rPr>
          <w:rFonts w:hint="eastAsia" w:ascii="宋体" w:hAnsi="宋体" w:eastAsia="宋体" w:cs="宋体"/>
          <w:color w:val="000000" w:themeColor="text1"/>
          <w:highlight w:val="none"/>
          <w:lang w:val="zh-CN"/>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80" w:firstLineChars="2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4.3.3供应商投诉应当有明确的请求和必要的证明材料。</w:t>
      </w:r>
    </w:p>
    <w:p>
      <w:pPr>
        <w:pStyle w:val="887"/>
        <w:shd w:val="clear" w:color="auto" w:fill="FFFFFF"/>
        <w:snapToGrid w:val="0"/>
        <w:spacing w:after="240" w:afterAutospacing="0" w:line="360" w:lineRule="auto"/>
        <w:ind w:firstLine="480" w:firstLineChars="2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4.3.5 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投诉书范本及制作说明详见附件3。</w:t>
      </w:r>
    </w:p>
    <w:p>
      <w:pPr>
        <w:pStyle w:val="128"/>
        <w:snapToGrid w:val="0"/>
        <w:spacing w:before="0"/>
        <w:ind w:firstLine="360"/>
        <w:rPr>
          <w:rFonts w:hint="eastAsia" w:ascii="宋体" w:hAnsi="宋体" w:eastAsia="宋体" w:cs="宋体"/>
          <w:color w:val="000000" w:themeColor="text1"/>
          <w:sz w:val="18"/>
          <w:szCs w:val="18"/>
          <w:highlight w:val="none"/>
          <w14:textFill>
            <w14:solidFill>
              <w14:schemeClr w14:val="tx1"/>
            </w14:solidFill>
          </w14:textFill>
        </w:rPr>
      </w:pPr>
    </w:p>
    <w:p>
      <w:pPr>
        <w:adjustRightInd/>
        <w:spacing w:line="360" w:lineRule="auto"/>
        <w:jc w:val="center"/>
        <w:outlineLvl w:val="0"/>
        <w:rPr>
          <w:rFonts w:hint="eastAsia" w:ascii="宋体" w:hAnsi="宋体" w:eastAsia="宋体" w:cs="宋体"/>
          <w:b/>
          <w:color w:val="000000" w:themeColor="text1"/>
          <w:sz w:val="32"/>
          <w:szCs w:val="20"/>
          <w:highlight w:val="none"/>
          <w14:textFill>
            <w14:solidFill>
              <w14:schemeClr w14:val="tx1"/>
            </w14:solidFill>
          </w14:textFill>
        </w:rPr>
      </w:pPr>
      <w:r>
        <w:rPr>
          <w:rFonts w:hint="eastAsia" w:ascii="宋体" w:hAnsi="宋体" w:eastAsia="宋体" w:cs="宋体"/>
          <w:b/>
          <w:color w:val="000000" w:themeColor="text1"/>
          <w:sz w:val="32"/>
          <w:szCs w:val="20"/>
          <w:highlight w:val="none"/>
          <w14:textFill>
            <w14:solidFill>
              <w14:schemeClr w14:val="tx1"/>
            </w14:solidFill>
          </w14:textFill>
        </w:rPr>
        <w:t xml:space="preserve">      二、招标文件的构成、澄清、修改</w:t>
      </w:r>
    </w:p>
    <w:p>
      <w:pPr>
        <w:pStyle w:val="34"/>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5</w:t>
      </w:r>
      <w:r>
        <w:rPr>
          <w:rFonts w:hint="eastAsia" w:ascii="宋体" w:hAnsi="宋体" w:eastAsia="宋体" w:cs="宋体"/>
          <w:b/>
          <w:color w:val="000000" w:themeColor="text1"/>
          <w:sz w:val="24"/>
          <w:szCs w:val="24"/>
          <w:highlight w:val="none"/>
          <w:lang w:val="en-US" w:eastAsia="zh-CN"/>
          <w14:textFill>
            <w14:solidFill>
              <w14:schemeClr w14:val="tx1"/>
            </w14:solidFill>
          </w14:textFill>
        </w:rPr>
        <w:t>.</w:t>
      </w:r>
      <w:r>
        <w:rPr>
          <w:rFonts w:hint="eastAsia" w:ascii="宋体" w:hAnsi="宋体" w:eastAsia="宋体" w:cs="宋体"/>
          <w:b/>
          <w:color w:val="000000" w:themeColor="text1"/>
          <w:sz w:val="24"/>
          <w:szCs w:val="24"/>
          <w:highlight w:val="none"/>
          <w14:textFill>
            <w14:solidFill>
              <w14:schemeClr w14:val="tx1"/>
            </w14:solidFill>
          </w14:textFill>
        </w:rPr>
        <w:t>招标文件的构成</w:t>
      </w:r>
    </w:p>
    <w:p>
      <w:pPr>
        <w:pStyle w:val="34"/>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 招标文件包括下列文件及附件：</w:t>
      </w:r>
    </w:p>
    <w:p>
      <w:pPr>
        <w:pStyle w:val="34"/>
        <w:tabs>
          <w:tab w:val="left" w:pos="840"/>
        </w:tabs>
        <w:spacing w:line="360" w:lineRule="auto"/>
        <w:ind w:firstLine="960" w:firstLineChars="4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5.1.1招标公告；</w:t>
      </w:r>
    </w:p>
    <w:p>
      <w:pPr>
        <w:pStyle w:val="34"/>
        <w:tabs>
          <w:tab w:val="left" w:pos="840"/>
        </w:tabs>
        <w:spacing w:line="360" w:lineRule="auto"/>
        <w:ind w:firstLine="960" w:firstLineChars="4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5.1.2投标人须知；</w:t>
      </w:r>
    </w:p>
    <w:p>
      <w:pPr>
        <w:pStyle w:val="34"/>
        <w:tabs>
          <w:tab w:val="left" w:pos="840"/>
        </w:tabs>
        <w:spacing w:line="360" w:lineRule="auto"/>
        <w:ind w:firstLine="960" w:firstLineChars="4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5.1.3采购需求；</w:t>
      </w:r>
    </w:p>
    <w:p>
      <w:pPr>
        <w:pStyle w:val="34"/>
        <w:tabs>
          <w:tab w:val="left" w:pos="840"/>
        </w:tabs>
        <w:spacing w:line="360" w:lineRule="auto"/>
        <w:ind w:firstLine="960" w:firstLineChars="4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5.1.4评标办法；</w:t>
      </w:r>
    </w:p>
    <w:p>
      <w:pPr>
        <w:pStyle w:val="34"/>
        <w:tabs>
          <w:tab w:val="left" w:pos="840"/>
        </w:tabs>
        <w:spacing w:line="360" w:lineRule="auto"/>
        <w:ind w:firstLine="960" w:firstLineChars="4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5.1.5拟签订的合同文本；</w:t>
      </w:r>
    </w:p>
    <w:p>
      <w:pPr>
        <w:pStyle w:val="34"/>
        <w:tabs>
          <w:tab w:val="left" w:pos="840"/>
        </w:tabs>
        <w:spacing w:line="360" w:lineRule="auto"/>
        <w:ind w:firstLine="960" w:firstLineChars="4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5.1.6</w:t>
      </w:r>
      <w:r>
        <w:rPr>
          <w:rFonts w:hint="eastAsia" w:ascii="宋体" w:hAnsi="宋体" w:eastAsia="宋体" w:cs="宋体"/>
          <w:color w:val="000000" w:themeColor="text1"/>
          <w:sz w:val="24"/>
          <w:szCs w:val="24"/>
          <w:highlight w:val="none"/>
          <w14:textFill>
            <w14:solidFill>
              <w14:schemeClr w14:val="tx1"/>
            </w14:solidFill>
          </w14:textFill>
        </w:rPr>
        <w:t>应提交的有关格式范例。</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5.2与本项目有关的</w:t>
      </w:r>
      <w:r>
        <w:rPr>
          <w:rFonts w:hint="eastAsia" w:ascii="宋体" w:hAnsi="宋体" w:eastAsia="宋体" w:cs="宋体"/>
          <w:bCs/>
          <w:color w:val="000000" w:themeColor="text1"/>
          <w:sz w:val="24"/>
          <w:highlight w:val="none"/>
          <w14:textFill>
            <w14:solidFill>
              <w14:schemeClr w14:val="tx1"/>
            </w14:solidFill>
          </w14:textFill>
        </w:rPr>
        <w:t>澄清或者修改的内容为招标文件的组成部分</w:t>
      </w:r>
      <w:r>
        <w:rPr>
          <w:rFonts w:hint="eastAsia" w:ascii="宋体" w:hAnsi="宋体" w:eastAsia="宋体" w:cs="宋体"/>
          <w:color w:val="000000" w:themeColor="text1"/>
          <w:sz w:val="24"/>
          <w:highlight w:val="none"/>
          <w14:textFill>
            <w14:solidFill>
              <w14:schemeClr w14:val="tx1"/>
            </w14:solidFill>
          </w14:textFill>
        </w:rPr>
        <w:t>。</w:t>
      </w:r>
    </w:p>
    <w:p>
      <w:pPr>
        <w:pStyle w:val="34"/>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6.招标文件的澄清、修改</w:t>
      </w:r>
    </w:p>
    <w:p>
      <w:pPr>
        <w:pStyle w:val="128"/>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6.1已获取招标文件的潜在投标人，若有问题需要澄清，应于投标截止时间前，以书面形式向采购机构提出。</w:t>
      </w:r>
    </w:p>
    <w:p>
      <w:pPr>
        <w:pStyle w:val="128"/>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宋体" w:hAnsi="宋体" w:eastAsia="宋体" w:cs="宋体"/>
          <w:color w:val="000000" w:themeColor="text1"/>
          <w:sz w:val="18"/>
          <w:szCs w:val="18"/>
          <w:highlight w:val="none"/>
          <w:lang w:val="en-US"/>
          <w14:textFill>
            <w14:solidFill>
              <w14:schemeClr w14:val="tx1"/>
            </w14:solidFill>
          </w14:textFill>
        </w:rPr>
      </w:pPr>
      <w:r>
        <w:rPr>
          <w:rFonts w:hint="eastAsia" w:ascii="宋体" w:hAnsi="宋体" w:eastAsia="宋体" w:cs="宋体"/>
          <w:color w:val="000000" w:themeColor="text1"/>
          <w:szCs w:val="24"/>
          <w:highlight w:val="none"/>
          <w:lang w:val="en-US"/>
          <w14:textFill>
            <w14:solidFill>
              <w14:schemeClr w14:val="tx1"/>
            </w14:solidFill>
          </w14:textFill>
        </w:rPr>
        <w:t xml:space="preserve">    </w:t>
      </w:r>
    </w:p>
    <w:p>
      <w:pPr>
        <w:adjustRightInd/>
        <w:spacing w:line="360" w:lineRule="auto"/>
        <w:jc w:val="center"/>
        <w:outlineLvl w:val="0"/>
        <w:rPr>
          <w:rFonts w:hint="eastAsia" w:ascii="宋体" w:hAnsi="宋体" w:eastAsia="宋体" w:cs="宋体"/>
          <w:b/>
          <w:color w:val="000000" w:themeColor="text1"/>
          <w:sz w:val="30"/>
          <w:szCs w:val="20"/>
          <w:highlight w:val="none"/>
          <w14:textFill>
            <w14:solidFill>
              <w14:schemeClr w14:val="tx1"/>
            </w14:solidFill>
          </w14:textFill>
        </w:rPr>
      </w:pPr>
      <w:r>
        <w:rPr>
          <w:rFonts w:hint="eastAsia" w:ascii="宋体" w:hAnsi="宋体" w:eastAsia="宋体" w:cs="宋体"/>
          <w:b/>
          <w:color w:val="000000" w:themeColor="text1"/>
          <w:sz w:val="30"/>
          <w:szCs w:val="20"/>
          <w:highlight w:val="none"/>
          <w14:textFill>
            <w14:solidFill>
              <w14:schemeClr w14:val="tx1"/>
            </w14:solidFill>
          </w14:textFill>
        </w:rPr>
        <w:t>三、投标</w:t>
      </w:r>
    </w:p>
    <w:p>
      <w:pPr>
        <w:pStyle w:val="34"/>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7.招标文件的获取</w:t>
      </w:r>
    </w:p>
    <w:p>
      <w:pPr>
        <w:spacing w:line="360" w:lineRule="auto"/>
        <w:ind w:firstLine="480" w:firstLineChars="200"/>
        <w:rPr>
          <w:rFonts w:hint="eastAsia" w:ascii="宋体" w:hAnsi="宋体" w:eastAsia="宋体" w:cs="宋体"/>
          <w:snapToGrid w:val="0"/>
          <w:color w:val="000000" w:themeColor="text1"/>
          <w:kern w:val="28"/>
          <w:sz w:val="24"/>
          <w:highlight w:val="none"/>
          <w14:textFill>
            <w14:solidFill>
              <w14:schemeClr w14:val="tx1"/>
            </w14:solidFill>
          </w14:textFill>
        </w:rPr>
      </w:pPr>
      <w:r>
        <w:rPr>
          <w:rFonts w:hint="eastAsia" w:ascii="宋体" w:hAnsi="宋体" w:eastAsia="宋体" w:cs="宋体"/>
          <w:snapToGrid w:val="0"/>
          <w:color w:val="000000" w:themeColor="text1"/>
          <w:kern w:val="28"/>
          <w:sz w:val="24"/>
          <w:highlight w:val="none"/>
          <w14:textFill>
            <w14:solidFill>
              <w14:schemeClr w14:val="tx1"/>
            </w14:solidFill>
          </w14:textFill>
        </w:rPr>
        <w:t>详见招标公告中获取招标文件的时间期限、地点、方式及招标文件售价。</w:t>
      </w:r>
    </w:p>
    <w:p>
      <w:pPr>
        <w:pStyle w:val="34"/>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8.开标前答疑会或现场考察</w:t>
      </w:r>
    </w:p>
    <w:p>
      <w:pPr>
        <w:pStyle w:val="34"/>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4"/>
        <w:spacing w:line="360" w:lineRule="auto"/>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kern w:val="28"/>
          <w:sz w:val="24"/>
          <w:szCs w:val="24"/>
          <w:highlight w:val="none"/>
          <w14:textFill>
            <w14:solidFill>
              <w14:schemeClr w14:val="tx1"/>
            </w14:solidFill>
          </w14:textFill>
        </w:rPr>
        <w:t>9.投标保证金</w:t>
      </w:r>
    </w:p>
    <w:p>
      <w:pPr>
        <w:pStyle w:val="15"/>
        <w:spacing w:line="360" w:lineRule="auto"/>
        <w:ind w:firstLine="470" w:firstLineChars="19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本项目不需缴纳投标保证金。</w:t>
      </w:r>
    </w:p>
    <w:p>
      <w:pPr>
        <w:pStyle w:val="34"/>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10.投标文件的语言</w:t>
      </w:r>
    </w:p>
    <w:p>
      <w:pPr>
        <w:autoSpaceDE w:val="0"/>
        <w:autoSpaceDN w:val="0"/>
        <w:spacing w:line="360" w:lineRule="auto"/>
        <w:ind w:firstLine="480" w:firstLineChars="200"/>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投标文件及投标人与采购有关的来往通知、函件和文件均应使用中文。</w:t>
      </w:r>
    </w:p>
    <w:p>
      <w:pPr>
        <w:pStyle w:val="34"/>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11.投标文件的组成</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11.1</w:t>
      </w:r>
      <w:r>
        <w:rPr>
          <w:rFonts w:hint="eastAsia" w:ascii="宋体" w:hAnsi="宋体" w:eastAsia="宋体" w:cs="宋体"/>
          <w:b/>
          <w:color w:val="000000" w:themeColor="text1"/>
          <w:sz w:val="24"/>
          <w:highlight w:val="none"/>
          <w14:textFill>
            <w14:solidFill>
              <w14:schemeClr w14:val="tx1"/>
            </w14:solidFill>
          </w14:textFill>
        </w:rPr>
        <w:t>资格文件</w:t>
      </w: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11.1.1符合参加政府采购活动应当具备的一般条件的承诺函；</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11.1.2落实政府采购政策需满足的资格要求；</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11.1.3本项目的特定资格要求。</w:t>
      </w:r>
    </w:p>
    <w:p>
      <w:pPr>
        <w:snapToGrid w:val="0"/>
        <w:spacing w:line="360" w:lineRule="auto"/>
        <w:ind w:firstLine="480" w:firstLineChars="200"/>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 xml:space="preserve"> </w:t>
      </w:r>
      <w:r>
        <w:rPr>
          <w:rFonts w:hint="eastAsia" w:ascii="宋体" w:hAnsi="宋体" w:eastAsia="宋体" w:cs="宋体"/>
          <w:b/>
          <w:bCs/>
          <w:color w:val="000000" w:themeColor="text1"/>
          <w:sz w:val="24"/>
          <w:highlight w:val="none"/>
          <w14:textFill>
            <w14:solidFill>
              <w14:schemeClr w14:val="tx1"/>
            </w14:solidFill>
          </w14:textFill>
        </w:rPr>
        <w:t>商务技术</w:t>
      </w:r>
      <w:r>
        <w:rPr>
          <w:rFonts w:hint="eastAsia" w:ascii="宋体" w:hAnsi="宋体" w:eastAsia="宋体" w:cs="宋体"/>
          <w:b/>
          <w:bCs/>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11.2.1投标函；</w:t>
      </w:r>
      <w:r>
        <w:rPr>
          <w:rFonts w:hint="eastAsia" w:ascii="宋体" w:hAnsi="宋体" w:eastAsia="宋体" w:cs="宋体"/>
          <w:color w:val="000000" w:themeColor="text1"/>
          <w:sz w:val="24"/>
          <w:highlight w:val="none"/>
          <w:lang w:val="zh-CN"/>
          <w14:textFill>
            <w14:solidFill>
              <w14:schemeClr w14:val="tx1"/>
            </w14:solidFill>
          </w14:textFill>
        </w:rPr>
        <w:t xml:space="preserve"> </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11.2.3联合协议；</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11.2.4分包意向协议；</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11.2.5符合性审查资料；</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11.2.6评标标准相应的商务技术资料；</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11.2.7投标标的清单；</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11.2.8商务技术偏离表；</w:t>
      </w:r>
    </w:p>
    <w:p>
      <w:pPr>
        <w:snapToGrid w:val="0"/>
        <w:spacing w:line="360" w:lineRule="auto"/>
        <w:ind w:firstLine="960" w:firstLineChars="400"/>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9</w:t>
      </w:r>
      <w:r>
        <w:rPr>
          <w:rFonts w:hint="eastAsia" w:ascii="宋体" w:hAnsi="宋体" w:eastAsia="宋体" w:cs="宋体"/>
          <w:color w:val="000000" w:themeColor="text1"/>
          <w:sz w:val="24"/>
          <w:highlight w:val="none"/>
          <w:lang w:val="zh-CN"/>
          <w14:textFill>
            <w14:solidFill>
              <w14:schemeClr w14:val="tx1"/>
            </w14:solidFill>
          </w14:textFill>
        </w:rPr>
        <w:t>政府采购供应商廉洁自律承诺书</w:t>
      </w:r>
      <w:r>
        <w:rPr>
          <w:rFonts w:hint="eastAsia" w:ascii="宋体" w:hAnsi="宋体" w:cs="宋体"/>
          <w:color w:val="000000" w:themeColor="text1"/>
          <w:sz w:val="24"/>
          <w:highlight w:val="none"/>
          <w:lang w:val="zh-CN"/>
          <w14:textFill>
            <w14:solidFill>
              <w14:schemeClr w14:val="tx1"/>
            </w14:solidFill>
          </w14:textFill>
        </w:rPr>
        <w:t>。</w:t>
      </w:r>
    </w:p>
    <w:p>
      <w:pPr>
        <w:snapToGrid w:val="0"/>
        <w:spacing w:line="360" w:lineRule="auto"/>
        <w:ind w:firstLine="480" w:firstLineChars="200"/>
        <w:rPr>
          <w:rFonts w:hint="eastAsia" w:ascii="宋体" w:hAnsi="宋体" w:eastAsia="宋体" w:cs="宋体"/>
          <w:color w:val="000000" w:themeColor="text1"/>
          <w:sz w:val="24"/>
          <w:highlight w:val="none"/>
          <w:u w:val="singl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11.</w:t>
      </w:r>
      <w:r>
        <w:rPr>
          <w:rFonts w:hint="eastAsia" w:ascii="宋体" w:hAnsi="宋体" w:eastAsia="宋体" w:cs="宋体"/>
          <w:color w:val="000000" w:themeColor="text1"/>
          <w:kern w:val="0"/>
          <w:sz w:val="24"/>
          <w:highlight w:val="none"/>
          <w14:textFill>
            <w14:solidFill>
              <w14:schemeClr w14:val="tx1"/>
            </w14:solidFill>
          </w14:textFill>
        </w:rPr>
        <w:t>3</w:t>
      </w:r>
      <w:r>
        <w:rPr>
          <w:rFonts w:hint="eastAsia" w:ascii="宋体" w:hAnsi="宋体" w:eastAsia="宋体" w:cs="宋体"/>
          <w:b/>
          <w:color w:val="000000" w:themeColor="text1"/>
          <w:sz w:val="24"/>
          <w:highlight w:val="none"/>
          <w14:textFill>
            <w14:solidFill>
              <w14:schemeClr w14:val="tx1"/>
            </w14:solidFill>
          </w14:textFill>
        </w:rPr>
        <w:t>报价文件：</w:t>
      </w:r>
      <w:r>
        <w:rPr>
          <w:rFonts w:hint="eastAsia" w:ascii="宋体" w:hAnsi="宋体" w:eastAsia="宋体" w:cs="宋体"/>
          <w:color w:val="000000" w:themeColor="text1"/>
          <w:sz w:val="24"/>
          <w:highlight w:val="none"/>
          <w14:textFill>
            <w14:solidFill>
              <w14:schemeClr w14:val="tx1"/>
            </w14:solidFill>
          </w14:textFill>
        </w:rPr>
        <w:t xml:space="preserve"> </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11.3.1开标一览表（报价表）；</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11.3.2中小企业声明函。</w:t>
      </w:r>
    </w:p>
    <w:p>
      <w:pPr>
        <w:spacing w:line="360" w:lineRule="auto"/>
        <w:ind w:firstLine="723" w:firstLineChars="3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投标人提供虚假材料投标的，投标无效。</w:t>
      </w:r>
    </w:p>
    <w:p>
      <w:pPr>
        <w:pStyle w:val="128"/>
        <w:snapToGrid w:val="0"/>
        <w:spacing w:before="0"/>
        <w:ind w:firstLine="0" w:firstLineChars="0"/>
        <w:outlineLvl w:val="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12</w:t>
      </w:r>
      <w:r>
        <w:rPr>
          <w:rFonts w:hint="eastAsia" w:ascii="宋体" w:hAnsi="宋体" w:eastAsia="宋体" w:cs="宋体"/>
          <w:b/>
          <w:color w:val="000000" w:themeColor="text1"/>
          <w:kern w:val="0"/>
          <w:szCs w:val="24"/>
          <w:highlight w:val="none"/>
          <w:lang w:val="zh-CN"/>
          <w14:textFill>
            <w14:solidFill>
              <w14:schemeClr w14:val="tx1"/>
            </w14:solidFill>
          </w14:textFill>
        </w:rPr>
        <w:t>.</w:t>
      </w:r>
      <w:r>
        <w:rPr>
          <w:rFonts w:hint="eastAsia" w:ascii="宋体" w:hAnsi="宋体" w:eastAsia="宋体" w:cs="宋体"/>
          <w:b/>
          <w:color w:val="000000" w:themeColor="text1"/>
          <w:szCs w:val="24"/>
          <w:highlight w:val="none"/>
          <w14:textFill>
            <w14:solidFill>
              <w14:schemeClr w14:val="tx1"/>
            </w14:solidFill>
          </w14:textFill>
        </w:rPr>
        <w:t>投标文件的编制</w:t>
      </w:r>
    </w:p>
    <w:p>
      <w:pPr>
        <w:spacing w:line="360" w:lineRule="auto"/>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13.投标文件的签署、盖章</w:t>
      </w:r>
    </w:p>
    <w:p>
      <w:pPr>
        <w:pStyle w:val="128"/>
        <w:snapToGrid w:val="0"/>
        <w:spacing w:before="0"/>
        <w:ind w:firstLine="480"/>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13.1投标文件按照招标文件第六部分格式要</w:t>
      </w:r>
      <w:r>
        <w:rPr>
          <w:rFonts w:hint="eastAsia" w:ascii="宋体" w:hAnsi="宋体" w:eastAsia="宋体" w:cs="宋体"/>
          <w:color w:val="000000" w:themeColor="text1"/>
          <w:highlight w:val="none"/>
          <w14:textFill>
            <w14:solidFill>
              <w14:schemeClr w14:val="tx1"/>
            </w14:solidFill>
          </w14:textFill>
        </w:rPr>
        <w:t>求进行签署、盖章。</w:t>
      </w:r>
      <w:r>
        <w:rPr>
          <w:rFonts w:hint="eastAsia" w:ascii="宋体" w:hAnsi="宋体" w:eastAsia="宋体" w:cs="宋体"/>
          <w:b/>
          <w:color w:val="000000" w:themeColor="text1"/>
          <w:highlight w:val="none"/>
          <w14:textFill>
            <w14:solidFill>
              <w14:schemeClr w14:val="tx1"/>
            </w14:solidFill>
          </w14:textFill>
        </w:rPr>
        <w:t>▲投标人的投标文件未按照招标文件要求签署、盖章的，其投标无效</w:t>
      </w:r>
      <w:r>
        <w:rPr>
          <w:rFonts w:hint="eastAsia" w:ascii="宋体" w:hAnsi="宋体" w:eastAsia="宋体" w:cs="宋体"/>
          <w:color w:val="000000" w:themeColor="text1"/>
          <w:szCs w:val="24"/>
          <w:highlight w:val="none"/>
          <w14:textFill>
            <w14:solidFill>
              <w14:schemeClr w14:val="tx1"/>
            </w14:solidFill>
          </w14:textFill>
        </w:rPr>
        <w:t>。</w:t>
      </w:r>
    </w:p>
    <w:p>
      <w:pPr>
        <w:pStyle w:val="128"/>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13.3招标文件对投标文件签署、盖章的要求适用于电子签名。</w:t>
      </w:r>
    </w:p>
    <w:p>
      <w:pPr>
        <w:pStyle w:val="128"/>
        <w:spacing w:before="0"/>
        <w:ind w:firstLine="0" w:firstLineChars="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14.投标文件的提交、补充、修改、撤回</w:t>
      </w:r>
    </w:p>
    <w:p>
      <w:pPr>
        <w:pStyle w:val="128"/>
        <w:ind w:left="0" w:leftChars="0" w:firstLine="480" w:firstLineChars="20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14.3采购人、采购机构可以视情况延长投标文件提交的截止时间。在上述情况下，采购机构与投标人以前在投标截止期方面的全部权利、责任和义务，将适用于延长至新的投标截止期。</w:t>
      </w:r>
    </w:p>
    <w:p>
      <w:pPr>
        <w:pStyle w:val="34"/>
        <w:numPr>
          <w:ilvl w:val="0"/>
          <w:numId w:val="1"/>
        </w:numPr>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备份投标文件</w:t>
      </w:r>
    </w:p>
    <w:p>
      <w:pPr>
        <w:pStyle w:val="34"/>
        <w:numPr>
          <w:ilvl w:val="0"/>
          <w:numId w:val="0"/>
        </w:numPr>
        <w:spacing w:line="360" w:lineRule="auto"/>
        <w:ind w:firstLine="482"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lang w:eastAsia="zh-CN"/>
          <w14:textFill>
            <w14:solidFill>
              <w14:schemeClr w14:val="tx1"/>
            </w14:solidFill>
          </w14:textFill>
        </w:rPr>
        <w:t>不收取</w:t>
      </w:r>
      <w:r>
        <w:rPr>
          <w:rFonts w:hint="eastAsia" w:ascii="宋体" w:hAnsi="宋体" w:eastAsia="宋体" w:cs="宋体"/>
          <w:b/>
          <w:color w:val="000000" w:themeColor="text1"/>
          <w:sz w:val="24"/>
          <w:szCs w:val="24"/>
          <w:highlight w:val="none"/>
          <w14:textFill>
            <w14:solidFill>
              <w14:schemeClr w14:val="tx1"/>
            </w14:solidFill>
          </w14:textFill>
        </w:rPr>
        <w:t>。</w:t>
      </w:r>
    </w:p>
    <w:p>
      <w:pPr>
        <w:pStyle w:val="128"/>
        <w:spacing w:before="0"/>
        <w:ind w:firstLine="0" w:firstLineChars="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16.投标文件的无效处理</w:t>
      </w:r>
    </w:p>
    <w:p>
      <w:pPr>
        <w:pStyle w:val="26"/>
        <w:spacing w:line="360" w:lineRule="auto"/>
        <w:ind w:firstLine="360" w:firstLineChars="15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有招标文件第四部分</w:t>
      </w:r>
      <w:r>
        <w:rPr>
          <w:rFonts w:hint="eastAsia" w:ascii="宋体" w:hAnsi="宋体" w:eastAsia="宋体" w:cs="宋体"/>
          <w:color w:val="000000" w:themeColor="text1"/>
          <w:highlight w:val="none"/>
          <w14:textFill>
            <w14:solidFill>
              <w14:schemeClr w14:val="tx1"/>
            </w14:solidFill>
          </w14:textFill>
        </w:rPr>
        <w:t>4.2规定</w:t>
      </w:r>
      <w:r>
        <w:rPr>
          <w:rFonts w:hint="eastAsia" w:ascii="宋体" w:hAnsi="宋体" w:eastAsia="宋体" w:cs="宋体"/>
          <w:color w:val="000000" w:themeColor="text1"/>
          <w:szCs w:val="21"/>
          <w:highlight w:val="none"/>
          <w14:textFill>
            <w14:solidFill>
              <w14:schemeClr w14:val="tx1"/>
            </w14:solidFill>
          </w14:textFill>
        </w:rPr>
        <w:t>的情形之一的，投标无效：</w:t>
      </w:r>
    </w:p>
    <w:p>
      <w:pPr>
        <w:pStyle w:val="128"/>
        <w:spacing w:before="0"/>
        <w:ind w:firstLine="0" w:firstLineChars="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17.投标有效期</w:t>
      </w:r>
    </w:p>
    <w:p>
      <w:pPr>
        <w:spacing w:line="360" w:lineRule="auto"/>
        <w:ind w:firstLine="480" w:firstLineChars="200"/>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0"/>
          <w:highlight w:val="none"/>
          <w14:textFill>
            <w14:solidFill>
              <w14:schemeClr w14:val="tx1"/>
            </w14:solidFill>
          </w14:textFill>
        </w:rPr>
        <w:t>17.1投标有效期为从提交投标文件的截止之日起90天。▲</w:t>
      </w:r>
      <w:r>
        <w:rPr>
          <w:rFonts w:hint="eastAsia" w:ascii="宋体" w:hAnsi="宋体" w:eastAsia="宋体" w:cs="宋体"/>
          <w:b/>
          <w:color w:val="000000" w:themeColor="text1"/>
          <w:sz w:val="24"/>
          <w:szCs w:val="20"/>
          <w:highlight w:val="none"/>
          <w14:textFill>
            <w14:solidFill>
              <w14:schemeClr w14:val="tx1"/>
            </w14:solidFill>
          </w14:textFill>
        </w:rPr>
        <w:t>投标人的投标文件中承</w:t>
      </w:r>
      <w:r>
        <w:rPr>
          <w:rFonts w:hint="eastAsia" w:ascii="宋体" w:hAnsi="宋体" w:eastAsia="宋体" w:cs="宋体"/>
          <w:b/>
          <w:color w:val="000000" w:themeColor="text1"/>
          <w:sz w:val="24"/>
          <w:szCs w:val="21"/>
          <w:highlight w:val="none"/>
          <w14:textFill>
            <w14:solidFill>
              <w14:schemeClr w14:val="tx1"/>
            </w14:solidFill>
          </w14:textFill>
        </w:rPr>
        <w:t>诺的投标有效期少于招标文件中载明的投标有效期的，投标无效。</w:t>
      </w:r>
    </w:p>
    <w:p>
      <w:pPr>
        <w:pStyle w:val="128"/>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17.2投标文件合格投递后，自投标截止日期起，在投标有效期内有效。</w:t>
      </w:r>
    </w:p>
    <w:p>
      <w:pPr>
        <w:pStyle w:val="128"/>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hint="eastAsia" w:ascii="宋体" w:hAnsi="宋体" w:eastAsia="宋体" w:cs="宋体"/>
          <w:b/>
          <w:color w:val="000000" w:themeColor="text1"/>
          <w:sz w:val="32"/>
          <w:highlight w:val="none"/>
          <w14:textFill>
            <w14:solidFill>
              <w14:schemeClr w14:val="tx1"/>
            </w14:solidFill>
          </w14:textFill>
        </w:rPr>
      </w:pPr>
    </w:p>
    <w:p>
      <w:pPr>
        <w:pStyle w:val="128"/>
        <w:spacing w:before="0"/>
        <w:ind w:firstLine="1928" w:firstLineChars="600"/>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四、开标、资格审查与信用信息查询</w:t>
      </w:r>
    </w:p>
    <w:p>
      <w:pPr>
        <w:pStyle w:val="554"/>
        <w:spacing w:before="0" w:line="360" w:lineRule="auto"/>
        <w:ind w:left="0" w:leftChars="0" w:firstLine="0" w:firstLineChars="0"/>
        <w:contextualSpacing/>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18.开标</w:t>
      </w:r>
      <w:r>
        <w:rPr>
          <w:rFonts w:hint="eastAsia" w:ascii="宋体" w:hAnsi="宋体" w:eastAsia="宋体" w:cs="宋体"/>
          <w:color w:val="000000" w:themeColor="text1"/>
          <w:sz w:val="24"/>
          <w:highlight w:val="none"/>
          <w14:textFill>
            <w14:solidFill>
              <w14:schemeClr w14:val="tx1"/>
            </w14:solidFill>
          </w14:textFill>
        </w:rPr>
        <w:t xml:space="preserve"> </w:t>
      </w:r>
    </w:p>
    <w:p>
      <w:pPr>
        <w:pStyle w:val="554"/>
        <w:spacing w:before="0" w:line="360" w:lineRule="auto"/>
        <w:ind w:left="0" w:firstLine="480" w:firstLineChars="200"/>
        <w:contextualSpacing/>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18.2开标时，电子交易平台按开标时间自动提取所有投标文件。采购机构依托电子交易平台发起开始解密指令，投标人按照平台提示和招标文件的规定在半小时内完成在线解密。</w:t>
      </w:r>
    </w:p>
    <w:p>
      <w:pPr>
        <w:widowControl/>
        <w:spacing w:before="100" w:beforeAutospacing="1" w:after="240" w:line="360" w:lineRule="auto"/>
        <w:jc w:val="left"/>
        <w:rPr>
          <w:rFonts w:hint="eastAsia" w:ascii="宋体" w:hAnsi="宋体" w:eastAsia="宋体" w:cs="宋体"/>
          <w:b/>
          <w:color w:val="000000" w:themeColor="text1"/>
          <w:sz w:val="24"/>
          <w:szCs w:val="20"/>
          <w:highlight w:val="none"/>
          <w14:textFill>
            <w14:solidFill>
              <w14:schemeClr w14:val="tx1"/>
            </w14:solidFill>
          </w14:textFill>
        </w:rPr>
      </w:pPr>
      <w:r>
        <w:rPr>
          <w:rFonts w:hint="eastAsia" w:ascii="宋体" w:hAnsi="宋体" w:eastAsia="宋体" w:cs="宋体"/>
          <w:b/>
          <w:color w:val="000000" w:themeColor="text1"/>
          <w:sz w:val="24"/>
          <w:szCs w:val="20"/>
          <w:highlight w:val="none"/>
          <w14:textFill>
            <w14:solidFill>
              <w14:schemeClr w14:val="tx1"/>
            </w14:solidFill>
          </w14:textFill>
        </w:rPr>
        <w:t>19</w:t>
      </w:r>
      <w:r>
        <w:rPr>
          <w:rFonts w:hint="eastAsia" w:ascii="宋体" w:hAnsi="宋体" w:eastAsia="宋体" w:cs="宋体"/>
          <w:b/>
          <w:color w:val="000000" w:themeColor="text1"/>
          <w:sz w:val="24"/>
          <w:szCs w:val="20"/>
          <w:highlight w:val="none"/>
          <w:lang w:val="en-US" w:eastAsia="zh-CN"/>
          <w14:textFill>
            <w14:solidFill>
              <w14:schemeClr w14:val="tx1"/>
            </w14:solidFill>
          </w14:textFill>
        </w:rPr>
        <w:t>.</w:t>
      </w:r>
      <w:r>
        <w:rPr>
          <w:rFonts w:hint="eastAsia" w:ascii="宋体" w:hAnsi="宋体" w:eastAsia="宋体" w:cs="宋体"/>
          <w:b/>
          <w:color w:val="000000" w:themeColor="text1"/>
          <w:sz w:val="24"/>
          <w:szCs w:val="20"/>
          <w:highlight w:val="none"/>
          <w14:textFill>
            <w14:solidFill>
              <w14:schemeClr w14:val="tx1"/>
            </w14:solidFill>
          </w14:textFill>
        </w:rPr>
        <w:t>资格审查</w:t>
      </w:r>
    </w:p>
    <w:p>
      <w:pPr>
        <w:pStyle w:val="128"/>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19.1开标后，采购人或采购机构将依法对投标人的资格进行审查。</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19.2</w:t>
      </w:r>
      <w:r>
        <w:rPr>
          <w:rFonts w:hint="eastAsia" w:ascii="宋体" w:hAnsi="宋体" w:eastAsia="宋体" w:cs="宋体"/>
          <w:color w:val="000000" w:themeColor="text1"/>
          <w:sz w:val="24"/>
          <w:highlight w:val="none"/>
          <w14:textFill>
            <w14:solidFill>
              <w14:schemeClr w14:val="tx1"/>
            </w14:solidFill>
          </w14:textFill>
        </w:rPr>
        <w:t>采购人或采购机构依据法律法规和招标文件的规定，对投标人的基本资格条件、特定资格条件进行审查。</w:t>
      </w:r>
    </w:p>
    <w:p>
      <w:pPr>
        <w:pStyle w:val="128"/>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19.3投标人未按照招标文件要求提供与</w:t>
      </w:r>
      <w:r>
        <w:rPr>
          <w:rFonts w:hint="eastAsia" w:ascii="宋体" w:hAnsi="宋体" w:eastAsia="宋体" w:cs="宋体"/>
          <w:color w:val="000000" w:themeColor="text1"/>
          <w:highlight w:val="none"/>
          <w14:textFill>
            <w14:solidFill>
              <w14:schemeClr w14:val="tx1"/>
            </w14:solidFill>
          </w14:textFill>
        </w:rPr>
        <w:t>基本资格条件、特定资格条件相应的</w:t>
      </w:r>
      <w:r>
        <w:rPr>
          <w:rFonts w:hint="eastAsia" w:ascii="宋体" w:hAnsi="宋体" w:eastAsia="宋体" w:cs="宋体"/>
          <w:color w:val="000000" w:themeColor="text1"/>
          <w:kern w:val="0"/>
          <w:szCs w:val="24"/>
          <w:highlight w:val="none"/>
          <w14:textFill>
            <w14:solidFill>
              <w14:schemeClr w14:val="tx1"/>
            </w14:solidFill>
          </w14:textFill>
        </w:rPr>
        <w:t>有效资格证明材料的，视为</w:t>
      </w:r>
      <w:r>
        <w:rPr>
          <w:rFonts w:hint="eastAsia" w:ascii="宋体" w:hAnsi="宋体" w:eastAsia="宋体" w:cs="宋体"/>
          <w:color w:val="000000" w:themeColor="text1"/>
          <w:highlight w:val="none"/>
          <w14:textFill>
            <w14:solidFill>
              <w14:schemeClr w14:val="tx1"/>
            </w14:solidFill>
          </w14:textFill>
        </w:rPr>
        <w:t>投标人不具备招标文件中规定的资格要求，其投标无效。</w:t>
      </w:r>
    </w:p>
    <w:p>
      <w:pPr>
        <w:pStyle w:val="128"/>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19.</w:t>
      </w:r>
      <w:r>
        <w:rPr>
          <w:rFonts w:hint="eastAsia" w:ascii="宋体" w:hAnsi="宋体" w:eastAsia="宋体" w:cs="宋体"/>
          <w:color w:val="000000" w:themeColor="text1"/>
          <w:highlight w:val="none"/>
          <w14:textFill>
            <w14:solidFill>
              <w14:schemeClr w14:val="tx1"/>
            </w14:solidFill>
          </w14:textFill>
        </w:rPr>
        <w:t>4对未通过资格审查的投标人，采购人或采购机构告知其未通过的原因。</w:t>
      </w:r>
    </w:p>
    <w:p>
      <w:pPr>
        <w:pStyle w:val="128"/>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19.</w:t>
      </w:r>
      <w:r>
        <w:rPr>
          <w:rFonts w:hint="eastAsia" w:ascii="宋体" w:hAnsi="宋体" w:eastAsia="宋体" w:cs="宋体"/>
          <w:color w:val="000000" w:themeColor="text1"/>
          <w:highlight w:val="none"/>
          <w14:textFill>
            <w14:solidFill>
              <w14:schemeClr w14:val="tx1"/>
            </w14:solidFill>
          </w14:textFill>
        </w:rPr>
        <w:t>5合格投标人不足3家的，不再评标。</w:t>
      </w:r>
    </w:p>
    <w:p>
      <w:pPr>
        <w:pStyle w:val="128"/>
        <w:spacing w:before="0"/>
        <w:ind w:firstLine="0" w:firstLineChars="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20</w:t>
      </w:r>
      <w:r>
        <w:rPr>
          <w:rFonts w:hint="eastAsia" w:ascii="宋体" w:hAnsi="宋体" w:eastAsia="宋体" w:cs="宋体"/>
          <w:b/>
          <w:color w:val="000000" w:themeColor="text1"/>
          <w:szCs w:val="24"/>
          <w:highlight w:val="none"/>
          <w:lang w:val="en-US" w:eastAsia="zh-CN"/>
          <w14:textFill>
            <w14:solidFill>
              <w14:schemeClr w14:val="tx1"/>
            </w14:solidFill>
          </w14:textFill>
        </w:rPr>
        <w:t>.</w:t>
      </w:r>
      <w:r>
        <w:rPr>
          <w:rFonts w:hint="eastAsia" w:ascii="宋体" w:hAnsi="宋体" w:eastAsia="宋体" w:cs="宋体"/>
          <w:b/>
          <w:color w:val="000000" w:themeColor="text1"/>
          <w:szCs w:val="24"/>
          <w:highlight w:val="none"/>
          <w14:textFill>
            <w14:solidFill>
              <w14:schemeClr w14:val="tx1"/>
            </w14:solidFill>
          </w14:textFill>
        </w:rPr>
        <w:t>信用信息查询</w:t>
      </w:r>
    </w:p>
    <w:p>
      <w:pPr>
        <w:pStyle w:val="128"/>
        <w:spacing w:before="0"/>
        <w:ind w:firstLine="495" w:firstLineChars="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20.2信用信息查询记录和证据留存的具体方式：现场查询的投标人的信用记录、查询结果经确认后将与采购文件一起存档。</w:t>
      </w:r>
    </w:p>
    <w:p>
      <w:pPr>
        <w:pStyle w:val="128"/>
        <w:spacing w:before="0"/>
        <w:ind w:firstLine="495" w:firstLineChars="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000000" w:themeColor="text1"/>
          <w:highlight w:val="none"/>
          <w14:textFill>
            <w14:solidFill>
              <w14:schemeClr w14:val="tx1"/>
            </w14:solidFill>
          </w14:textFill>
        </w:rPr>
        <w:t>。</w:t>
      </w:r>
    </w:p>
    <w:p>
      <w:pPr>
        <w:pStyle w:val="128"/>
        <w:spacing w:before="0"/>
        <w:ind w:firstLine="0" w:firstLineChars="0"/>
        <w:rPr>
          <w:rFonts w:hint="eastAsia" w:ascii="宋体" w:hAnsi="宋体" w:eastAsia="宋体" w:cs="宋体"/>
          <w:color w:val="000000" w:themeColor="text1"/>
          <w:kern w:val="0"/>
          <w:szCs w:val="24"/>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t>五、评标</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bookmarkStart w:id="15" w:name="_Toc91899903"/>
      <w:r>
        <w:rPr>
          <w:rFonts w:hint="eastAsia" w:ascii="宋体" w:hAnsi="宋体" w:eastAsia="宋体" w:cs="宋体"/>
          <w:b/>
          <w:color w:val="000000" w:themeColor="text1"/>
          <w:sz w:val="24"/>
          <w:highlight w:val="none"/>
          <w14:textFill>
            <w14:solidFill>
              <w14:schemeClr w14:val="tx1"/>
            </w14:solidFill>
          </w14:textFill>
        </w:rPr>
        <w:t>21.</w:t>
      </w:r>
      <w:r>
        <w:rPr>
          <w:rFonts w:hint="eastAsia" w:ascii="宋体" w:hAnsi="宋体" w:eastAsia="宋体" w:cs="宋体"/>
          <w:color w:val="000000" w:themeColor="text1"/>
          <w:sz w:val="24"/>
          <w:highlight w:val="none"/>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000000" w:themeColor="text1"/>
          <w:sz w:val="24"/>
          <w:highlight w:val="none"/>
          <w14:textFill>
            <w14:solidFill>
              <w14:schemeClr w14:val="tx1"/>
            </w14:solidFill>
          </w14:textFill>
        </w:rPr>
        <w:t>详见招标文件第四部分评标办法。</w:t>
      </w:r>
    </w:p>
    <w:p>
      <w:pPr>
        <w:snapToGrid w:val="0"/>
        <w:spacing w:line="360" w:lineRule="auto"/>
        <w:jc w:val="center"/>
        <w:outlineLvl w:val="0"/>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t>六、定 标</w:t>
      </w:r>
    </w:p>
    <w:p>
      <w:pPr>
        <w:pStyle w:val="26"/>
        <w:spacing w:line="360" w:lineRule="auto"/>
        <w:ind w:left="479" w:hanging="479" w:hangingChars="199"/>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22.确定中标供应商</w:t>
      </w:r>
    </w:p>
    <w:p>
      <w:pPr>
        <w:pStyle w:val="128"/>
        <w:snapToGrid w:val="0"/>
        <w:spacing w:before="0"/>
        <w:ind w:firstLine="48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采购人将自收到评审报告之日起5个工作日内通过电子交易平台在评审报告推荐的中标候选人中按顺序确定中标供应商。</w:t>
      </w:r>
    </w:p>
    <w:p>
      <w:pPr>
        <w:pStyle w:val="128"/>
        <w:snapToGrid w:val="0"/>
        <w:spacing w:before="0"/>
        <w:ind w:firstLine="0" w:firstLineChars="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23.中标通知与中标结果公告</w:t>
      </w:r>
    </w:p>
    <w:p>
      <w:pPr>
        <w:widowControl/>
        <w:shd w:val="clear" w:color="auto" w:fill="FFFFFF"/>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23.2中标结果公告内容包括采购人及其委托的采购机构的名称、地址、联系方式，项目名称和项目编号，中标人名称</w:t>
      </w:r>
      <w:r>
        <w:rPr>
          <w:rFonts w:hint="eastAsia" w:ascii="宋体" w:hAnsi="宋体" w:cs="宋体"/>
          <w:color w:val="000000" w:themeColor="text1"/>
          <w:sz w:val="24"/>
          <w:highlight w:val="none"/>
          <w:lang w:eastAsia="zh-CN"/>
          <w14:textFill>
            <w14:solidFill>
              <w14:schemeClr w14:val="tx1"/>
            </w14:solidFill>
          </w14:textFill>
        </w:rPr>
        <w:t>和</w:t>
      </w:r>
      <w:r>
        <w:rPr>
          <w:rFonts w:hint="eastAsia" w:ascii="宋体" w:hAnsi="宋体" w:eastAsia="宋体" w:cs="宋体"/>
          <w:color w:val="000000" w:themeColor="text1"/>
          <w:sz w:val="24"/>
          <w:highlight w:val="none"/>
          <w14:textFill>
            <w14:solidFill>
              <w14:schemeClr w14:val="tx1"/>
            </w14:solidFill>
          </w14:textFill>
        </w:rPr>
        <w:t>中标金额，主要中标标的的名称、数量、单价、服务要求、中标公告期限以及评审专家名单。</w:t>
      </w:r>
    </w:p>
    <w:p>
      <w:pPr>
        <w:widowControl/>
        <w:shd w:val="clear" w:color="auto" w:fill="FFFFFF"/>
        <w:spacing w:line="360" w:lineRule="auto"/>
        <w:ind w:firstLine="480"/>
        <w:jc w:val="left"/>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23.3公告期限为1个工作日。</w:t>
      </w:r>
    </w:p>
    <w:p>
      <w:pPr>
        <w:snapToGrid w:val="0"/>
        <w:spacing w:line="360" w:lineRule="auto"/>
        <w:ind w:left="120" w:leftChars="57" w:firstLine="482" w:firstLineChars="150"/>
        <w:jc w:val="center"/>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七、合同授予</w:t>
      </w:r>
    </w:p>
    <w:p>
      <w:pPr>
        <w:pStyle w:val="26"/>
        <w:spacing w:line="360" w:lineRule="auto"/>
        <w:ind w:left="479" w:hanging="479" w:hangingChars="199"/>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24.</w:t>
      </w:r>
      <w:r>
        <w:rPr>
          <w:rFonts w:hint="eastAsia" w:ascii="宋体" w:hAnsi="宋体" w:eastAsia="宋体" w:cs="宋体"/>
          <w:color w:val="000000" w:themeColor="text1"/>
          <w:highlight w:val="none"/>
          <w14:textFill>
            <w14:solidFill>
              <w14:schemeClr w14:val="tx1"/>
            </w14:solidFill>
          </w14:textFill>
        </w:rPr>
        <w:t>合同主要条款详见第五部分拟签订的合同文本。</w:t>
      </w:r>
    </w:p>
    <w:p>
      <w:pPr>
        <w:pStyle w:val="26"/>
        <w:spacing w:line="360" w:lineRule="auto"/>
        <w:ind w:left="479" w:hanging="479" w:hangingChars="199"/>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25.合同的签订</w:t>
      </w:r>
    </w:p>
    <w:p>
      <w:pPr>
        <w:widowControl/>
        <w:shd w:val="clear" w:color="auto" w:fill="FFFFFF"/>
        <w:spacing w:line="360" w:lineRule="auto"/>
        <w:ind w:firstLine="48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25.1</w:t>
      </w:r>
      <w:r>
        <w:rPr>
          <w:rFonts w:hint="eastAsia" w:ascii="宋体" w:hAnsi="宋体" w:eastAsia="宋体" w:cs="宋体"/>
          <w:color w:val="000000" w:themeColor="text1"/>
          <w:kern w:val="0"/>
          <w:sz w:val="24"/>
          <w:highlight w:val="none"/>
          <w14:textFill>
            <w14:solidFill>
              <w14:schemeClr w14:val="tx1"/>
            </w14:solidFill>
          </w14:textFill>
        </w:rPr>
        <w:t xml:space="preserve"> 采购人与中标人应当通过电子交易平台在中标通知书发出之日起三十日内，按照招标文件确定的事项签订政府采购合同，并在合同签订之日起2个工作日内依法发布合同公告。</w:t>
      </w:r>
    </w:p>
    <w:p>
      <w:pPr>
        <w:pStyle w:val="128"/>
        <w:snapToGrid w:val="0"/>
        <w:spacing w:before="0"/>
        <w:ind w:firstLine="480"/>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25.3如签订合同并生效后，供应商无故拒绝或延期，除按照合同条款处理外，列入不良行为记录一次，并给予通报。</w:t>
      </w:r>
    </w:p>
    <w:p>
      <w:pPr>
        <w:pStyle w:val="128"/>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25.5采购合同由采购人与中标供应商根据招标文件、投标文件等内容通过政府采购电子交易平台在线签订，自动备案。</w:t>
      </w:r>
    </w:p>
    <w:p>
      <w:pPr>
        <w:pStyle w:val="26"/>
        <w:spacing w:line="360" w:lineRule="auto"/>
        <w:ind w:left="479" w:hanging="479" w:hangingChars="199"/>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26.履约保证金</w:t>
      </w:r>
    </w:p>
    <w:p>
      <w:pPr>
        <w:tabs>
          <w:tab w:val="left" w:pos="0"/>
        </w:tabs>
        <w:spacing w:line="360" w:lineRule="auto"/>
        <w:ind w:firstLine="482"/>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ind w:firstLine="3357" w:firstLineChars="1045"/>
        <w:rPr>
          <w:rFonts w:hint="eastAsia" w:ascii="宋体" w:hAnsi="宋体" w:eastAsia="宋体" w:cs="宋体"/>
          <w:b/>
          <w:color w:val="000000" w:themeColor="text1"/>
          <w:sz w:val="32"/>
          <w:highlight w:val="none"/>
          <w14:textFill>
            <w14:solidFill>
              <w14:schemeClr w14:val="tx1"/>
            </w14:solidFill>
          </w14:textFill>
        </w:rPr>
      </w:pPr>
    </w:p>
    <w:p>
      <w:pPr>
        <w:snapToGrid w:val="0"/>
        <w:spacing w:line="360" w:lineRule="auto"/>
        <w:ind w:firstLine="3357" w:firstLineChars="1045"/>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八、电子交易活动的中止</w:t>
      </w:r>
    </w:p>
    <w:p>
      <w:pPr>
        <w:pStyle w:val="128"/>
        <w:snapToGrid w:val="0"/>
        <w:spacing w:before="0"/>
        <w:ind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r>
        <w:rPr>
          <w:rFonts w:hint="eastAsia" w:ascii="宋体" w:hAnsi="宋体" w:eastAsia="宋体" w:cs="宋体"/>
          <w:b/>
          <w:color w:val="000000" w:themeColor="text1"/>
          <w:szCs w:val="24"/>
          <w:highlight w:val="none"/>
          <w14:textFill>
            <w14:solidFill>
              <w14:schemeClr w14:val="tx1"/>
            </w14:solidFill>
          </w14:textFill>
        </w:rPr>
        <w:t>7.电子交易活动的中止。</w:t>
      </w:r>
      <w:r>
        <w:rPr>
          <w:rFonts w:hint="eastAsia" w:ascii="宋体" w:hAnsi="宋体" w:eastAsia="宋体" w:cs="宋体"/>
          <w:color w:val="000000" w:themeColor="text1"/>
          <w:highlight w:val="none"/>
          <w14:textFill>
            <w14:solidFill>
              <w14:schemeClr w14:val="tx1"/>
            </w14:solidFill>
          </w14:textFill>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27.1电子交易平台发生故障而无法登录访问的； </w:t>
      </w:r>
    </w:p>
    <w:p>
      <w:pPr>
        <w:pStyle w:val="128"/>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27.2电子交易平台应用或数据库出现错误，不能进行正常操作的；</w:t>
      </w:r>
    </w:p>
    <w:p>
      <w:pPr>
        <w:pStyle w:val="128"/>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27.3电子交易平台发现严重安全漏洞，有潜在泄密危险的；</w:t>
      </w:r>
    </w:p>
    <w:p>
      <w:pPr>
        <w:pStyle w:val="128"/>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27.4病毒发作导致不能进行正常操作的； </w:t>
      </w:r>
    </w:p>
    <w:p>
      <w:pPr>
        <w:pStyle w:val="128"/>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27.5其他无法保证电子交易的公平、公正和安全的情况。</w:t>
      </w:r>
    </w:p>
    <w:p>
      <w:pPr>
        <w:pStyle w:val="128"/>
        <w:snapToGrid w:val="0"/>
        <w:spacing w:before="0"/>
        <w:ind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ind w:left="120" w:leftChars="57" w:firstLine="482" w:firstLineChars="150"/>
        <w:jc w:val="center"/>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九、验收</w:t>
      </w:r>
    </w:p>
    <w:p>
      <w:pPr>
        <w:pStyle w:val="26"/>
        <w:spacing w:line="360" w:lineRule="auto"/>
        <w:ind w:firstLine="0" w:firstLineChars="0"/>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29.验收</w:t>
      </w:r>
    </w:p>
    <w:p>
      <w:pPr>
        <w:tabs>
          <w:tab w:val="left" w:pos="0"/>
        </w:tabs>
        <w:spacing w:line="360" w:lineRule="auto"/>
        <w:ind w:firstLine="480"/>
        <w:jc w:val="left"/>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29.1采购人应当组织对供应商履约的验收。</w:t>
      </w:r>
      <w:bookmarkEnd w:id="13"/>
      <w:bookmarkEnd w:id="14"/>
      <w:bookmarkEnd w:id="15"/>
      <w:bookmarkStart w:id="16" w:name="第四部分"/>
    </w:p>
    <w:p>
      <w:pPr>
        <w:jc w:val="center"/>
        <w:rPr>
          <w:rFonts w:hint="eastAsia" w:ascii="宋体" w:hAnsi="宋体" w:eastAsia="宋体" w:cs="宋体"/>
          <w:b/>
          <w:color w:val="000000" w:themeColor="text1"/>
          <w:sz w:val="36"/>
          <w:szCs w:val="36"/>
          <w:highlight w:val="none"/>
          <w14:textFill>
            <w14:solidFill>
              <w14:schemeClr w14:val="tx1"/>
            </w14:solidFill>
          </w14:textFill>
        </w:rPr>
      </w:pPr>
    </w:p>
    <w:p>
      <w:pPr>
        <w:jc w:val="center"/>
        <w:rPr>
          <w:rFonts w:hint="eastAsia" w:ascii="宋体" w:hAnsi="宋体" w:eastAsia="宋体" w:cs="宋体"/>
          <w:b/>
          <w:color w:val="000000" w:themeColor="text1"/>
          <w:sz w:val="36"/>
          <w:szCs w:val="36"/>
          <w:highlight w:val="none"/>
          <w14:textFill>
            <w14:solidFill>
              <w14:schemeClr w14:val="tx1"/>
            </w14:solidFill>
          </w14:textFill>
        </w:rPr>
      </w:pPr>
    </w:p>
    <w:p>
      <w:pPr>
        <w:jc w:val="center"/>
        <w:rPr>
          <w:rFonts w:hint="eastAsia" w:ascii="宋体" w:hAnsi="宋体" w:eastAsia="宋体" w:cs="宋体"/>
          <w:b/>
          <w:color w:val="000000" w:themeColor="text1"/>
          <w:sz w:val="36"/>
          <w:szCs w:val="36"/>
          <w:highlight w:val="none"/>
          <w14:textFill>
            <w14:solidFill>
              <w14:schemeClr w14:val="tx1"/>
            </w14:solidFill>
          </w14:textFill>
        </w:rPr>
      </w:pPr>
    </w:p>
    <w:p>
      <w:pPr>
        <w:jc w:val="center"/>
        <w:rPr>
          <w:rFonts w:hint="eastAsia" w:ascii="宋体" w:hAnsi="宋体" w:eastAsia="宋体" w:cs="宋体"/>
          <w:b/>
          <w:color w:val="000000" w:themeColor="text1"/>
          <w:sz w:val="36"/>
          <w:szCs w:val="36"/>
          <w:highlight w:val="none"/>
          <w14:textFill>
            <w14:solidFill>
              <w14:schemeClr w14:val="tx1"/>
            </w14:solidFill>
          </w14:textFill>
        </w:rPr>
      </w:pPr>
    </w:p>
    <w:p>
      <w:pPr>
        <w:jc w:val="center"/>
        <w:rPr>
          <w:rFonts w:hint="eastAsia" w:ascii="宋体" w:hAnsi="宋体" w:eastAsia="宋体" w:cs="宋体"/>
          <w:b/>
          <w:color w:val="000000" w:themeColor="text1"/>
          <w:sz w:val="36"/>
          <w:szCs w:val="36"/>
          <w:highlight w:val="none"/>
          <w14:textFill>
            <w14:solidFill>
              <w14:schemeClr w14:val="tx1"/>
            </w14:solidFill>
          </w14:textFill>
        </w:rPr>
      </w:pPr>
    </w:p>
    <w:p>
      <w:pPr>
        <w:jc w:val="center"/>
        <w:rPr>
          <w:rFonts w:hint="eastAsia" w:ascii="宋体" w:hAnsi="宋体" w:eastAsia="宋体" w:cs="宋体"/>
          <w:b/>
          <w:color w:val="000000" w:themeColor="text1"/>
          <w:sz w:val="36"/>
          <w:szCs w:val="36"/>
          <w:highlight w:val="none"/>
          <w14:textFill>
            <w14:solidFill>
              <w14:schemeClr w14:val="tx1"/>
            </w14:solidFill>
          </w14:textFill>
        </w:rPr>
      </w:pPr>
    </w:p>
    <w:p>
      <w:pPr>
        <w:jc w:val="center"/>
        <w:rPr>
          <w:rFonts w:hint="eastAsia" w:ascii="宋体" w:hAnsi="宋体" w:eastAsia="宋体" w:cs="宋体"/>
          <w:b/>
          <w:color w:val="000000" w:themeColor="text1"/>
          <w:sz w:val="36"/>
          <w:szCs w:val="36"/>
          <w:highlight w:val="none"/>
          <w14:textFill>
            <w14:solidFill>
              <w14:schemeClr w14:val="tx1"/>
            </w14:solidFill>
          </w14:textFill>
        </w:rPr>
      </w:pPr>
    </w:p>
    <w:p>
      <w:pPr>
        <w:jc w:val="center"/>
        <w:rPr>
          <w:rFonts w:hint="eastAsia" w:ascii="宋体" w:hAnsi="宋体" w:eastAsia="宋体" w:cs="宋体"/>
          <w:b/>
          <w:color w:val="000000" w:themeColor="text1"/>
          <w:sz w:val="36"/>
          <w:szCs w:val="36"/>
          <w:highlight w:val="none"/>
          <w14:textFill>
            <w14:solidFill>
              <w14:schemeClr w14:val="tx1"/>
            </w14:solidFill>
          </w14:textFill>
        </w:rPr>
      </w:pPr>
    </w:p>
    <w:p>
      <w:pPr>
        <w:jc w:val="center"/>
        <w:rPr>
          <w:rFonts w:hint="eastAsia" w:ascii="宋体" w:hAnsi="宋体" w:eastAsia="宋体" w:cs="宋体"/>
          <w:b/>
          <w:color w:val="000000" w:themeColor="text1"/>
          <w:sz w:val="36"/>
          <w:szCs w:val="36"/>
          <w:highlight w:val="none"/>
          <w14:textFill>
            <w14:solidFill>
              <w14:schemeClr w14:val="tx1"/>
            </w14:solidFill>
          </w14:textFill>
        </w:rPr>
      </w:pPr>
    </w:p>
    <w:p>
      <w:pPr>
        <w:jc w:val="center"/>
        <w:rPr>
          <w:rFonts w:hint="eastAsia" w:ascii="宋体" w:hAnsi="宋体" w:eastAsia="宋体" w:cs="宋体"/>
          <w:b/>
          <w:color w:val="000000" w:themeColor="text1"/>
          <w:sz w:val="36"/>
          <w:szCs w:val="36"/>
          <w:highlight w:val="none"/>
          <w14:textFill>
            <w14:solidFill>
              <w14:schemeClr w14:val="tx1"/>
            </w14:solidFill>
          </w14:textFill>
        </w:rPr>
      </w:pPr>
    </w:p>
    <w:p>
      <w:pPr>
        <w:jc w:val="center"/>
        <w:rPr>
          <w:rFonts w:hint="eastAsia" w:ascii="宋体" w:hAnsi="宋体" w:eastAsia="宋体" w:cs="宋体"/>
          <w:b/>
          <w:color w:val="000000" w:themeColor="text1"/>
          <w:sz w:val="36"/>
          <w:szCs w:val="36"/>
          <w:highlight w:val="none"/>
          <w14:textFill>
            <w14:solidFill>
              <w14:schemeClr w14:val="tx1"/>
            </w14:solidFill>
          </w14:textFill>
        </w:rPr>
      </w:pPr>
    </w:p>
    <w:p>
      <w:pPr>
        <w:jc w:val="center"/>
        <w:rPr>
          <w:rFonts w:hint="eastAsia" w:ascii="宋体" w:hAnsi="宋体" w:eastAsia="宋体" w:cs="宋体"/>
          <w:b/>
          <w:color w:val="000000" w:themeColor="text1"/>
          <w:sz w:val="36"/>
          <w:szCs w:val="36"/>
          <w:highlight w:val="none"/>
          <w14:textFill>
            <w14:solidFill>
              <w14:schemeClr w14:val="tx1"/>
            </w14:solidFill>
          </w14:textFill>
        </w:rPr>
      </w:pPr>
    </w:p>
    <w:p>
      <w:pPr>
        <w:jc w:val="center"/>
        <w:rPr>
          <w:rFonts w:hint="eastAsia" w:ascii="宋体" w:hAnsi="宋体" w:eastAsia="宋体" w:cs="宋体"/>
          <w:b/>
          <w:color w:val="000000" w:themeColor="text1"/>
          <w:sz w:val="36"/>
          <w:szCs w:val="36"/>
          <w:highlight w:val="none"/>
          <w14:textFill>
            <w14:solidFill>
              <w14:schemeClr w14:val="tx1"/>
            </w14:solidFill>
          </w14:textFill>
        </w:rPr>
      </w:pPr>
    </w:p>
    <w:p>
      <w:pPr>
        <w:jc w:val="center"/>
        <w:rPr>
          <w:rFonts w:hint="eastAsia" w:ascii="宋体" w:hAnsi="宋体" w:eastAsia="宋体" w:cs="宋体"/>
          <w:b/>
          <w:color w:val="000000" w:themeColor="text1"/>
          <w:sz w:val="36"/>
          <w:szCs w:val="36"/>
          <w:highlight w:val="none"/>
          <w14:textFill>
            <w14:solidFill>
              <w14:schemeClr w14:val="tx1"/>
            </w14:solidFill>
          </w14:textFill>
        </w:rPr>
      </w:pPr>
    </w:p>
    <w:p>
      <w:pPr>
        <w:jc w:val="center"/>
        <w:rPr>
          <w:rFonts w:hint="eastAsia" w:ascii="宋体" w:hAnsi="宋体" w:eastAsia="宋体" w:cs="宋体"/>
          <w:b/>
          <w:color w:val="000000" w:themeColor="text1"/>
          <w:sz w:val="36"/>
          <w:szCs w:val="36"/>
          <w:highlight w:val="none"/>
          <w14:textFill>
            <w14:solidFill>
              <w14:schemeClr w14:val="tx1"/>
            </w14:solidFill>
          </w14:textFill>
        </w:rPr>
      </w:pPr>
    </w:p>
    <w:p>
      <w:pPr>
        <w:jc w:val="center"/>
        <w:rPr>
          <w:rFonts w:hint="eastAsia" w:ascii="宋体" w:hAnsi="宋体" w:eastAsia="宋体" w:cs="宋体"/>
          <w:b/>
          <w:color w:val="000000" w:themeColor="text1"/>
          <w:sz w:val="36"/>
          <w:szCs w:val="36"/>
          <w:highlight w:val="none"/>
          <w14:textFill>
            <w14:solidFill>
              <w14:schemeClr w14:val="tx1"/>
            </w14:solidFill>
          </w14:textFill>
        </w:rPr>
      </w:pPr>
    </w:p>
    <w:p>
      <w:pPr>
        <w:jc w:val="center"/>
        <w:rPr>
          <w:rFonts w:hint="eastAsia" w:ascii="宋体" w:hAnsi="宋体" w:eastAsia="宋体" w:cs="宋体"/>
          <w:b/>
          <w:color w:val="000000" w:themeColor="text1"/>
          <w:sz w:val="36"/>
          <w:szCs w:val="36"/>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jc w:val="center"/>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t>第三部分   采购需求</w:t>
      </w:r>
    </w:p>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属于实质性要求条款的，请用符号“▲”标明，否则属于非实质性要求。</w:t>
      </w:r>
    </w:p>
    <w:p>
      <w:pPr>
        <w:snapToGrid w:val="0"/>
        <w:spacing w:line="360" w:lineRule="auto"/>
        <w:jc w:val="center"/>
        <w:rPr>
          <w:rFonts w:hint="eastAsia" w:ascii="宋体" w:hAnsi="宋体" w:eastAsia="宋体" w:cs="宋体"/>
          <w:b/>
          <w:bCs/>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8"/>
          <w:szCs w:val="28"/>
          <w:highlight w:val="none"/>
          <w:lang w:val="en-US" w:eastAsia="zh-CN" w:bidi="ar-SA"/>
          <w14:textFill>
            <w14:solidFill>
              <w14:schemeClr w14:val="tx1"/>
            </w14:solidFill>
          </w14:textFill>
        </w:rPr>
        <w:t>（一）、招标一览表</w:t>
      </w:r>
    </w:p>
    <w:p>
      <w:pPr>
        <w:widowControl/>
        <w:spacing w:line="360" w:lineRule="auto"/>
        <w:rPr>
          <w:rFonts w:hint="eastAsia"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标项：</w:t>
      </w:r>
      <w:r>
        <w:rPr>
          <w:rFonts w:hint="eastAsia" w:ascii="宋体" w:hAnsi="宋体" w:eastAsia="宋体" w:cs="宋体"/>
          <w:b/>
          <w:bCs/>
          <w:color w:val="000000" w:themeColor="text1"/>
          <w:sz w:val="24"/>
          <w:highlight w:val="none"/>
          <w:lang w:val="en-US" w:eastAsia="zh-CN"/>
          <w14:textFill>
            <w14:solidFill>
              <w14:schemeClr w14:val="tx1"/>
            </w14:solidFill>
          </w14:textFill>
        </w:rPr>
        <w:t>1</w:t>
      </w:r>
    </w:p>
    <w:tbl>
      <w:tblPr>
        <w:tblStyle w:val="62"/>
        <w:tblpPr w:leftFromText="180" w:rightFromText="180" w:vertAnchor="text" w:horzAnchor="margin" w:tblpXSpec="center" w:tblpY="63"/>
        <w:tblOverlap w:val="never"/>
        <w:tblW w:w="50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8"/>
        <w:gridCol w:w="3194"/>
        <w:gridCol w:w="2203"/>
        <w:gridCol w:w="1235"/>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1" w:hRule="atLeast"/>
          <w:jc w:val="center"/>
        </w:trPr>
        <w:tc>
          <w:tcPr>
            <w:tcW w:w="348" w:type="pct"/>
            <w:tcMar>
              <w:top w:w="15" w:type="dxa"/>
              <w:left w:w="15" w:type="dxa"/>
              <w:bottom w:w="0" w:type="dxa"/>
              <w:right w:w="15" w:type="dxa"/>
            </w:tcMar>
            <w:vAlign w:val="center"/>
          </w:tcPr>
          <w:p>
            <w:pPr>
              <w:tabs>
                <w:tab w:val="left" w:pos="0"/>
              </w:tabs>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序号</w:t>
            </w:r>
          </w:p>
        </w:tc>
        <w:tc>
          <w:tcPr>
            <w:tcW w:w="1745" w:type="pct"/>
            <w:tcMar>
              <w:top w:w="15" w:type="dxa"/>
              <w:left w:w="15" w:type="dxa"/>
              <w:bottom w:w="0" w:type="dxa"/>
              <w:right w:w="15" w:type="dxa"/>
            </w:tcMar>
            <w:vAlign w:val="center"/>
          </w:tcPr>
          <w:p>
            <w:pPr>
              <w:tabs>
                <w:tab w:val="left" w:pos="0"/>
              </w:tabs>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名称</w:t>
            </w:r>
          </w:p>
        </w:tc>
        <w:tc>
          <w:tcPr>
            <w:tcW w:w="1203" w:type="pct"/>
            <w:vAlign w:val="center"/>
          </w:tcPr>
          <w:p>
            <w:pPr>
              <w:tabs>
                <w:tab w:val="left" w:pos="0"/>
              </w:tabs>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简要规格描述或基本情况介绍</w:t>
            </w:r>
          </w:p>
        </w:tc>
        <w:tc>
          <w:tcPr>
            <w:tcW w:w="674" w:type="pct"/>
            <w:vAlign w:val="center"/>
          </w:tcPr>
          <w:p>
            <w:pPr>
              <w:tabs>
                <w:tab w:val="left" w:pos="0"/>
              </w:tabs>
              <w:snapToGrid w:val="0"/>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服务期</w:t>
            </w:r>
          </w:p>
        </w:tc>
        <w:tc>
          <w:tcPr>
            <w:tcW w:w="1026" w:type="pct"/>
            <w:vAlign w:val="center"/>
          </w:tcPr>
          <w:p>
            <w:pPr>
              <w:tabs>
                <w:tab w:val="left" w:pos="0"/>
              </w:tabs>
              <w:snapToGrid w:val="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预算及</w:t>
            </w:r>
            <w:r>
              <w:rPr>
                <w:rFonts w:hint="eastAsia" w:ascii="宋体" w:hAnsi="宋体" w:cs="宋体"/>
                <w:color w:val="000000" w:themeColor="text1"/>
                <w:sz w:val="24"/>
                <w:highlight w:val="none"/>
                <w14:textFill>
                  <w14:solidFill>
                    <w14:schemeClr w14:val="tx1"/>
                  </w14:solidFill>
                </w14:textFill>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1" w:hRule="atLeast"/>
          <w:jc w:val="center"/>
        </w:trPr>
        <w:tc>
          <w:tcPr>
            <w:tcW w:w="348" w:type="pct"/>
            <w:tcMar>
              <w:top w:w="15" w:type="dxa"/>
              <w:left w:w="15" w:type="dxa"/>
              <w:bottom w:w="0" w:type="dxa"/>
              <w:right w:w="15" w:type="dxa"/>
            </w:tcMar>
            <w:vAlign w:val="center"/>
          </w:tcPr>
          <w:p>
            <w:pPr>
              <w:tabs>
                <w:tab w:val="left" w:pos="0"/>
              </w:tabs>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745" w:type="pct"/>
            <w:tcMar>
              <w:top w:w="15" w:type="dxa"/>
              <w:left w:w="15" w:type="dxa"/>
              <w:bottom w:w="0" w:type="dxa"/>
              <w:right w:w="15" w:type="dxa"/>
            </w:tcMar>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信息港文体中心委托运营服务项目</w:t>
            </w:r>
          </w:p>
        </w:tc>
        <w:tc>
          <w:tcPr>
            <w:tcW w:w="1203" w:type="pct"/>
            <w:vAlign w:val="center"/>
          </w:tcPr>
          <w:p>
            <w:pPr>
              <w:jc w:val="center"/>
              <w:textAlignment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采购需求</w:t>
            </w:r>
          </w:p>
        </w:tc>
        <w:tc>
          <w:tcPr>
            <w:tcW w:w="674" w:type="pct"/>
            <w:vAlign w:val="center"/>
          </w:tcPr>
          <w:p>
            <w:pPr>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10年</w:t>
            </w:r>
          </w:p>
        </w:tc>
        <w:tc>
          <w:tcPr>
            <w:tcW w:w="1026" w:type="pct"/>
            <w:vAlign w:val="center"/>
          </w:tcPr>
          <w:p>
            <w:pPr>
              <w:jc w:val="center"/>
              <w:rPr>
                <w:rFonts w:hint="default" w:ascii="宋体" w:hAnsi="宋体" w:cs="宋体"/>
                <w:color w:val="000000" w:themeColor="text1"/>
                <w:sz w:val="24"/>
                <w:highlight w:val="none"/>
                <w:lang w:val="en-US"/>
                <w14:textFill>
                  <w14:solidFill>
                    <w14:schemeClr w14:val="tx1"/>
                  </w14:solidFill>
                </w14:textFill>
              </w:rPr>
            </w:pPr>
            <w:r>
              <w:rPr>
                <w:rFonts w:hint="eastAsia" w:ascii="宋体" w:hAnsi="宋体" w:cs="宋体"/>
                <w:b/>
                <w:bCs w:val="0"/>
                <w:color w:val="000000" w:themeColor="text1"/>
                <w:sz w:val="24"/>
                <w:szCs w:val="24"/>
                <w:highlight w:val="none"/>
                <w:lang w:val="en-US" w:eastAsia="zh-CN"/>
                <w14:textFill>
                  <w14:solidFill>
                    <w14:schemeClr w14:val="tx1"/>
                  </w14:solidFill>
                </w14:textFill>
              </w:rPr>
              <w:t>1000</w:t>
            </w:r>
            <w:r>
              <w:rPr>
                <w:rFonts w:hint="eastAsia" w:ascii="宋体" w:hAnsi="宋体" w:eastAsia="宋体" w:cs="宋体"/>
                <w:b/>
                <w:bCs w:val="0"/>
                <w:color w:val="000000" w:themeColor="text1"/>
                <w:sz w:val="24"/>
                <w:szCs w:val="24"/>
                <w:highlight w:val="none"/>
                <w:lang w:val="en-US" w:eastAsia="zh-CN"/>
                <w14:textFill>
                  <w14:solidFill>
                    <w14:schemeClr w14:val="tx1"/>
                  </w14:solidFill>
                </w14:textFill>
              </w:rPr>
              <w:t>.00</w:t>
            </w:r>
            <w:r>
              <w:rPr>
                <w:rFonts w:hint="eastAsia" w:ascii="宋体" w:hAnsi="宋体" w:cs="宋体"/>
                <w:b/>
                <w:bCs w:val="0"/>
                <w:color w:val="000000" w:themeColor="text1"/>
                <w:sz w:val="24"/>
                <w:szCs w:val="24"/>
                <w:highlight w:val="none"/>
                <w:lang w:val="en-US" w:eastAsia="zh-CN"/>
                <w14:textFill>
                  <w14:solidFill>
                    <w14:schemeClr w14:val="tx1"/>
                  </w14:solidFill>
                </w14:textFill>
              </w:rPr>
              <w:t>万元/年</w:t>
            </w:r>
          </w:p>
        </w:tc>
      </w:tr>
    </w:tbl>
    <w:p>
      <w:pPr>
        <w:snapToGrid w:val="0"/>
        <w:spacing w:line="360" w:lineRule="auto"/>
        <w:jc w:val="center"/>
        <w:rPr>
          <w:rFonts w:hint="eastAsia" w:ascii="宋体" w:hAnsi="宋体" w:eastAsia="宋体" w:cs="宋体"/>
          <w:b/>
          <w:bCs/>
          <w:color w:val="000000" w:themeColor="text1"/>
          <w:kern w:val="2"/>
          <w:sz w:val="28"/>
          <w:szCs w:val="28"/>
          <w:highlight w:val="none"/>
          <w:lang w:val="en-US" w:eastAsia="zh-CN" w:bidi="ar-SA"/>
          <w14:textFill>
            <w14:solidFill>
              <w14:schemeClr w14:val="tx1"/>
            </w14:solidFill>
          </w14:textFill>
        </w:rPr>
      </w:pPr>
    </w:p>
    <w:p>
      <w:pPr>
        <w:snapToGrid w:val="0"/>
        <w:spacing w:line="360" w:lineRule="auto"/>
        <w:jc w:val="center"/>
        <w:rPr>
          <w:rFonts w:hint="eastAsia" w:ascii="宋体" w:hAnsi="宋体" w:eastAsia="宋体" w:cs="宋体"/>
          <w:b/>
          <w:bCs/>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8"/>
          <w:szCs w:val="28"/>
          <w:highlight w:val="none"/>
          <w:lang w:val="en-US" w:eastAsia="zh-CN" w:bidi="ar-SA"/>
          <w14:textFill>
            <w14:solidFill>
              <w14:schemeClr w14:val="tx1"/>
            </w14:solidFill>
          </w14:textFill>
        </w:rPr>
        <w:t>（二）、招标需求</w:t>
      </w:r>
    </w:p>
    <w:p>
      <w:pPr>
        <w:kinsoku/>
        <w:topLinePunct w:val="0"/>
        <w:bidi w:val="0"/>
        <w:spacing w:line="360" w:lineRule="auto"/>
        <w:rPr>
          <w:rFonts w:hint="eastAsia" w:ascii="宋体" w:hAnsi="宋体" w:cs="宋体"/>
          <w:b/>
          <w:bCs/>
          <w:color w:val="000000" w:themeColor="text1"/>
          <w:sz w:val="24"/>
          <w:szCs w:val="32"/>
          <w:highlight w:val="none"/>
          <w:lang w:val="en-US" w:eastAsia="zh-CN"/>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1、技术需求</w:t>
      </w:r>
    </w:p>
    <w:p>
      <w:pPr>
        <w:pStyle w:val="61"/>
        <w:keepNext w:val="0"/>
        <w:keepLines w:val="0"/>
        <w:pageBreakBefore w:val="0"/>
        <w:numPr>
          <w:ilvl w:val="0"/>
          <w:numId w:val="0"/>
        </w:numPr>
        <w:kinsoku/>
        <w:overflowPunct/>
        <w:topLinePunct w:val="0"/>
        <w:autoSpaceDE/>
        <w:autoSpaceDN/>
        <w:bidi w:val="0"/>
        <w:spacing w:before="0" w:beforeLines="0" w:after="0" w:afterLines="0" w:line="500" w:lineRule="exact"/>
        <w:ind w:firstLine="482" w:firstLineChars="200"/>
        <w:jc w:val="both"/>
        <w:textAlignment w:val="auto"/>
        <w:outlineLvl w:val="0"/>
        <w:rPr>
          <w:rFonts w:hint="eastAsia" w:ascii="宋体" w:hAnsi="宋体" w:eastAsia="宋体" w:cs="宋体"/>
          <w:b/>
          <w:bCs w:val="0"/>
          <w:color w:val="000000" w:themeColor="text1"/>
          <w:sz w:val="24"/>
          <w:szCs w:val="24"/>
          <w:highlight w:val="none"/>
          <w:lang w:val="en-US" w:eastAsia="zh-CN"/>
          <w14:textFill>
            <w14:solidFill>
              <w14:schemeClr w14:val="tx1"/>
            </w14:solidFill>
          </w14:textFill>
        </w:rPr>
      </w:pPr>
      <w:r>
        <w:rPr>
          <w:rFonts w:hint="eastAsia" w:cs="宋体"/>
          <w:b/>
          <w:bCs w:val="0"/>
          <w:color w:val="000000" w:themeColor="text1"/>
          <w:sz w:val="24"/>
          <w:szCs w:val="24"/>
          <w:highlight w:val="none"/>
          <w:lang w:val="en-US" w:eastAsia="zh-CN"/>
          <w14:textFill>
            <w14:solidFill>
              <w14:schemeClr w14:val="tx1"/>
            </w14:solidFill>
          </w14:textFill>
        </w:rPr>
        <w:t>一、</w:t>
      </w:r>
      <w:r>
        <w:rPr>
          <w:rFonts w:hint="eastAsia" w:ascii="宋体" w:hAnsi="宋体" w:eastAsia="宋体" w:cs="宋体"/>
          <w:b/>
          <w:bCs w:val="0"/>
          <w:color w:val="000000" w:themeColor="text1"/>
          <w:sz w:val="24"/>
          <w:szCs w:val="24"/>
          <w:highlight w:val="none"/>
          <w:lang w:val="en-US" w:eastAsia="zh-CN"/>
          <w14:textFill>
            <w14:solidFill>
              <w14:schemeClr w14:val="tx1"/>
            </w14:solidFill>
          </w14:textFill>
        </w:rPr>
        <w:t>项目基本情况</w:t>
      </w:r>
    </w:p>
    <w:p>
      <w:pPr>
        <w:keepNext w:val="0"/>
        <w:keepLines w:val="0"/>
        <w:pageBreakBefore w:val="0"/>
        <w:kinsoku/>
        <w:overflowPunct/>
        <w:topLinePunct w:val="0"/>
        <w:autoSpaceDE/>
        <w:autoSpaceDN/>
        <w:bidi w:val="0"/>
        <w:adjustRightInd w:val="0"/>
        <w:spacing w:before="0" w:beforeLines="0" w:after="0" w:afterLines="0" w:line="50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信息港小镇文体中心（以下简称“文体中心”）位于萧山经济技术开发区市北西部区块，东至四甲河，南至蓝鲸幼儿园用地，西至明星路，北至启迪路</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。该项目用地面积约13210平方米，建筑占地面积约5050平方米，总建筑面积约41099平方米，其中地上约19815平方米、地下约21283平方米（双层地下停车场）。</w:t>
      </w:r>
    </w:p>
    <w:p>
      <w:pPr>
        <w:pStyle w:val="61"/>
        <w:keepNext w:val="0"/>
        <w:keepLines w:val="0"/>
        <w:pageBreakBefore w:val="0"/>
        <w:numPr>
          <w:ilvl w:val="0"/>
          <w:numId w:val="0"/>
        </w:numPr>
        <w:kinsoku/>
        <w:overflowPunct/>
        <w:topLinePunct w:val="0"/>
        <w:bidi w:val="0"/>
        <w:spacing w:before="0" w:beforeLines="0" w:after="0" w:afterLines="0" w:line="500" w:lineRule="exact"/>
        <w:ind w:firstLine="482" w:firstLineChars="200"/>
        <w:textAlignment w:val="auto"/>
        <w:outlineLvl w:val="0"/>
        <w:rPr>
          <w:rFonts w:hint="eastAsia" w:ascii="宋体" w:hAnsi="宋体" w:eastAsia="宋体" w:cs="宋体"/>
          <w:b/>
          <w:bCs w:val="0"/>
          <w:color w:val="000000" w:themeColor="text1"/>
          <w:sz w:val="24"/>
          <w:szCs w:val="24"/>
          <w:highlight w:val="none"/>
          <w:lang w:eastAsia="zh-CN"/>
          <w14:textFill>
            <w14:solidFill>
              <w14:schemeClr w14:val="tx1"/>
            </w14:solidFill>
          </w14:textFill>
        </w:rPr>
      </w:pPr>
      <w:r>
        <w:rPr>
          <w:rFonts w:hint="eastAsia" w:cs="宋体"/>
          <w:b/>
          <w:bCs w:val="0"/>
          <w:color w:val="000000" w:themeColor="text1"/>
          <w:kern w:val="2"/>
          <w:sz w:val="24"/>
          <w:szCs w:val="24"/>
          <w:highlight w:val="none"/>
          <w:lang w:val="en-US" w:eastAsia="zh-CN"/>
          <w14:textFill>
            <w14:solidFill>
              <w14:schemeClr w14:val="tx1"/>
            </w14:solidFill>
          </w14:textFill>
        </w:rPr>
        <w:t>二、</w:t>
      </w:r>
      <w:r>
        <w:rPr>
          <w:rFonts w:hint="eastAsia" w:ascii="宋体" w:hAnsi="宋体" w:eastAsia="宋体" w:cs="宋体"/>
          <w:b/>
          <w:bCs w:val="0"/>
          <w:color w:val="000000" w:themeColor="text1"/>
          <w:kern w:val="2"/>
          <w:sz w:val="24"/>
          <w:szCs w:val="24"/>
          <w:highlight w:val="none"/>
          <w:lang w:val="en-US" w:eastAsia="zh-CN"/>
          <w14:textFill>
            <w14:solidFill>
              <w14:schemeClr w14:val="tx1"/>
            </w14:solidFill>
          </w14:textFill>
        </w:rPr>
        <w:t>招标范围</w:t>
      </w:r>
    </w:p>
    <w:p>
      <w:pPr>
        <w:pStyle w:val="721"/>
        <w:keepNext w:val="0"/>
        <w:keepLines w:val="0"/>
        <w:pageBreakBefore w:val="0"/>
        <w:widowControl w:val="0"/>
        <w:numPr>
          <w:ilvl w:val="0"/>
          <w:numId w:val="2"/>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准备期</w:t>
      </w:r>
      <w:r>
        <w:rPr>
          <w:rFonts w:hint="eastAsia" w:cs="宋体"/>
          <w:color w:val="000000" w:themeColor="text1"/>
          <w:sz w:val="24"/>
          <w:szCs w:val="24"/>
          <w:highlight w:val="none"/>
          <w:lang w:val="en-US" w:eastAsia="zh-CN"/>
          <w14:textFill>
            <w14:solidFill>
              <w14:schemeClr w14:val="tx1"/>
            </w14:solidFill>
          </w14:textFill>
        </w:rPr>
        <w:t>技术</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咨询</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服务</w:t>
      </w:r>
      <w:r>
        <w:rPr>
          <w:rFonts w:hint="eastAsia" w:cs="宋体"/>
          <w:color w:val="000000" w:themeColor="text1"/>
          <w:sz w:val="24"/>
          <w:szCs w:val="24"/>
          <w:highlight w:val="none"/>
          <w:lang w:val="en-US" w:eastAsia="zh-CN"/>
          <w14:textFill>
            <w14:solidFill>
              <w14:schemeClr w14:val="tx1"/>
            </w14:solidFill>
          </w14:textFill>
        </w:rPr>
        <w:t>。</w:t>
      </w:r>
    </w:p>
    <w:p>
      <w:pPr>
        <w:pStyle w:val="721"/>
        <w:keepNext w:val="0"/>
        <w:keepLines w:val="0"/>
        <w:pageBreakBefore w:val="0"/>
        <w:widowControl w:val="0"/>
        <w:numPr>
          <w:ilvl w:val="0"/>
          <w:numId w:val="2"/>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开业后文体中心建筑范围内除一楼西侧预留商铺（面积约1559平方米）和双层地下停车场以外的总计约</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18256</w:t>
      </w:r>
      <w:r>
        <w:rPr>
          <w:rFonts w:hint="eastAsia" w:ascii="宋体" w:hAnsi="宋体" w:eastAsia="宋体" w:cs="宋体"/>
          <w:color w:val="000000" w:themeColor="text1"/>
          <w:sz w:val="24"/>
          <w:szCs w:val="24"/>
          <w:highlight w:val="none"/>
          <w:lang w:val="en-US" w:eastAsia="zh-CN"/>
          <w14:textFill>
            <w14:solidFill>
              <w14:schemeClr w14:val="tx1"/>
            </w14:solidFill>
          </w14:textFill>
        </w:rPr>
        <w:t>平方米的室内建筑、场地（所）、设施设备、体育器材（以最终移交清单为准）等的运营管理服务。</w:t>
      </w:r>
    </w:p>
    <w:p>
      <w:pPr>
        <w:pStyle w:val="61"/>
        <w:keepNext w:val="0"/>
        <w:keepLines w:val="0"/>
        <w:pageBreakBefore w:val="0"/>
        <w:numPr>
          <w:ilvl w:val="0"/>
          <w:numId w:val="0"/>
        </w:numPr>
        <w:kinsoku/>
        <w:overflowPunct/>
        <w:topLinePunct w:val="0"/>
        <w:autoSpaceDE/>
        <w:autoSpaceDN/>
        <w:bidi w:val="0"/>
        <w:spacing w:before="0" w:beforeLines="0" w:after="0" w:afterLines="0" w:line="500" w:lineRule="exact"/>
        <w:ind w:firstLine="482" w:firstLineChars="200"/>
        <w:jc w:val="left"/>
        <w:textAlignment w:val="auto"/>
        <w:outlineLvl w:val="0"/>
        <w:rPr>
          <w:rFonts w:hint="eastAsia" w:ascii="宋体" w:hAnsi="宋体" w:eastAsia="宋体" w:cs="宋体"/>
          <w:b/>
          <w:bCs w:val="0"/>
          <w:color w:val="000000" w:themeColor="text1"/>
          <w:sz w:val="24"/>
          <w:szCs w:val="24"/>
          <w:highlight w:val="none"/>
          <w:lang w:val="en-US" w:eastAsia="zh-CN"/>
          <w14:textFill>
            <w14:solidFill>
              <w14:schemeClr w14:val="tx1"/>
            </w14:solidFill>
          </w14:textFill>
        </w:rPr>
      </w:pPr>
      <w:r>
        <w:rPr>
          <w:rFonts w:hint="eastAsia" w:cs="宋体"/>
          <w:b/>
          <w:bCs w:val="0"/>
          <w:color w:val="000000" w:themeColor="text1"/>
          <w:sz w:val="24"/>
          <w:szCs w:val="24"/>
          <w:highlight w:val="none"/>
          <w:lang w:val="en-US" w:eastAsia="zh-CN"/>
          <w14:textFill>
            <w14:solidFill>
              <w14:schemeClr w14:val="tx1"/>
            </w14:solidFill>
          </w14:textFill>
        </w:rPr>
        <w:t>三、</w:t>
      </w:r>
      <w:r>
        <w:rPr>
          <w:rFonts w:hint="eastAsia" w:ascii="宋体" w:hAnsi="宋体" w:eastAsia="宋体" w:cs="宋体"/>
          <w:b/>
          <w:bCs w:val="0"/>
          <w:color w:val="000000" w:themeColor="text1"/>
          <w:sz w:val="24"/>
          <w:szCs w:val="24"/>
          <w:highlight w:val="none"/>
          <w:lang w:val="en-US" w:eastAsia="zh-CN"/>
          <w14:textFill>
            <w14:solidFill>
              <w14:schemeClr w14:val="tx1"/>
            </w14:solidFill>
          </w14:textFill>
        </w:rPr>
        <w:t>服务期限</w:t>
      </w:r>
    </w:p>
    <w:p>
      <w:pPr>
        <w:pStyle w:val="721"/>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1、准备期</w:t>
      </w:r>
      <w:r>
        <w:rPr>
          <w:rFonts w:hint="eastAsia" w:cs="宋体"/>
          <w:b w:val="0"/>
          <w:bCs w:val="0"/>
          <w:color w:val="000000" w:themeColor="text1"/>
          <w:kern w:val="0"/>
          <w:sz w:val="24"/>
          <w:szCs w:val="24"/>
          <w:highlight w:val="none"/>
          <w:lang w:val="en-US" w:eastAsia="zh-CN"/>
          <w14:textFill>
            <w14:solidFill>
              <w14:schemeClr w14:val="tx1"/>
            </w14:solidFill>
          </w14:textFill>
        </w:rPr>
        <w:t>技术</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咨询</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服务</w:t>
      </w: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期限：自合同签订之日起至</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文体中心完成一次、二次消防验收后，在满足运营条件</w:t>
      </w: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的情况下交</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付</w:t>
      </w: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至中标服务商之日止。</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准备期内中标服务商需在签署运营合同后进场筹备，此阶段仅为主要负责人进场协助支持、协调相关工作）。</w:t>
      </w:r>
    </w:p>
    <w:p>
      <w:pPr>
        <w:pStyle w:val="721"/>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2、运营管理服务期限：10年，自文体中心完成一次、二次消防验收后，在满足运营条件的情况下交</w:t>
      </w:r>
      <w:r>
        <w:rPr>
          <w:rFonts w:hint="eastAsia" w:ascii="宋体" w:hAnsi="宋体" w:eastAsia="宋体" w:cs="宋体"/>
          <w:color w:val="000000" w:themeColor="text1"/>
          <w:sz w:val="24"/>
          <w:szCs w:val="24"/>
          <w:highlight w:val="none"/>
          <w:lang w:val="en-US" w:eastAsia="zh-CN"/>
          <w14:textFill>
            <w14:solidFill>
              <w14:schemeClr w14:val="tx1"/>
            </w14:solidFill>
          </w14:textFill>
        </w:rPr>
        <w:t>付</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至运营单位之日起计。</w:t>
      </w:r>
    </w:p>
    <w:p>
      <w:pPr>
        <w:pStyle w:val="61"/>
        <w:keepNext w:val="0"/>
        <w:keepLines w:val="0"/>
        <w:pageBreakBefore w:val="0"/>
        <w:numPr>
          <w:ilvl w:val="0"/>
          <w:numId w:val="0"/>
        </w:numPr>
        <w:kinsoku/>
        <w:overflowPunct/>
        <w:topLinePunct w:val="0"/>
        <w:bidi w:val="0"/>
        <w:spacing w:before="0" w:beforeLines="0" w:after="0" w:afterLines="0" w:line="500" w:lineRule="exact"/>
        <w:ind w:left="560" w:leftChars="0"/>
        <w:jc w:val="left"/>
        <w:textAlignment w:val="auto"/>
        <w:outlineLvl w:val="0"/>
        <w:rPr>
          <w:rFonts w:hint="eastAsia" w:ascii="宋体" w:hAnsi="宋体" w:eastAsia="宋体" w:cs="宋体"/>
          <w:b/>
          <w:bCs w:val="0"/>
          <w:color w:val="000000" w:themeColor="text1"/>
          <w:sz w:val="24"/>
          <w:szCs w:val="24"/>
          <w:highlight w:val="none"/>
          <w:lang w:val="en-US" w:eastAsia="zh-CN"/>
          <w14:textFill>
            <w14:solidFill>
              <w14:schemeClr w14:val="tx1"/>
            </w14:solidFill>
          </w14:textFill>
        </w:rPr>
      </w:pPr>
      <w:r>
        <w:rPr>
          <w:rFonts w:hint="eastAsia" w:cs="宋体"/>
          <w:b/>
          <w:bCs w:val="0"/>
          <w:color w:val="000000" w:themeColor="text1"/>
          <w:sz w:val="24"/>
          <w:szCs w:val="24"/>
          <w:highlight w:val="none"/>
          <w:lang w:val="en-US" w:eastAsia="zh-CN"/>
          <w14:textFill>
            <w14:solidFill>
              <w14:schemeClr w14:val="tx1"/>
            </w14:solidFill>
          </w14:textFill>
        </w:rPr>
        <w:t>四、</w:t>
      </w:r>
      <w:r>
        <w:rPr>
          <w:rFonts w:hint="eastAsia" w:ascii="宋体" w:hAnsi="宋体" w:eastAsia="宋体" w:cs="宋体"/>
          <w:b/>
          <w:bCs w:val="0"/>
          <w:color w:val="000000" w:themeColor="text1"/>
          <w:sz w:val="24"/>
          <w:szCs w:val="24"/>
          <w:highlight w:val="none"/>
          <w:lang w:val="en-US" w:eastAsia="zh-CN"/>
          <w14:textFill>
            <w14:solidFill>
              <w14:schemeClr w14:val="tx1"/>
            </w14:solidFill>
          </w14:textFill>
        </w:rPr>
        <w:t>服务内容</w:t>
      </w:r>
    </w:p>
    <w:p>
      <w:pPr>
        <w:pStyle w:val="721"/>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中标服务商须为采购方提供准备期的</w:t>
      </w:r>
      <w:r>
        <w:rPr>
          <w:rFonts w:hint="eastAsia" w:cs="宋体"/>
          <w:color w:val="000000" w:themeColor="text1"/>
          <w:sz w:val="24"/>
          <w:szCs w:val="24"/>
          <w:highlight w:val="none"/>
          <w:lang w:val="en-US" w:eastAsia="zh-CN"/>
          <w14:textFill>
            <w14:solidFill>
              <w14:schemeClr w14:val="tx1"/>
            </w14:solidFill>
          </w14:textFill>
        </w:rPr>
        <w:t>技术</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咨询</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服务</w:t>
      </w:r>
      <w:r>
        <w:rPr>
          <w:rFonts w:hint="eastAsia" w:ascii="宋体" w:hAnsi="宋体" w:eastAsia="宋体" w:cs="宋体"/>
          <w:color w:val="000000" w:themeColor="text1"/>
          <w:sz w:val="24"/>
          <w:szCs w:val="24"/>
          <w:highlight w:val="none"/>
          <w:lang w:val="en-US" w:eastAsia="zh-CN"/>
          <w14:textFill>
            <w14:solidFill>
              <w14:schemeClr w14:val="tx1"/>
            </w14:solidFill>
          </w14:textFill>
        </w:rPr>
        <w:t>及开业后的运营管理服务。</w:t>
      </w:r>
    </w:p>
    <w:p>
      <w:pPr>
        <w:keepNext w:val="0"/>
        <w:keepLines w:val="0"/>
        <w:pageBreakBefore w:val="0"/>
        <w:kinsoku/>
        <w:overflowPunct/>
        <w:topLinePunct w:val="0"/>
        <w:bidi w:val="0"/>
        <w:snapToGrid/>
        <w:spacing w:before="0" w:beforeLines="0" w:after="0" w:afterLines="0" w:line="500" w:lineRule="exact"/>
        <w:ind w:firstLine="480" w:firstLineChars="200"/>
        <w:textAlignment w:val="auto"/>
        <w:outlineLvl w:val="1"/>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t>1、准备</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期</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技术咨询</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服务</w:t>
      </w:r>
    </w:p>
    <w:p>
      <w:pPr>
        <w:keepNext w:val="0"/>
        <w:keepLines w:val="0"/>
        <w:pageBreakBefore w:val="0"/>
        <w:widowControl w:val="0"/>
        <w:kinsoku/>
        <w:wordWrap/>
        <w:overflowPunct/>
        <w:topLinePunct w:val="0"/>
        <w:autoSpaceDE/>
        <w:autoSpaceDN/>
        <w:bidi w:val="0"/>
        <w:adjustRightInd w:val="0"/>
        <w:snapToGrid/>
        <w:spacing w:before="0" w:beforeLines="0" w:after="0" w:afterLines="0" w:line="500" w:lineRule="exact"/>
        <w:ind w:firstLine="480" w:firstLineChars="200"/>
        <w:jc w:val="both"/>
        <w:textAlignment w:val="auto"/>
        <w:rPr>
          <w:rFonts w:hint="eastAsia" w:ascii="宋体" w:hAnsi="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1.1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经营业态布局规划服务：对文体中心及全部附属设施进行梳理，结合项目功能定位及实际空间，从专业文体运营商的角度提供场馆经营业态布局规划方案；</w:t>
      </w:r>
    </w:p>
    <w:p>
      <w:pPr>
        <w:keepNext w:val="0"/>
        <w:keepLines w:val="0"/>
        <w:pageBreakBefore w:val="0"/>
        <w:widowControl w:val="0"/>
        <w:kinsoku/>
        <w:wordWrap/>
        <w:overflowPunct/>
        <w:topLinePunct w:val="0"/>
        <w:autoSpaceDE/>
        <w:autoSpaceDN/>
        <w:bidi w:val="0"/>
        <w:adjustRightInd w:val="0"/>
        <w:snapToGrid/>
        <w:spacing w:before="0" w:beforeLines="0" w:after="0" w:afterLines="0" w:line="500" w:lineRule="exact"/>
        <w:ind w:firstLine="480" w:firstLineChars="200"/>
        <w:jc w:val="both"/>
        <w:textAlignment w:val="auto"/>
        <w:rPr>
          <w:rFonts w:hint="default" w:ascii="宋体" w:hAnsi="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lang w:val="en-US" w:eastAsia="zh-CN" w:bidi="ar-SA"/>
          <w14:textFill>
            <w14:solidFill>
              <w14:schemeClr w14:val="tx1"/>
            </w14:solidFill>
          </w14:textFill>
        </w:rPr>
        <w:t>1.2智慧化场馆规划服务：从改善场馆运营、提升场馆服务水平，满足客户定制化和一站式需求，促进消费等角度，提供合理高效的智慧化场馆解决方案；</w:t>
      </w:r>
    </w:p>
    <w:p>
      <w:pPr>
        <w:keepNext w:val="0"/>
        <w:keepLines w:val="0"/>
        <w:pageBreakBefore w:val="0"/>
        <w:widowControl w:val="0"/>
        <w:kinsoku/>
        <w:wordWrap/>
        <w:overflowPunct/>
        <w:topLinePunct w:val="0"/>
        <w:autoSpaceDE/>
        <w:autoSpaceDN/>
        <w:bidi w:val="0"/>
        <w:adjustRightInd w:val="0"/>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cs="宋体"/>
          <w:color w:val="000000" w:themeColor="text1"/>
          <w:kern w:val="0"/>
          <w:sz w:val="24"/>
          <w:szCs w:val="24"/>
          <w:highlight w:val="none"/>
          <w:lang w:val="en-US" w:eastAsia="zh-CN" w:bidi="ar-SA"/>
          <w14:textFill>
            <w14:solidFill>
              <w14:schemeClr w14:val="tx1"/>
            </w14:solidFill>
          </w14:textFill>
        </w:rPr>
        <w:t>1.3筹建装修管理服务：结合该项目设计和实地考察，提供场馆整体装修规划方案（包括但不限于场地布置方案；空间及材质要求；场地设施的位置、组</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合及预留条件的设计；照明设计；空调及通风设计；音响设计；硬装、软装及</w:t>
      </w:r>
      <w:r>
        <w:rPr>
          <w:rFonts w:hint="eastAsia" w:ascii="宋体" w:hAnsi="宋体" w:cs="宋体"/>
          <w:color w:val="000000" w:themeColor="text1"/>
          <w:kern w:val="0"/>
          <w:sz w:val="24"/>
          <w:szCs w:val="24"/>
          <w:highlight w:val="none"/>
          <w:lang w:val="en-US" w:eastAsia="zh-CN"/>
          <w14:textFill>
            <w14:solidFill>
              <w14:schemeClr w14:val="tx1"/>
            </w14:solidFill>
          </w14:textFill>
        </w:rPr>
        <w:t>设施</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设备（除运营易耗类</w:t>
      </w:r>
      <w:r>
        <w:rPr>
          <w:rFonts w:hint="eastAsia" w:ascii="宋体" w:hAnsi="宋体" w:cs="宋体"/>
          <w:color w:val="000000" w:themeColor="text1"/>
          <w:kern w:val="0"/>
          <w:sz w:val="24"/>
          <w:szCs w:val="24"/>
          <w:highlight w:val="none"/>
          <w:lang w:val="en-US" w:eastAsia="zh-CN"/>
          <w14:textFill>
            <w14:solidFill>
              <w14:schemeClr w14:val="tx1"/>
            </w14:solidFill>
          </w14:textFill>
        </w:rPr>
        <w:t>外</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）采购规划</w:t>
      </w:r>
      <w:r>
        <w:rPr>
          <w:rFonts w:hint="eastAsia" w:ascii="宋体" w:hAnsi="宋体" w:cs="宋体"/>
          <w:color w:val="000000" w:themeColor="text1"/>
          <w:kern w:val="0"/>
          <w:sz w:val="24"/>
          <w:szCs w:val="24"/>
          <w:highlight w:val="none"/>
          <w:lang w:val="en-US" w:eastAsia="zh-CN"/>
          <w14:textFill>
            <w14:solidFill>
              <w14:schemeClr w14:val="tx1"/>
            </w14:solidFill>
          </w14:textFill>
        </w:rPr>
        <w:t>及</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预算）并提供专业的技术咨询支持，并在装修过程全程协助监督管理；</w:t>
      </w:r>
    </w:p>
    <w:p>
      <w:pPr>
        <w:keepNext w:val="0"/>
        <w:keepLines w:val="0"/>
        <w:pageBreakBefore w:val="0"/>
        <w:widowControl w:val="0"/>
        <w:kinsoku/>
        <w:wordWrap/>
        <w:overflowPunct/>
        <w:topLinePunct w:val="0"/>
        <w:autoSpaceDE/>
        <w:autoSpaceDN/>
        <w:bidi w:val="0"/>
        <w:adjustRightInd w:val="0"/>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w:t>
      </w:r>
      <w:r>
        <w:rPr>
          <w:rFonts w:hint="eastAsia" w:ascii="宋体" w:hAnsi="宋体" w:cs="宋体"/>
          <w:color w:val="000000" w:themeColor="text1"/>
          <w:kern w:val="0"/>
          <w:sz w:val="24"/>
          <w:szCs w:val="24"/>
          <w:highlight w:val="none"/>
          <w:lang w:val="en-US" w:eastAsia="zh-CN"/>
          <w14:textFill>
            <w14:solidFill>
              <w14:schemeClr w14:val="tx1"/>
            </w14:solidFill>
          </w14:textFill>
        </w:rPr>
        <w:t>4</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以上技术服务包括但不限于上述内容，具体技术服务内容按采购方实际服务需求而定。</w:t>
      </w:r>
    </w:p>
    <w:p>
      <w:pPr>
        <w:keepNext w:val="0"/>
        <w:keepLines w:val="0"/>
        <w:pageBreakBefore w:val="0"/>
        <w:widowControl w:val="0"/>
        <w:kinsoku/>
        <w:wordWrap/>
        <w:overflowPunct/>
        <w:topLinePunct w:val="0"/>
        <w:autoSpaceDE/>
        <w:autoSpaceDN/>
        <w:bidi w:val="0"/>
        <w:adjustRightInd w:val="0"/>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注：</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方案设计价格应合理，文体板块改造</w:t>
      </w:r>
      <w:r>
        <w:rPr>
          <w:rFonts w:hint="eastAsia" w:ascii="宋体" w:hAnsi="宋体" w:cs="宋体"/>
          <w:color w:val="000000" w:themeColor="text1"/>
          <w:kern w:val="0"/>
          <w:sz w:val="24"/>
          <w:szCs w:val="24"/>
          <w:highlight w:val="none"/>
          <w:lang w:val="en-US"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装修及</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设备采购费用</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以2000元/平方为标准，后续实施时超出标准部分的费用由中标服务商补足。</w:t>
      </w:r>
    </w:p>
    <w:p>
      <w:pPr>
        <w:pStyle w:val="23"/>
        <w:keepNext w:val="0"/>
        <w:keepLines w:val="0"/>
        <w:pageBreakBefore w:val="0"/>
        <w:numPr>
          <w:ilvl w:val="0"/>
          <w:numId w:val="3"/>
        </w:numPr>
        <w:kinsoku/>
        <w:overflowPunct/>
        <w:topLinePunct w:val="0"/>
        <w:bidi w:val="0"/>
        <w:snapToGrid/>
        <w:spacing w:before="0" w:beforeLines="0" w:after="0" w:afterLines="0" w:line="500" w:lineRule="exact"/>
        <w:ind w:firstLine="480" w:firstLineChars="200"/>
        <w:textAlignment w:val="auto"/>
        <w:outlineLvl w:val="1"/>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开业后运营管理服务</w:t>
      </w:r>
    </w:p>
    <w:p>
      <w:pPr>
        <w:pStyle w:val="23"/>
        <w:keepNext w:val="0"/>
        <w:keepLines w:val="0"/>
        <w:pageBreakBefore w:val="0"/>
        <w:numPr>
          <w:ilvl w:val="0"/>
          <w:numId w:val="0"/>
        </w:numPr>
        <w:kinsoku/>
        <w:overflowPunct/>
        <w:topLinePunct w:val="0"/>
        <w:bidi w:val="0"/>
        <w:snapToGrid/>
        <w:spacing w:before="0" w:beforeLines="0" w:after="0" w:afterLines="0" w:line="500" w:lineRule="exact"/>
        <w:ind w:firstLine="480" w:firstLineChars="200"/>
        <w:textAlignment w:val="auto"/>
        <w:rPr>
          <w:rFonts w:hint="eastAsia" w:ascii="宋体" w:hAnsi="宋体" w:eastAsia="宋体" w:cs="宋体"/>
          <w:i w:val="0"/>
          <w:iCs w:val="0"/>
          <w:caps w:val="0"/>
          <w:color w:val="000000" w:themeColor="text1"/>
          <w:spacing w:val="0"/>
          <w:kern w:val="0"/>
          <w:sz w:val="24"/>
          <w:szCs w:val="24"/>
          <w:highlight w:val="none"/>
          <w:shd w:val="clear"/>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2.1运营管理服务:根据</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业态规划布局方案对项目内业态及设施依法进行运营管理</w:t>
      </w:r>
      <w:r>
        <w:rPr>
          <w:rFonts w:hint="eastAsia" w:hAnsi="宋体" w:cs="宋体"/>
          <w:color w:val="000000" w:themeColor="text1"/>
          <w:kern w:val="0"/>
          <w:sz w:val="24"/>
          <w:szCs w:val="24"/>
          <w:highlight w:val="none"/>
          <w:lang w:val="en-US" w:eastAsia="zh-CN"/>
          <w14:textFill>
            <w14:solidFill>
              <w14:schemeClr w14:val="tx1"/>
            </w14:solidFill>
          </w14:textFill>
        </w:rPr>
        <w:t>、场馆宣传和流量赋能</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。借鉴国内外先进的文体场馆运营管理经验，充分发挥</w:t>
      </w: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文体中心</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内场馆及附属设施的功能作用，开展社会化运营，全面提高</w:t>
      </w: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文体中心</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的社会效益和经济效益。</w:t>
      </w:r>
    </w:p>
    <w:p>
      <w:pPr>
        <w:keepNext w:val="0"/>
        <w:keepLines w:val="0"/>
        <w:pageBreakBefore w:val="0"/>
        <w:kinsoku/>
        <w:overflowPunct/>
        <w:topLinePunct w:val="0"/>
        <w:bidi w:val="0"/>
        <w:snapToGrid/>
        <w:spacing w:before="0" w:beforeLines="0" w:after="0" w:afterLines="0" w:line="500" w:lineRule="exact"/>
        <w:ind w:firstLine="480" w:firstLineChars="200"/>
        <w:textAlignment w:val="auto"/>
        <w:rPr>
          <w:rFonts w:hint="eastAsia" w:ascii="宋体" w:hAnsi="宋体" w:eastAsia="宋体" w:cs="宋体"/>
          <w:color w:val="000000" w:themeColor="text1"/>
          <w:kern w:val="0"/>
          <w:sz w:val="24"/>
          <w:szCs w:val="24"/>
          <w:highlight w:val="none"/>
          <w:u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2.2安全管</w:t>
      </w:r>
      <w:r>
        <w:rPr>
          <w:rFonts w:hint="eastAsia" w:ascii="宋体" w:hAnsi="宋体" w:eastAsia="宋体" w:cs="宋体"/>
          <w:i w:val="0"/>
          <w:iCs w:val="0"/>
          <w:caps w:val="0"/>
          <w:color w:val="000000" w:themeColor="text1"/>
          <w:spacing w:val="0"/>
          <w:kern w:val="0"/>
          <w:sz w:val="24"/>
          <w:szCs w:val="24"/>
          <w:highlight w:val="none"/>
          <w:shd w:val="clear"/>
          <w:lang w:val="en-US" w:eastAsia="zh-CN"/>
          <w14:textFill>
            <w14:solidFill>
              <w14:schemeClr w14:val="tx1"/>
            </w14:solidFill>
          </w14:textFill>
        </w:rPr>
        <w:t>理服务:包括但不限于消防安全、设施设备安全及生产安全。</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建立健全安全管理体系，进行安全评估、制定安全规划、组织安全培训、开展安全检查、建立安全事件处理机制，提高安全意识和能力，避免出现安全事故，保障人身和财产安全。</w:t>
      </w:r>
    </w:p>
    <w:p>
      <w:pPr>
        <w:keepNext w:val="0"/>
        <w:keepLines w:val="0"/>
        <w:pageBreakBefore w:val="0"/>
        <w:widowControl/>
        <w:kinsoku/>
        <w:overflowPunct/>
        <w:topLinePunct w:val="0"/>
        <w:autoSpaceDE/>
        <w:autoSpaceDN/>
        <w:bidi w:val="0"/>
        <w:adjustRightInd w:val="0"/>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kern w:val="0"/>
          <w:sz w:val="24"/>
          <w:szCs w:val="24"/>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u w:val="none"/>
          <w:lang w:val="en-US"/>
          <w14:textFill>
            <w14:solidFill>
              <w14:schemeClr w14:val="tx1"/>
            </w14:solidFill>
          </w14:textFill>
        </w:rPr>
        <w:t>2.3</w:t>
      </w:r>
      <w:r>
        <w:rPr>
          <w:rFonts w:hint="eastAsia" w:ascii="宋体" w:hAnsi="宋体" w:eastAsia="宋体" w:cs="宋体"/>
          <w:color w:val="000000" w:themeColor="text1"/>
          <w:kern w:val="0"/>
          <w:sz w:val="24"/>
          <w:szCs w:val="24"/>
          <w:highlight w:val="none"/>
          <w:u w:val="none"/>
          <w:lang w:val="en-US" w:eastAsia="zh-CN"/>
          <w14:textFill>
            <w14:solidFill>
              <w14:schemeClr w14:val="tx1"/>
            </w14:solidFill>
          </w14:textFill>
        </w:rPr>
        <w:t>内部</w:t>
      </w:r>
      <w:r>
        <w:rPr>
          <w:rFonts w:hint="eastAsia" w:ascii="宋体" w:hAnsi="宋体" w:eastAsia="宋体" w:cs="宋体"/>
          <w:color w:val="000000" w:themeColor="text1"/>
          <w:kern w:val="0"/>
          <w:sz w:val="24"/>
          <w:szCs w:val="24"/>
          <w:highlight w:val="none"/>
          <w:u w:val="none"/>
          <w:lang w:val="en-US"/>
          <w14:textFill>
            <w14:solidFill>
              <w14:schemeClr w14:val="tx1"/>
            </w14:solidFill>
          </w14:textFill>
        </w:rPr>
        <w:t>物业</w:t>
      </w:r>
      <w:r>
        <w:rPr>
          <w:rFonts w:hint="eastAsia" w:ascii="宋体" w:hAnsi="宋体" w:eastAsia="宋体" w:cs="宋体"/>
          <w:color w:val="000000" w:themeColor="text1"/>
          <w:kern w:val="0"/>
          <w:sz w:val="24"/>
          <w:szCs w:val="24"/>
          <w:highlight w:val="none"/>
          <w:u w:val="none"/>
          <w:lang w:val="en-US" w:eastAsia="zh-CN"/>
          <w14:textFill>
            <w14:solidFill>
              <w14:schemeClr w14:val="tx1"/>
            </w14:solidFill>
          </w14:textFill>
        </w:rPr>
        <w:t>管理</w:t>
      </w:r>
      <w:r>
        <w:rPr>
          <w:rFonts w:hint="eastAsia" w:ascii="宋体" w:hAnsi="宋体" w:eastAsia="宋体" w:cs="宋体"/>
          <w:color w:val="000000" w:themeColor="text1"/>
          <w:kern w:val="0"/>
          <w:sz w:val="24"/>
          <w:szCs w:val="24"/>
          <w:highlight w:val="none"/>
          <w:u w:val="none"/>
          <w:lang w:val="en-US"/>
          <w14:textFill>
            <w14:solidFill>
              <w14:schemeClr w14:val="tx1"/>
            </w14:solidFill>
          </w14:textFill>
        </w:rPr>
        <w:t>服务</w:t>
      </w:r>
      <w:r>
        <w:rPr>
          <w:rFonts w:hint="eastAsia" w:ascii="宋体" w:hAnsi="宋体" w:eastAsia="宋体" w:cs="宋体"/>
          <w:color w:val="000000" w:themeColor="text1"/>
          <w:kern w:val="0"/>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kern w:val="0"/>
          <w:sz w:val="24"/>
          <w:szCs w:val="24"/>
          <w:highlight w:val="none"/>
          <w:u w:val="none"/>
          <w:lang w:val="en-US"/>
          <w14:textFill>
            <w14:solidFill>
              <w14:schemeClr w14:val="tx1"/>
            </w14:solidFill>
          </w14:textFill>
        </w:rPr>
        <w:t>结合</w:t>
      </w:r>
      <w:r>
        <w:rPr>
          <w:rFonts w:hint="eastAsia" w:ascii="宋体" w:hAnsi="宋体" w:eastAsia="宋体" w:cs="宋体"/>
          <w:color w:val="000000" w:themeColor="text1"/>
          <w:kern w:val="0"/>
          <w:sz w:val="24"/>
          <w:szCs w:val="24"/>
          <w:highlight w:val="none"/>
          <w:u w:val="none"/>
          <w:lang w:val="en-US" w:eastAsia="zh-CN"/>
          <w14:textFill>
            <w14:solidFill>
              <w14:schemeClr w14:val="tx1"/>
            </w14:solidFill>
          </w14:textFill>
        </w:rPr>
        <w:t>文体中心</w:t>
      </w:r>
      <w:r>
        <w:rPr>
          <w:rFonts w:hint="eastAsia" w:ascii="宋体" w:hAnsi="宋体" w:eastAsia="宋体" w:cs="宋体"/>
          <w:color w:val="000000" w:themeColor="text1"/>
          <w:kern w:val="0"/>
          <w:sz w:val="24"/>
          <w:szCs w:val="24"/>
          <w:highlight w:val="none"/>
          <w:u w:val="none"/>
          <w:lang w:val="en-US"/>
          <w14:textFill>
            <w14:solidFill>
              <w14:schemeClr w14:val="tx1"/>
            </w14:solidFill>
          </w14:textFill>
        </w:rPr>
        <w:t>建设情况，提供</w:t>
      </w:r>
      <w:r>
        <w:rPr>
          <w:rFonts w:hint="eastAsia" w:ascii="宋体" w:hAnsi="宋体" w:eastAsia="宋体" w:cs="宋体"/>
          <w:color w:val="000000" w:themeColor="text1"/>
          <w:kern w:val="0"/>
          <w:sz w:val="24"/>
          <w:szCs w:val="24"/>
          <w:highlight w:val="none"/>
          <w:u w:val="none"/>
          <w:lang w:val="en-US" w:eastAsia="zh-CN"/>
          <w14:textFill>
            <w14:solidFill>
              <w14:schemeClr w14:val="tx1"/>
            </w14:solidFill>
          </w14:textFill>
        </w:rPr>
        <w:t>招标范围内的内部</w:t>
      </w:r>
      <w:r>
        <w:rPr>
          <w:rFonts w:hint="eastAsia" w:ascii="宋体" w:hAnsi="宋体" w:eastAsia="宋体" w:cs="宋体"/>
          <w:color w:val="000000" w:themeColor="text1"/>
          <w:kern w:val="0"/>
          <w:sz w:val="24"/>
          <w:szCs w:val="24"/>
          <w:highlight w:val="none"/>
          <w:u w:val="none"/>
          <w:lang w:val="en-US"/>
          <w14:textFill>
            <w14:solidFill>
              <w14:schemeClr w14:val="tx1"/>
            </w14:solidFill>
          </w14:textFill>
        </w:rPr>
        <w:t>物业服务</w:t>
      </w:r>
      <w:r>
        <w:rPr>
          <w:rFonts w:hint="eastAsia" w:ascii="宋体" w:hAnsi="宋体" w:eastAsia="宋体" w:cs="宋体"/>
          <w:color w:val="000000" w:themeColor="text1"/>
          <w:kern w:val="0"/>
          <w:sz w:val="24"/>
          <w:szCs w:val="24"/>
          <w:highlight w:val="none"/>
          <w:u w:val="none"/>
          <w:lang w:val="en-US" w:eastAsia="zh-CN"/>
          <w14:textFill>
            <w14:solidFill>
              <w14:schemeClr w14:val="tx1"/>
            </w14:solidFill>
          </w14:textFill>
        </w:rPr>
        <w:t>，包括保安、保洁、保修及设备维护保养等。</w:t>
      </w:r>
      <w:r>
        <w:rPr>
          <w:rFonts w:hint="eastAsia" w:ascii="宋体" w:hAnsi="宋体" w:eastAsia="宋体" w:cs="宋体"/>
          <w:color w:val="000000" w:themeColor="text1"/>
          <w:kern w:val="0"/>
          <w:sz w:val="24"/>
          <w:szCs w:val="24"/>
          <w:highlight w:val="none"/>
          <w:u w:val="none"/>
          <w:lang w:val="en-US"/>
          <w14:textFill>
            <w14:solidFill>
              <w14:schemeClr w14:val="tx1"/>
            </w14:solidFill>
          </w14:textFill>
        </w:rPr>
        <w:t>建立</w:t>
      </w:r>
      <w:r>
        <w:rPr>
          <w:rFonts w:hint="eastAsia" w:ascii="宋体" w:hAnsi="宋体" w:eastAsia="宋体" w:cs="宋体"/>
          <w:color w:val="000000" w:themeColor="text1"/>
          <w:kern w:val="0"/>
          <w:sz w:val="24"/>
          <w:szCs w:val="24"/>
          <w:highlight w:val="none"/>
          <w:u w:val="none"/>
          <w:lang w:val="en-US" w:eastAsia="zh-CN"/>
          <w14:textFill>
            <w14:solidFill>
              <w14:schemeClr w14:val="tx1"/>
            </w14:solidFill>
          </w14:textFill>
        </w:rPr>
        <w:t>文体中心内部</w:t>
      </w:r>
      <w:r>
        <w:rPr>
          <w:rFonts w:hint="eastAsia" w:ascii="宋体" w:hAnsi="宋体" w:eastAsia="宋体" w:cs="宋体"/>
          <w:color w:val="000000" w:themeColor="text1"/>
          <w:kern w:val="0"/>
          <w:sz w:val="24"/>
          <w:szCs w:val="24"/>
          <w:highlight w:val="none"/>
          <w:u w:val="none"/>
          <w:lang w:val="en-US"/>
          <w14:textFill>
            <w14:solidFill>
              <w14:schemeClr w14:val="tx1"/>
            </w14:solidFill>
          </w14:textFill>
        </w:rPr>
        <w:t>物业服务相应标准，</w:t>
      </w:r>
      <w:r>
        <w:rPr>
          <w:rFonts w:hint="eastAsia" w:ascii="宋体" w:hAnsi="宋体" w:eastAsia="宋体" w:cs="宋体"/>
          <w:color w:val="000000" w:themeColor="text1"/>
          <w:kern w:val="0"/>
          <w:sz w:val="24"/>
          <w:szCs w:val="24"/>
          <w:highlight w:val="none"/>
          <w:u w:val="none"/>
          <w:lang w:val="en-US" w:eastAsia="zh-CN"/>
          <w14:textFill>
            <w14:solidFill>
              <w14:schemeClr w14:val="tx1"/>
            </w14:solidFill>
          </w14:textFill>
        </w:rPr>
        <w:t>承担文体中心</w:t>
      </w:r>
      <w:r>
        <w:rPr>
          <w:rFonts w:hint="eastAsia" w:ascii="宋体" w:hAnsi="宋体" w:eastAsia="宋体" w:cs="宋体"/>
          <w:color w:val="000000" w:themeColor="text1"/>
          <w:kern w:val="0"/>
          <w:sz w:val="24"/>
          <w:szCs w:val="24"/>
          <w:highlight w:val="none"/>
          <w:u w:val="none"/>
          <w:lang w:val="en-US"/>
          <w14:textFill>
            <w14:solidFill>
              <w14:schemeClr w14:val="tx1"/>
            </w14:solidFill>
          </w14:textFill>
        </w:rPr>
        <w:t>物业监管和考核的相</w:t>
      </w:r>
      <w:r>
        <w:rPr>
          <w:rFonts w:hint="eastAsia" w:ascii="宋体" w:hAnsi="宋体" w:eastAsia="宋体" w:cs="宋体"/>
          <w:color w:val="000000" w:themeColor="text1"/>
          <w:kern w:val="0"/>
          <w:sz w:val="24"/>
          <w:szCs w:val="24"/>
          <w:highlight w:val="none"/>
          <w:u w:val="none"/>
          <w:lang w:val="en-US" w:eastAsia="zh-CN"/>
          <w14:textFill>
            <w14:solidFill>
              <w14:schemeClr w14:val="tx1"/>
            </w14:solidFill>
          </w14:textFill>
        </w:rPr>
        <w:t>关职责。</w:t>
      </w:r>
    </w:p>
    <w:p>
      <w:pPr>
        <w:pStyle w:val="61"/>
        <w:keepNext w:val="0"/>
        <w:keepLines w:val="0"/>
        <w:pageBreakBefore w:val="0"/>
        <w:numPr>
          <w:ilvl w:val="0"/>
          <w:numId w:val="0"/>
        </w:numPr>
        <w:kinsoku/>
        <w:overflowPunct/>
        <w:topLinePunct w:val="0"/>
        <w:bidi w:val="0"/>
        <w:spacing w:before="0" w:beforeLines="0" w:after="0" w:afterLines="0" w:line="500" w:lineRule="exact"/>
        <w:ind w:left="560" w:leftChars="0"/>
        <w:jc w:val="left"/>
        <w:textAlignment w:val="auto"/>
        <w:outlineLvl w:val="0"/>
        <w:rPr>
          <w:rFonts w:hint="eastAsia" w:ascii="宋体" w:hAnsi="宋体" w:eastAsia="宋体" w:cs="宋体"/>
          <w:b/>
          <w:bCs w:val="0"/>
          <w:color w:val="000000" w:themeColor="text1"/>
          <w:sz w:val="24"/>
          <w:szCs w:val="24"/>
          <w:highlight w:val="none"/>
          <w:lang w:val="en-US" w:eastAsia="zh-CN"/>
          <w14:textFill>
            <w14:solidFill>
              <w14:schemeClr w14:val="tx1"/>
            </w14:solidFill>
          </w14:textFill>
        </w:rPr>
      </w:pPr>
      <w:r>
        <w:rPr>
          <w:rFonts w:hint="eastAsia" w:cs="宋体"/>
          <w:b/>
          <w:bCs w:val="0"/>
          <w:color w:val="000000" w:themeColor="text1"/>
          <w:sz w:val="24"/>
          <w:szCs w:val="24"/>
          <w:highlight w:val="none"/>
          <w:lang w:val="en-US" w:eastAsia="zh-CN"/>
          <w14:textFill>
            <w14:solidFill>
              <w14:schemeClr w14:val="tx1"/>
            </w14:solidFill>
          </w14:textFill>
        </w:rPr>
        <w:t>五、</w:t>
      </w:r>
      <w:r>
        <w:rPr>
          <w:rFonts w:hint="eastAsia" w:ascii="宋体" w:hAnsi="宋体" w:eastAsia="宋体" w:cs="宋体"/>
          <w:b/>
          <w:bCs w:val="0"/>
          <w:color w:val="000000" w:themeColor="text1"/>
          <w:sz w:val="24"/>
          <w:szCs w:val="24"/>
          <w:highlight w:val="none"/>
          <w:lang w:val="en-US" w:eastAsia="zh-CN"/>
          <w14:textFill>
            <w14:solidFill>
              <w14:schemeClr w14:val="tx1"/>
            </w14:solidFill>
          </w14:textFill>
        </w:rPr>
        <w:t>营收要求、运营费用、考核奖惩及支付方式</w:t>
      </w:r>
    </w:p>
    <w:p>
      <w:pPr>
        <w:keepNext w:val="0"/>
        <w:keepLines w:val="0"/>
        <w:pageBreakBefore w:val="0"/>
        <w:widowControl w:val="0"/>
        <w:kinsoku/>
        <w:overflowPunct/>
        <w:topLinePunct w:val="0"/>
        <w:autoSpaceDE/>
        <w:autoSpaceDN/>
        <w:bidi w:val="0"/>
        <w:adjustRightInd w:val="0"/>
        <w:spacing w:before="0" w:beforeLines="0" w:after="0" w:afterLines="0" w:line="500" w:lineRule="exact"/>
        <w:ind w:firstLine="480" w:firstLineChars="200"/>
        <w:jc w:val="both"/>
        <w:textAlignment w:val="auto"/>
        <w:outlineLvl w:val="1"/>
        <w:rPr>
          <w:rFonts w:hint="eastAsia" w:ascii="宋体" w:hAnsi="宋体" w:eastAsia="宋体" w:cs="宋体"/>
          <w:b w:val="0"/>
          <w:bCs w:val="0"/>
          <w:color w:val="000000" w:themeColor="text1"/>
          <w:kern w:val="0"/>
          <w:sz w:val="24"/>
          <w:szCs w:val="24"/>
          <w:highlight w:val="none"/>
          <w:u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4"/>
          <w:szCs w:val="24"/>
          <w:highlight w:val="none"/>
          <w:u w:val="none"/>
          <w:lang w:val="en-US" w:eastAsia="zh-CN"/>
          <w14:textFill>
            <w14:solidFill>
              <w14:schemeClr w14:val="tx1"/>
            </w14:solidFill>
          </w14:textFill>
        </w:rPr>
        <w:t>1、营收要求</w:t>
      </w:r>
    </w:p>
    <w:p>
      <w:pPr>
        <w:keepNext w:val="0"/>
        <w:keepLines w:val="0"/>
        <w:pageBreakBefore w:val="0"/>
        <w:widowControl w:val="0"/>
        <w:kinsoku/>
        <w:overflowPunct/>
        <w:topLinePunct w:val="0"/>
        <w:autoSpaceDE/>
        <w:autoSpaceDN/>
        <w:bidi w:val="0"/>
        <w:adjustRightInd w:val="0"/>
        <w:spacing w:before="0" w:beforeLines="0" w:after="0" w:afterLines="0" w:line="500" w:lineRule="exact"/>
        <w:ind w:firstLine="480" w:firstLineChars="200"/>
        <w:jc w:val="both"/>
        <w:textAlignment w:val="auto"/>
        <w:rPr>
          <w:rFonts w:hint="eastAsia" w:ascii="宋体" w:hAnsi="宋体" w:eastAsia="宋体" w:cs="宋体"/>
          <w:color w:val="000000" w:themeColor="text1"/>
          <w:kern w:val="0"/>
          <w:sz w:val="24"/>
          <w:szCs w:val="24"/>
          <w:highlight w:val="none"/>
          <w:u w:val="none"/>
          <w:lang w:eastAsia="zh-CN"/>
          <w14:textFill>
            <w14:solidFill>
              <w14:schemeClr w14:val="tx1"/>
            </w14:solidFill>
          </w14:textFill>
        </w:rPr>
      </w:pPr>
      <w:r>
        <w:rPr>
          <w:rFonts w:hint="eastAsia" w:ascii="宋体" w:hAnsi="宋体" w:eastAsia="宋体" w:cs="宋体"/>
          <w:b w:val="0"/>
          <w:bCs w:val="0"/>
          <w:color w:val="000000" w:themeColor="text1"/>
          <w:kern w:val="0"/>
          <w:sz w:val="24"/>
          <w:szCs w:val="24"/>
          <w:highlight w:val="none"/>
          <w:u w:val="none"/>
          <w:lang w:val="en-US" w:eastAsia="zh-CN"/>
          <w14:textFill>
            <w14:solidFill>
              <w14:schemeClr w14:val="tx1"/>
            </w14:solidFill>
          </w14:textFill>
        </w:rPr>
        <w:t>中标服务商营业收入净</w:t>
      </w:r>
      <w:r>
        <w:rPr>
          <w:rFonts w:hint="eastAsia" w:ascii="宋体" w:hAnsi="宋体" w:eastAsia="宋体" w:cs="宋体"/>
          <w:color w:val="000000" w:themeColor="text1"/>
          <w:sz w:val="24"/>
          <w:szCs w:val="24"/>
          <w:highlight w:val="none"/>
          <w:lang w:val="en-US" w:eastAsia="zh-CN"/>
          <w14:textFill>
            <w14:solidFill>
              <w14:schemeClr w14:val="tx1"/>
            </w14:solidFill>
          </w14:textFill>
        </w:rPr>
        <w:t>额【营业收入净额=主营业务收入+其他业务收入-（销售退款+销售折让、折扣等）-相关税费】</w:t>
      </w:r>
      <w:r>
        <w:rPr>
          <w:rFonts w:hint="eastAsia" w:ascii="宋体" w:hAnsi="宋体" w:eastAsia="宋体" w:cs="宋体"/>
          <w:color w:val="000000" w:themeColor="text1"/>
          <w:kern w:val="0"/>
          <w:sz w:val="24"/>
          <w:szCs w:val="24"/>
          <w:highlight w:val="none"/>
          <w:u w:val="none"/>
          <w:lang w:val="en-US" w:eastAsia="zh-CN"/>
          <w14:textFill>
            <w14:solidFill>
              <w14:schemeClr w14:val="tx1"/>
            </w14:solidFill>
          </w14:textFill>
        </w:rPr>
        <w:t>保底承诺值（以下简称“保底承诺值”）首年为400万元，其余年份为450万元/年（</w:t>
      </w:r>
      <w:r>
        <w:rPr>
          <w:rFonts w:hint="eastAsia" w:ascii="宋体" w:hAnsi="宋体" w:eastAsia="宋体" w:cs="宋体"/>
          <w:i w:val="0"/>
          <w:iCs w:val="0"/>
          <w:caps w:val="0"/>
          <w:color w:val="000000" w:themeColor="text1"/>
          <w:spacing w:val="0"/>
          <w:kern w:val="0"/>
          <w:sz w:val="24"/>
          <w:szCs w:val="24"/>
          <w:highlight w:val="none"/>
          <w:u w:val="none"/>
          <w:shd w:val="clear"/>
          <w:lang w:val="en-US" w:eastAsia="zh-CN" w:bidi="ar-SA"/>
          <w14:textFill>
            <w14:solidFill>
              <w14:schemeClr w14:val="tx1"/>
            </w14:solidFill>
          </w14:textFill>
        </w:rPr>
        <w:t>停车场收入及一楼预留商铺收入由采购方单独收取，不计入其中）</w:t>
      </w:r>
      <w:r>
        <w:rPr>
          <w:rFonts w:hint="eastAsia" w:ascii="宋体" w:hAnsi="宋体" w:eastAsia="宋体" w:cs="宋体"/>
          <w:color w:val="000000" w:themeColor="text1"/>
          <w:kern w:val="0"/>
          <w:sz w:val="24"/>
          <w:szCs w:val="24"/>
          <w:highlight w:val="none"/>
          <w:u w:val="none"/>
          <w:lang w:eastAsia="zh-CN"/>
          <w14:textFill>
            <w14:solidFill>
              <w14:schemeClr w14:val="tx1"/>
            </w14:solidFill>
          </w14:textFill>
        </w:rPr>
        <w:t>。</w:t>
      </w:r>
    </w:p>
    <w:p>
      <w:pPr>
        <w:keepNext w:val="0"/>
        <w:keepLines w:val="0"/>
        <w:pageBreakBefore w:val="0"/>
        <w:widowControl w:val="0"/>
        <w:kinsoku/>
        <w:overflowPunct/>
        <w:topLinePunct w:val="0"/>
        <w:autoSpaceDE/>
        <w:autoSpaceDN/>
        <w:bidi w:val="0"/>
        <w:adjustRightInd w:val="0"/>
        <w:spacing w:before="0" w:beforeLines="0" w:after="0" w:afterLines="0" w:line="500" w:lineRule="exact"/>
        <w:ind w:firstLine="482" w:firstLineChars="200"/>
        <w:jc w:val="both"/>
        <w:textAlignment w:val="auto"/>
        <w:outlineLvl w:val="1"/>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highlight w:val="none"/>
          <w:shd w:val="clear"/>
          <w:lang w:val="en-US"/>
          <w14:textFill>
            <w14:solidFill>
              <w14:schemeClr w14:val="tx1"/>
            </w14:solidFill>
          </w14:textFill>
        </w:rPr>
        <w:t>2</w:t>
      </w:r>
      <w:r>
        <w:rPr>
          <w:rFonts w:hint="eastAsia" w:ascii="宋体" w:hAnsi="宋体" w:eastAsia="宋体" w:cs="宋体"/>
          <w:i w:val="0"/>
          <w:iCs w:val="0"/>
          <w:caps w:val="0"/>
          <w:color w:val="000000" w:themeColor="text1"/>
          <w:spacing w:val="0"/>
          <w:kern w:val="0"/>
          <w:sz w:val="24"/>
          <w:szCs w:val="24"/>
          <w:highlight w:val="none"/>
          <w:shd w:val="clear"/>
          <w:lang w:val="en-US" w:eastAsia="zh-CN"/>
          <w14:textFill>
            <w14:solidFill>
              <w14:schemeClr w14:val="tx1"/>
            </w14:solidFill>
          </w14:textFill>
        </w:rPr>
        <w:t>、运营费用计算</w:t>
      </w: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方式</w:t>
      </w:r>
    </w:p>
    <w:p>
      <w:pPr>
        <w:pStyle w:val="61"/>
        <w:keepNext w:val="0"/>
        <w:keepLines w:val="0"/>
        <w:pageBreakBefore w:val="0"/>
        <w:kinsoku/>
        <w:overflowPunct/>
        <w:topLinePunct w:val="0"/>
        <w:autoSpaceDE/>
        <w:autoSpaceDN/>
        <w:bidi w:val="0"/>
        <w:spacing w:before="0" w:beforeLines="0" w:after="0" w:afterLines="0" w:line="500" w:lineRule="exact"/>
        <w:ind w:left="0" w:leftChars="0" w:firstLine="480" w:firstLineChars="200"/>
        <w:jc w:val="both"/>
        <w:textAlignment w:val="auto"/>
        <w:rPr>
          <w:rFonts w:hint="eastAsia" w:ascii="宋体" w:hAnsi="宋体" w:eastAsia="宋体" w:cs="宋体"/>
          <w:b w:val="0"/>
          <w:bCs w:val="0"/>
          <w:i w:val="0"/>
          <w:iCs w:val="0"/>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4"/>
          <w:szCs w:val="24"/>
          <w:highlight w:val="none"/>
          <w:lang w:val="en-US" w:eastAsia="zh-CN"/>
          <w14:textFill>
            <w14:solidFill>
              <w14:schemeClr w14:val="tx1"/>
            </w14:solidFill>
          </w14:textFill>
        </w:rPr>
        <w:t>总运营费用（最高不超过1000万元/年）由基础运营服务费、基础营收服务费、超额奖励服务费三部分组成。</w:t>
      </w:r>
    </w:p>
    <w:p>
      <w:pPr>
        <w:pStyle w:val="61"/>
        <w:keepNext w:val="0"/>
        <w:keepLines w:val="0"/>
        <w:pageBreakBefore w:val="0"/>
        <w:kinsoku/>
        <w:overflowPunct/>
        <w:topLinePunct w:val="0"/>
        <w:autoSpaceDE/>
        <w:autoSpaceDN/>
        <w:bidi w:val="0"/>
        <w:spacing w:before="0" w:beforeLines="0" w:after="0" w:afterLines="0" w:line="500" w:lineRule="exact"/>
        <w:ind w:left="0" w:leftChars="0"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2.1基础运营服务费最高不超过50万元/年</w:t>
      </w:r>
      <w:r>
        <w:rPr>
          <w:rFonts w:hint="eastAsia" w:cs="宋体"/>
          <w:color w:val="000000" w:themeColor="text1"/>
          <w:sz w:val="24"/>
          <w:szCs w:val="24"/>
          <w:highlight w:val="none"/>
          <w:lang w:val="en-US" w:eastAsia="zh-CN"/>
          <w14:textFill>
            <w14:solidFill>
              <w14:schemeClr w14:val="tx1"/>
            </w14:solidFill>
          </w14:textFill>
        </w:rPr>
        <w:t>（投标人报价时按照50万/年进行报价，</w:t>
      </w:r>
      <w:r>
        <w:rPr>
          <w:rFonts w:hint="eastAsia" w:ascii="宋体" w:hAnsi="宋体" w:eastAsia="宋体" w:cs="宋体"/>
          <w:color w:val="000000" w:themeColor="text1"/>
          <w:sz w:val="24"/>
          <w:szCs w:val="24"/>
          <w:highlight w:val="none"/>
          <w:lang w:val="en-US" w:eastAsia="zh-CN"/>
          <w14:textFill>
            <w14:solidFill>
              <w14:schemeClr w14:val="tx1"/>
            </w14:solidFill>
          </w14:textFill>
        </w:rPr>
        <w:t>采购方根据运营服务考核分占满分的比例支付基础运营服务费</w:t>
      </w:r>
      <w:r>
        <w:rPr>
          <w:rFonts w:hint="eastAsia"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pStyle w:val="61"/>
        <w:keepNext w:val="0"/>
        <w:keepLines w:val="0"/>
        <w:pageBreakBefore w:val="0"/>
        <w:kinsoku/>
        <w:overflowPunct/>
        <w:topLinePunct w:val="0"/>
        <w:autoSpaceDE/>
        <w:autoSpaceDN/>
        <w:bidi w:val="0"/>
        <w:spacing w:before="0" w:beforeLines="0" w:after="0" w:afterLines="0" w:line="500" w:lineRule="exact"/>
        <w:ind w:left="0" w:leftChars="0"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2.2基础营收服务费最高</w:t>
      </w:r>
      <w:r>
        <w:rPr>
          <w:rFonts w:hint="eastAsia" w:ascii="宋体" w:hAnsi="宋体" w:eastAsia="宋体" w:cs="宋体"/>
          <w:b w:val="0"/>
          <w:bCs w:val="0"/>
          <w:i w:val="0"/>
          <w:iCs w:val="0"/>
          <w:color w:val="000000" w:themeColor="text1"/>
          <w:kern w:val="0"/>
          <w:sz w:val="24"/>
          <w:szCs w:val="24"/>
          <w:highlight w:val="none"/>
          <w:lang w:val="en-US" w:eastAsia="zh-CN"/>
          <w14:textFill>
            <w14:solidFill>
              <w14:schemeClr w14:val="tx1"/>
            </w14:solidFill>
          </w14:textFill>
        </w:rPr>
        <w:t>不超过</w:t>
      </w:r>
      <w:r>
        <w:rPr>
          <w:rFonts w:hint="eastAsia" w:ascii="宋体" w:hAnsi="宋体" w:eastAsia="宋体" w:cs="宋体"/>
          <w:color w:val="000000" w:themeColor="text1"/>
          <w:sz w:val="24"/>
          <w:szCs w:val="24"/>
          <w:highlight w:val="none"/>
          <w:lang w:val="en-US" w:eastAsia="zh-CN"/>
          <w14:textFill>
            <w14:solidFill>
              <w14:schemeClr w14:val="tx1"/>
            </w14:solidFill>
          </w14:textFill>
        </w:rPr>
        <w:t>350万/年。完成</w:t>
      </w:r>
      <w:r>
        <w:rPr>
          <w:rFonts w:hint="eastAsia" w:ascii="宋体" w:hAnsi="宋体" w:eastAsia="宋体" w:cs="宋体"/>
          <w:color w:val="000000" w:themeColor="text1"/>
          <w:kern w:val="0"/>
          <w:sz w:val="24"/>
          <w:szCs w:val="24"/>
          <w:highlight w:val="none"/>
          <w:u w:val="none"/>
          <w:lang w:val="en-US" w:eastAsia="zh-CN"/>
          <w14:textFill>
            <w14:solidFill>
              <w14:schemeClr w14:val="tx1"/>
            </w14:solidFill>
          </w14:textFill>
        </w:rPr>
        <w:t>保底承诺值</w:t>
      </w:r>
      <w:r>
        <w:rPr>
          <w:rFonts w:hint="eastAsia" w:ascii="宋体" w:hAnsi="宋体" w:eastAsia="宋体" w:cs="宋体"/>
          <w:color w:val="000000" w:themeColor="text1"/>
          <w:sz w:val="24"/>
          <w:szCs w:val="24"/>
          <w:highlight w:val="none"/>
          <w:lang w:val="en-US" w:eastAsia="zh-CN"/>
          <w14:textFill>
            <w14:solidFill>
              <w14:schemeClr w14:val="tx1"/>
            </w14:solidFill>
          </w14:textFill>
        </w:rPr>
        <w:t>的，采购方全额支付</w:t>
      </w:r>
      <w:r>
        <w:rPr>
          <w:rFonts w:hint="eastAsia" w:cs="宋体"/>
          <w:color w:val="000000" w:themeColor="text1"/>
          <w:sz w:val="24"/>
          <w:szCs w:val="24"/>
          <w:highlight w:val="none"/>
          <w:lang w:val="en-US" w:eastAsia="zh-CN"/>
          <w14:textFill>
            <w14:solidFill>
              <w14:schemeClr w14:val="tx1"/>
            </w14:solidFill>
          </w14:textFill>
        </w:rPr>
        <w:t>中标</w:t>
      </w:r>
      <w:r>
        <w:rPr>
          <w:rFonts w:hint="eastAsia" w:ascii="宋体" w:hAnsi="宋体" w:eastAsia="宋体" w:cs="宋体"/>
          <w:color w:val="000000" w:themeColor="text1"/>
          <w:sz w:val="24"/>
          <w:szCs w:val="24"/>
          <w:highlight w:val="none"/>
          <w:lang w:val="en-US" w:eastAsia="zh-CN"/>
          <w14:textFill>
            <w14:solidFill>
              <w14:schemeClr w14:val="tx1"/>
            </w14:solidFill>
          </w14:textFill>
        </w:rPr>
        <w:t>基础营收服务费；未完成</w:t>
      </w:r>
      <w:r>
        <w:rPr>
          <w:rFonts w:hint="eastAsia" w:ascii="宋体" w:hAnsi="宋体" w:eastAsia="宋体" w:cs="宋体"/>
          <w:color w:val="000000" w:themeColor="text1"/>
          <w:kern w:val="0"/>
          <w:sz w:val="24"/>
          <w:szCs w:val="24"/>
          <w:highlight w:val="none"/>
          <w:u w:val="none"/>
          <w:lang w:val="en-US" w:eastAsia="zh-CN"/>
          <w14:textFill>
            <w14:solidFill>
              <w14:schemeClr w14:val="tx1"/>
            </w14:solidFill>
          </w14:textFill>
        </w:rPr>
        <w:t>保底承诺值</w:t>
      </w:r>
      <w:r>
        <w:rPr>
          <w:rFonts w:hint="eastAsia" w:ascii="宋体" w:hAnsi="宋体" w:eastAsia="宋体" w:cs="宋体"/>
          <w:color w:val="000000" w:themeColor="text1"/>
          <w:sz w:val="24"/>
          <w:szCs w:val="24"/>
          <w:highlight w:val="none"/>
          <w:lang w:val="en-US" w:eastAsia="zh-CN"/>
          <w14:textFill>
            <w14:solidFill>
              <w14:schemeClr w14:val="tx1"/>
            </w14:solidFill>
          </w14:textFill>
        </w:rPr>
        <w:t>的，按</w:t>
      </w:r>
      <w:r>
        <w:rPr>
          <w:rFonts w:hint="eastAsia" w:ascii="宋体" w:hAnsi="宋体" w:eastAsia="宋体" w:cs="宋体"/>
          <w:color w:val="000000" w:themeColor="text1"/>
          <w:kern w:val="0"/>
          <w:sz w:val="24"/>
          <w:szCs w:val="24"/>
          <w:highlight w:val="none"/>
          <w:u w:val="none"/>
          <w:lang w:val="en-US" w:eastAsia="zh-CN"/>
          <w14:textFill>
            <w14:solidFill>
              <w14:schemeClr w14:val="tx1"/>
            </w14:solidFill>
          </w14:textFill>
        </w:rPr>
        <w:t>保底承诺值</w:t>
      </w:r>
      <w:r>
        <w:rPr>
          <w:rFonts w:hint="eastAsia" w:ascii="宋体" w:hAnsi="宋体" w:eastAsia="宋体" w:cs="宋体"/>
          <w:color w:val="000000" w:themeColor="text1"/>
          <w:sz w:val="24"/>
          <w:szCs w:val="24"/>
          <w:highlight w:val="none"/>
          <w:lang w:val="en-US" w:eastAsia="zh-CN"/>
          <w14:textFill>
            <w14:solidFill>
              <w14:schemeClr w14:val="tx1"/>
            </w14:solidFill>
          </w14:textFill>
        </w:rPr>
        <w:t>完成比例支付基础营收服务费。</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500" w:lineRule="exact"/>
        <w:ind w:firstLine="480" w:firstLineChars="200"/>
        <w:jc w:val="both"/>
        <w:textAlignment w:val="auto"/>
        <w:rPr>
          <w:rFonts w:hint="eastAsia"/>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2.3</w:t>
      </w:r>
      <w:r>
        <w:rPr>
          <w:rFonts w:hint="eastAsia" w:ascii="宋体" w:hAnsi="宋体" w:eastAsia="宋体" w:cs="宋体"/>
          <w:color w:val="000000" w:themeColor="text1"/>
          <w:sz w:val="24"/>
          <w:szCs w:val="24"/>
          <w:highlight w:val="none"/>
          <w:lang w:val="en-US" w:eastAsia="zh-CN"/>
          <w14:textFill>
            <w14:solidFill>
              <w14:schemeClr w14:val="tx1"/>
            </w14:solidFill>
          </w14:textFill>
        </w:rPr>
        <w:t>中标服务商超额完成</w:t>
      </w:r>
      <w:r>
        <w:rPr>
          <w:rFonts w:hint="eastAsia" w:ascii="宋体" w:hAnsi="宋体" w:eastAsia="宋体" w:cs="宋体"/>
          <w:color w:val="000000" w:themeColor="text1"/>
          <w:kern w:val="0"/>
          <w:sz w:val="24"/>
          <w:szCs w:val="24"/>
          <w:highlight w:val="none"/>
          <w:u w:val="none"/>
          <w:lang w:val="en-US" w:eastAsia="zh-CN"/>
          <w14:textFill>
            <w14:solidFill>
              <w14:schemeClr w14:val="tx1"/>
            </w14:solidFill>
          </w14:textFill>
        </w:rPr>
        <w:t>保底承诺值</w:t>
      </w:r>
      <w:r>
        <w:rPr>
          <w:rFonts w:hint="eastAsia" w:ascii="宋体" w:hAnsi="宋体" w:eastAsia="宋体" w:cs="宋体"/>
          <w:color w:val="000000" w:themeColor="text1"/>
          <w:sz w:val="24"/>
          <w:szCs w:val="24"/>
          <w:highlight w:val="none"/>
          <w:lang w:val="en-US" w:eastAsia="zh-CN"/>
          <w14:textFill>
            <w14:solidFill>
              <w14:schemeClr w14:val="tx1"/>
            </w14:solidFill>
          </w14:textFill>
        </w:rPr>
        <w:t>的，超额奖励服务</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费</w:t>
      </w:r>
      <w:r>
        <w:rPr>
          <w:rFonts w:hint="eastAsia" w:ascii="宋体" w:hAnsi="宋体" w:eastAsia="宋体" w:cs="宋体"/>
          <w:color w:val="000000" w:themeColor="text1"/>
          <w:sz w:val="24"/>
          <w:szCs w:val="24"/>
          <w:highlight w:val="none"/>
          <w:lang w:val="en-US" w:eastAsia="zh-CN"/>
          <w14:textFill>
            <w14:solidFill>
              <w14:schemeClr w14:val="tx1"/>
            </w14:solidFill>
          </w14:textFill>
        </w:rPr>
        <w:t>按</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超额部分</w:t>
      </w:r>
      <w:r>
        <w:rPr>
          <w:rFonts w:hint="eastAsia" w:ascii="宋体" w:hAnsi="宋体" w:cs="宋体"/>
          <w:color w:val="000000" w:themeColor="text1"/>
          <w:sz w:val="24"/>
          <w:szCs w:val="24"/>
          <w:highlight w:val="none"/>
          <w:lang w:val="en-US" w:eastAsia="zh-CN"/>
          <w14:textFill>
            <w14:solidFill>
              <w14:schemeClr w14:val="tx1"/>
            </w14:solidFill>
          </w14:textFill>
        </w:rPr>
        <w:t>乘以中标</w:t>
      </w:r>
      <w:r>
        <w:rPr>
          <w:rFonts w:hint="eastAsia" w:ascii="宋体" w:hAnsi="宋体" w:eastAsia="宋体" w:cs="宋体"/>
          <w:color w:val="000000" w:themeColor="text1"/>
          <w:sz w:val="24"/>
          <w:szCs w:val="24"/>
          <w:highlight w:val="none"/>
          <w:lang w:val="en-US" w:eastAsia="zh-CN"/>
          <w14:textFill>
            <w14:solidFill>
              <w14:schemeClr w14:val="tx1"/>
            </w14:solidFill>
          </w14:textFill>
        </w:rPr>
        <w:t>超额奖励服务费</w:t>
      </w:r>
      <w:r>
        <w:rPr>
          <w:rFonts w:hint="eastAsia" w:cs="宋体"/>
          <w:color w:val="000000" w:themeColor="text1"/>
          <w:sz w:val="24"/>
          <w:szCs w:val="24"/>
          <w:highlight w:val="none"/>
          <w:lang w:val="en-US" w:eastAsia="zh-CN"/>
          <w14:textFill>
            <w14:solidFill>
              <w14:schemeClr w14:val="tx1"/>
            </w14:solidFill>
          </w14:textFill>
        </w:rPr>
        <w:t>率</w:t>
      </w:r>
      <w:r>
        <w:rPr>
          <w:rFonts w:hint="eastAsia" w:ascii="宋体" w:hAnsi="宋体" w:cs="宋体"/>
          <w:color w:val="000000" w:themeColor="text1"/>
          <w:sz w:val="24"/>
          <w:szCs w:val="24"/>
          <w:highlight w:val="none"/>
          <w:lang w:val="en-US" w:eastAsia="zh-CN"/>
          <w14:textFill>
            <w14:solidFill>
              <w14:schemeClr w14:val="tx1"/>
            </w14:solidFill>
          </w14:textFill>
        </w:rPr>
        <w:t>”计算（</w:t>
      </w:r>
      <w:r>
        <w:rPr>
          <w:rFonts w:hint="eastAsia" w:ascii="宋体" w:hAnsi="宋体" w:eastAsia="宋体" w:cs="宋体"/>
          <w:color w:val="000000" w:themeColor="text1"/>
          <w:sz w:val="24"/>
          <w:szCs w:val="24"/>
          <w:highlight w:val="none"/>
          <w:lang w:val="en-US" w:eastAsia="zh-CN"/>
          <w14:textFill>
            <w14:solidFill>
              <w14:schemeClr w14:val="tx1"/>
            </w14:solidFill>
          </w14:textFill>
        </w:rPr>
        <w:t>超额奖励服务费</w:t>
      </w:r>
      <w:r>
        <w:rPr>
          <w:rFonts w:hint="eastAsia" w:cs="宋体"/>
          <w:color w:val="000000" w:themeColor="text1"/>
          <w:sz w:val="24"/>
          <w:szCs w:val="24"/>
          <w:highlight w:val="none"/>
          <w:lang w:val="en-US" w:eastAsia="zh-CN"/>
          <w14:textFill>
            <w14:solidFill>
              <w14:schemeClr w14:val="tx1"/>
            </w14:solidFill>
          </w14:textFill>
        </w:rPr>
        <w:t>率最高不超过60%</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。超额完成</w:t>
      </w:r>
      <w:r>
        <w:rPr>
          <w:rFonts w:hint="eastAsia" w:ascii="宋体" w:hAnsi="宋体" w:eastAsia="宋体" w:cs="宋体"/>
          <w:color w:val="000000" w:themeColor="text1"/>
          <w:kern w:val="0"/>
          <w:sz w:val="24"/>
          <w:szCs w:val="24"/>
          <w:highlight w:val="none"/>
          <w:u w:val="none"/>
          <w:lang w:val="en-US" w:eastAsia="zh-CN"/>
          <w14:textFill>
            <w14:solidFill>
              <w14:schemeClr w14:val="tx1"/>
            </w14:solidFill>
          </w14:textFill>
        </w:rPr>
        <w:t>保底承诺值</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但运营服务考核分低于85分的，不予支付超额奖励服务费。超额奖励服务费最高不超过600万/年。</w:t>
      </w:r>
    </w:p>
    <w:p>
      <w:pPr>
        <w:pStyle w:val="23"/>
        <w:keepNext w:val="0"/>
        <w:keepLines w:val="0"/>
        <w:pageBreakBefore w:val="0"/>
        <w:numPr>
          <w:ilvl w:val="0"/>
          <w:numId w:val="0"/>
        </w:numPr>
        <w:kinsoku/>
        <w:overflowPunct/>
        <w:topLinePunct w:val="0"/>
        <w:bidi w:val="0"/>
        <w:spacing w:before="0" w:beforeLines="0" w:after="0" w:afterLines="0" w:line="500" w:lineRule="exact"/>
        <w:ind w:firstLine="480" w:firstLineChars="200"/>
        <w:textAlignment w:val="auto"/>
        <w:outlineLvl w:val="1"/>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3、考核机制和退出机制</w:t>
      </w:r>
    </w:p>
    <w:p>
      <w:pPr>
        <w:pStyle w:val="721"/>
        <w:keepNext w:val="0"/>
        <w:keepLines w:val="0"/>
        <w:pageBreakBefore w:val="0"/>
        <w:widowControl w:val="0"/>
        <w:numPr>
          <w:ilvl w:val="0"/>
          <w:numId w:val="0"/>
        </w:numPr>
        <w:tabs>
          <w:tab w:val="clear" w:pos="1212"/>
          <w:tab w:val="clear" w:pos="3888"/>
        </w:tabs>
        <w:kinsoku/>
        <w:wordWrap w:val="0"/>
        <w:overflowPunct/>
        <w:topLinePunct w:val="0"/>
        <w:autoSpaceDE/>
        <w:autoSpaceDN/>
        <w:bidi w:val="0"/>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3.1</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考核机制</w:t>
      </w:r>
    </w:p>
    <w:p>
      <w:pPr>
        <w:pStyle w:val="721"/>
        <w:keepNext w:val="0"/>
        <w:keepLines w:val="0"/>
        <w:pageBreakBefore w:val="0"/>
        <w:widowControl w:val="0"/>
        <w:numPr>
          <w:ilvl w:val="0"/>
          <w:numId w:val="0"/>
        </w:numPr>
        <w:tabs>
          <w:tab w:val="clear" w:pos="1212"/>
          <w:tab w:val="clear" w:pos="3888"/>
        </w:tabs>
        <w:kinsoku/>
        <w:wordWrap w:val="0"/>
        <w:overflowPunct/>
        <w:topLinePunct w:val="0"/>
        <w:autoSpaceDE/>
        <w:autoSpaceDN/>
        <w:bidi w:val="0"/>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运营期间，采购人负责对文体中心运营管理服务活动的日常监督管理及每年度考核工作。</w:t>
      </w:r>
    </w:p>
    <w:p>
      <w:pPr>
        <w:pStyle w:val="721"/>
        <w:keepNext w:val="0"/>
        <w:keepLines w:val="0"/>
        <w:pageBreakBefore w:val="0"/>
        <w:widowControl w:val="0"/>
        <w:numPr>
          <w:ilvl w:val="0"/>
          <w:numId w:val="0"/>
        </w:numPr>
        <w:tabs>
          <w:tab w:val="clear" w:pos="1212"/>
          <w:tab w:val="clear" w:pos="3888"/>
        </w:tabs>
        <w:kinsoku/>
        <w:wordWrap w:val="0"/>
        <w:overflowPunct/>
        <w:topLinePunct w:val="0"/>
        <w:autoSpaceDE/>
        <w:autoSpaceDN/>
        <w:bidi w:val="0"/>
        <w:adjustRightInd/>
        <w:snapToGrid/>
        <w:spacing w:before="0" w:beforeLines="0" w:after="0" w:afterLines="0" w:line="500" w:lineRule="exact"/>
        <w:ind w:left="0" w:leftChars="0" w:firstLine="480" w:firstLineChars="200"/>
        <w:jc w:val="both"/>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考核由运营管理考核与营收考核两部分组成。其中运营管理考核</w:t>
      </w:r>
      <w:r>
        <w:rPr>
          <w:rFonts w:hint="eastAsia" w:ascii="宋体" w:hAnsi="宋体" w:eastAsia="宋体" w:cs="宋体"/>
          <w:strike w:val="0"/>
          <w:color w:val="000000" w:themeColor="text1"/>
          <w:sz w:val="24"/>
          <w:szCs w:val="24"/>
          <w:highlight w:val="none"/>
          <w:lang w:val="en-US" w:eastAsia="zh-CN"/>
          <w14:textFill>
            <w14:solidFill>
              <w14:schemeClr w14:val="tx1"/>
            </w14:solidFill>
          </w14:textFill>
        </w:rPr>
        <w:t>采用百分制量化计</w:t>
      </w:r>
      <w:r>
        <w:rPr>
          <w:rFonts w:hint="eastAsia" w:ascii="宋体" w:hAnsi="宋体" w:eastAsia="宋体" w:cs="宋体"/>
          <w:color w:val="000000" w:themeColor="text1"/>
          <w:sz w:val="24"/>
          <w:szCs w:val="24"/>
          <w:highlight w:val="none"/>
          <w:lang w:val="en-US" w:eastAsia="zh-CN"/>
          <w14:textFill>
            <w14:solidFill>
              <w14:schemeClr w14:val="tx1"/>
            </w14:solidFill>
          </w14:textFill>
        </w:rPr>
        <w:t>分考核制，基础分100分，额外附加分最高15分，总分最高100分，具体考核评分标准详见附件1；营收考核为计算</w:t>
      </w:r>
      <w:r>
        <w:rPr>
          <w:rFonts w:hint="eastAsia" w:ascii="宋体" w:hAnsi="宋体" w:eastAsia="宋体" w:cs="宋体"/>
          <w:color w:val="000000" w:themeColor="text1"/>
          <w:kern w:val="0"/>
          <w:sz w:val="24"/>
          <w:szCs w:val="24"/>
          <w:highlight w:val="none"/>
          <w:u w:val="none"/>
          <w:lang w:val="en-US" w:eastAsia="zh-CN"/>
          <w14:textFill>
            <w14:solidFill>
              <w14:schemeClr w14:val="tx1"/>
            </w14:solidFill>
          </w14:textFill>
        </w:rPr>
        <w:t>保底承诺值</w:t>
      </w:r>
      <w:r>
        <w:rPr>
          <w:rFonts w:hint="eastAsia" w:ascii="宋体" w:hAnsi="宋体" w:eastAsia="宋体" w:cs="宋体"/>
          <w:color w:val="000000" w:themeColor="text1"/>
          <w:sz w:val="24"/>
          <w:szCs w:val="24"/>
          <w:highlight w:val="none"/>
          <w:lang w:val="en-US" w:eastAsia="zh-CN"/>
          <w14:textFill>
            <w14:solidFill>
              <w14:schemeClr w14:val="tx1"/>
            </w14:solidFill>
          </w14:textFill>
        </w:rPr>
        <w:t>完成率。</w:t>
      </w:r>
    </w:p>
    <w:p>
      <w:pPr>
        <w:pStyle w:val="721"/>
        <w:keepNext w:val="0"/>
        <w:keepLines w:val="0"/>
        <w:pageBreakBefore w:val="0"/>
        <w:numPr>
          <w:ilvl w:val="0"/>
          <w:numId w:val="0"/>
        </w:numPr>
        <w:tabs>
          <w:tab w:val="clear" w:pos="1212"/>
          <w:tab w:val="clear" w:pos="3888"/>
        </w:tabs>
        <w:kinsoku/>
        <w:wordWrap w:val="0"/>
        <w:overflowPunct/>
        <w:topLinePunct w:val="0"/>
        <w:autoSpaceDE/>
        <w:autoSpaceDN/>
        <w:bidi w:val="0"/>
        <w:spacing w:before="0" w:beforeLines="0" w:after="0" w:afterLines="0" w:line="500" w:lineRule="exact"/>
        <w:ind w:firstLine="480" w:firstLineChars="200"/>
        <w:jc w:val="both"/>
        <w:textAlignment w:val="auto"/>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3.2</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退出机制</w:t>
      </w:r>
    </w:p>
    <w:p>
      <w:pPr>
        <w:pStyle w:val="721"/>
        <w:keepNext w:val="0"/>
        <w:keepLines w:val="0"/>
        <w:pageBreakBefore w:val="0"/>
        <w:numPr>
          <w:ilvl w:val="0"/>
          <w:numId w:val="0"/>
        </w:numPr>
        <w:tabs>
          <w:tab w:val="clear" w:pos="1212"/>
          <w:tab w:val="clear" w:pos="3888"/>
        </w:tabs>
        <w:kinsoku/>
        <w:wordWrap w:val="0"/>
        <w:overflowPunct/>
        <w:topLinePunct w:val="0"/>
        <w:autoSpaceDE/>
        <w:autoSpaceDN/>
        <w:bidi w:val="0"/>
        <w:spacing w:before="0" w:beforeLines="0" w:after="0" w:afterLines="0" w:line="500" w:lineRule="exact"/>
        <w:ind w:firstLine="480" w:firstLineChars="200"/>
        <w:jc w:val="both"/>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年度考核结果及</w:t>
      </w:r>
      <w:r>
        <w:rPr>
          <w:rFonts w:hint="eastAsia" w:ascii="宋体" w:hAnsi="宋体" w:eastAsia="宋体" w:cs="宋体"/>
          <w:color w:val="000000" w:themeColor="text1"/>
          <w:kern w:val="0"/>
          <w:sz w:val="24"/>
          <w:szCs w:val="24"/>
          <w:highlight w:val="none"/>
          <w:u w:val="none"/>
          <w:lang w:val="en-US" w:eastAsia="zh-CN"/>
          <w14:textFill>
            <w14:solidFill>
              <w14:schemeClr w14:val="tx1"/>
            </w14:solidFill>
          </w14:textFill>
        </w:rPr>
        <w:t>保底承诺值</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完成率作为决定解约与否的重要依据（最终测评方案和标准以合同签订时的附件为准）。运营管理考核分低于85分，或</w:t>
      </w:r>
      <w:r>
        <w:rPr>
          <w:rFonts w:hint="eastAsia" w:ascii="宋体" w:hAnsi="宋体" w:eastAsia="宋体" w:cs="宋体"/>
          <w:color w:val="000000" w:themeColor="text1"/>
          <w:kern w:val="0"/>
          <w:sz w:val="24"/>
          <w:szCs w:val="24"/>
          <w:highlight w:val="none"/>
          <w:u w:val="none"/>
          <w:lang w:val="en-US" w:eastAsia="zh-CN"/>
          <w14:textFill>
            <w14:solidFill>
              <w14:schemeClr w14:val="tx1"/>
            </w14:solidFill>
          </w14:textFill>
        </w:rPr>
        <w:t>保底承诺值</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完成率低于85%，则采购方在提前两个月通知服务单位后可以解除合作协议。在运营管理服务期限内，发生重大安全事故，造成人</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员伤亡未能平息的，则采购方有权提前解除合作协议，并有权要求服务单位赔偿给采购方造成的财产损失并消除对采购方造成的负面影响。</w:t>
      </w:r>
    </w:p>
    <w:p>
      <w:pPr>
        <w:pStyle w:val="61"/>
        <w:keepNext w:val="0"/>
        <w:keepLines w:val="0"/>
        <w:pageBreakBefore w:val="0"/>
        <w:kinsoku/>
        <w:overflowPunct/>
        <w:topLinePunct w:val="0"/>
        <w:bidi w:val="0"/>
        <w:spacing w:before="0" w:beforeLines="0" w:after="0" w:afterLines="0" w:line="500" w:lineRule="exact"/>
        <w:ind w:left="0" w:leftChars="0" w:firstLine="480" w:firstLineChars="200"/>
        <w:textAlignment w:val="auto"/>
        <w:outlineLvl w:val="1"/>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4、支付方式</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500" w:lineRule="exact"/>
        <w:ind w:firstLine="480" w:firstLineChars="200"/>
        <w:jc w:val="both"/>
        <w:textAlignment w:val="auto"/>
        <w:rPr>
          <w:rFonts w:hint="eastAsia" w:ascii="宋体" w:hAnsi="宋体" w:eastAsia="宋体" w:cs="宋体"/>
          <w:i w:val="0"/>
          <w:iCs w:val="0"/>
          <w:caps w:val="0"/>
          <w:color w:val="000000" w:themeColor="text1"/>
          <w:spacing w:val="0"/>
          <w:kern w:val="0"/>
          <w:sz w:val="24"/>
          <w:szCs w:val="24"/>
          <w:highlight w:val="none"/>
          <w:shd w:val="clear"/>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highlight w:val="none"/>
          <w:shd w:val="clear"/>
          <w:lang w:val="en-US" w:eastAsia="zh-CN" w:bidi="ar-SA"/>
          <w14:textFill>
            <w14:solidFill>
              <w14:schemeClr w14:val="tx1"/>
            </w14:solidFill>
          </w14:textFill>
        </w:rPr>
        <w:t>4.1中标服务商须按月将文体中心上月</w:t>
      </w:r>
      <w:r>
        <w:rPr>
          <w:rFonts w:hint="eastAsia" w:ascii="宋体" w:hAnsi="宋体" w:eastAsia="宋体" w:cs="宋体"/>
          <w:color w:val="000000" w:themeColor="text1"/>
          <w:sz w:val="24"/>
          <w:szCs w:val="24"/>
          <w:highlight w:val="none"/>
          <w:lang w:val="en-US" w:eastAsia="zh-CN"/>
          <w14:textFill>
            <w14:solidFill>
              <w14:schemeClr w14:val="tx1"/>
            </w14:solidFill>
          </w14:textFill>
        </w:rPr>
        <w:t>营业收入净额</w:t>
      </w:r>
      <w:r>
        <w:rPr>
          <w:rFonts w:hint="eastAsia" w:ascii="宋体" w:hAnsi="宋体" w:eastAsia="宋体" w:cs="宋体"/>
          <w:i w:val="0"/>
          <w:iCs w:val="0"/>
          <w:caps w:val="0"/>
          <w:color w:val="000000" w:themeColor="text1"/>
          <w:spacing w:val="0"/>
          <w:kern w:val="0"/>
          <w:sz w:val="24"/>
          <w:szCs w:val="24"/>
          <w:highlight w:val="none"/>
          <w:shd w:val="clear"/>
          <w:lang w:val="en-US" w:eastAsia="zh-CN" w:bidi="ar-SA"/>
          <w14:textFill>
            <w14:solidFill>
              <w14:schemeClr w14:val="tx1"/>
            </w14:solidFill>
          </w14:textFill>
        </w:rPr>
        <w:t>按采购方指定方式交给采购方。</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500" w:lineRule="exact"/>
        <w:ind w:firstLine="480" w:firstLineChars="200"/>
        <w:jc w:val="both"/>
        <w:textAlignment w:val="auto"/>
        <w:rPr>
          <w:rFonts w:hint="eastAsia" w:ascii="宋体" w:hAnsi="宋体" w:eastAsia="宋体" w:cs="宋体"/>
          <w:i w:val="0"/>
          <w:iCs w:val="0"/>
          <w:caps w:val="0"/>
          <w:color w:val="000000" w:themeColor="text1"/>
          <w:spacing w:val="0"/>
          <w:kern w:val="0"/>
          <w:sz w:val="24"/>
          <w:szCs w:val="24"/>
          <w:highlight w:val="none"/>
          <w:shd w:val="clear"/>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highlight w:val="none"/>
          <w:shd w:val="clear"/>
          <w:lang w:val="en-US" w:eastAsia="zh-CN" w:bidi="ar-SA"/>
          <w14:textFill>
            <w14:solidFill>
              <w14:schemeClr w14:val="tx1"/>
            </w14:solidFill>
          </w14:textFill>
        </w:rPr>
        <w:t>4.2正式开业后，采购方每三个月向中标服务商预支付基础服务费（基础运营服务费+</w:t>
      </w:r>
      <w:r>
        <w:rPr>
          <w:rFonts w:hint="eastAsia" w:ascii="宋体" w:hAnsi="宋体" w:cs="宋体"/>
          <w:i w:val="0"/>
          <w:iCs w:val="0"/>
          <w:caps w:val="0"/>
          <w:color w:val="000000" w:themeColor="text1"/>
          <w:spacing w:val="0"/>
          <w:kern w:val="0"/>
          <w:sz w:val="24"/>
          <w:szCs w:val="24"/>
          <w:highlight w:val="none"/>
          <w:shd w:val="clear"/>
          <w:lang w:val="en-US" w:eastAsia="zh-CN" w:bidi="ar-SA"/>
          <w14:textFill>
            <w14:solidFill>
              <w14:schemeClr w14:val="tx1"/>
            </w14:solidFill>
          </w14:textFill>
        </w:rPr>
        <w:t>中标</w:t>
      </w:r>
      <w:r>
        <w:rPr>
          <w:rFonts w:hint="eastAsia" w:ascii="宋体" w:hAnsi="宋体" w:eastAsia="宋体" w:cs="宋体"/>
          <w:i w:val="0"/>
          <w:iCs w:val="0"/>
          <w:caps w:val="0"/>
          <w:color w:val="000000" w:themeColor="text1"/>
          <w:spacing w:val="0"/>
          <w:kern w:val="0"/>
          <w:sz w:val="24"/>
          <w:szCs w:val="24"/>
          <w:highlight w:val="none"/>
          <w:shd w:val="clear"/>
          <w:lang w:val="en-US" w:eastAsia="zh-CN" w:bidi="ar-SA"/>
          <w14:textFill>
            <w14:solidFill>
              <w14:schemeClr w14:val="tx1"/>
            </w14:solidFill>
          </w14:textFill>
        </w:rPr>
        <w:t>基础营收服务费）</w:t>
      </w:r>
      <w:r>
        <w:rPr>
          <w:rFonts w:hint="eastAsia" w:ascii="宋体" w:hAnsi="宋体" w:cs="宋体"/>
          <w:i w:val="0"/>
          <w:iCs w:val="0"/>
          <w:caps w:val="0"/>
          <w:color w:val="000000" w:themeColor="text1"/>
          <w:spacing w:val="0"/>
          <w:kern w:val="0"/>
          <w:sz w:val="24"/>
          <w:szCs w:val="24"/>
          <w:highlight w:val="none"/>
          <w:shd w:val="clear"/>
          <w:lang w:val="en-US" w:eastAsia="zh-CN" w:bidi="ar-SA"/>
          <w14:textFill>
            <w14:solidFill>
              <w14:schemeClr w14:val="tx1"/>
            </w14:solidFill>
          </w14:textFill>
        </w:rPr>
        <w:t>的四分之一</w:t>
      </w:r>
      <w:r>
        <w:rPr>
          <w:rFonts w:hint="eastAsia" w:ascii="宋体" w:hAnsi="宋体" w:eastAsia="宋体" w:cs="宋体"/>
          <w:i w:val="0"/>
          <w:iCs w:val="0"/>
          <w:caps w:val="0"/>
          <w:color w:val="000000" w:themeColor="text1"/>
          <w:spacing w:val="0"/>
          <w:kern w:val="0"/>
          <w:sz w:val="24"/>
          <w:szCs w:val="24"/>
          <w:highlight w:val="none"/>
          <w:shd w:val="clear"/>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500" w:lineRule="exact"/>
        <w:ind w:firstLine="480" w:firstLineChars="200"/>
        <w:jc w:val="both"/>
        <w:textAlignment w:val="auto"/>
        <w:rPr>
          <w:rFonts w:hint="eastAsia" w:ascii="宋体" w:hAnsi="宋体" w:eastAsia="宋体" w:cs="宋体"/>
          <w:i w:val="0"/>
          <w:iCs w:val="0"/>
          <w:caps w:val="0"/>
          <w:color w:val="000000" w:themeColor="text1"/>
          <w:spacing w:val="0"/>
          <w:kern w:val="0"/>
          <w:sz w:val="24"/>
          <w:szCs w:val="24"/>
          <w:highlight w:val="none"/>
          <w:shd w:val="clear"/>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highlight w:val="none"/>
          <w:shd w:val="clear"/>
          <w:lang w:val="en-US" w:eastAsia="zh-CN" w:bidi="ar-SA"/>
          <w14:textFill>
            <w14:solidFill>
              <w14:schemeClr w14:val="tx1"/>
            </w14:solidFill>
          </w14:textFill>
        </w:rPr>
        <w:t>4.3在文体中心一年运营结束后，</w:t>
      </w:r>
      <w:r>
        <w:rPr>
          <w:rFonts w:hint="eastAsia" w:ascii="宋体" w:hAnsi="宋体" w:eastAsia="宋体" w:cs="宋体"/>
          <w:i w:val="0"/>
          <w:iCs w:val="0"/>
          <w:caps w:val="0"/>
          <w:color w:val="000000" w:themeColor="text1"/>
          <w:spacing w:val="0"/>
          <w:kern w:val="0"/>
          <w:sz w:val="24"/>
          <w:szCs w:val="24"/>
          <w:highlight w:val="none"/>
          <w:u w:val="none"/>
          <w:shd w:val="clear"/>
          <w14:textFill>
            <w14:solidFill>
              <w14:schemeClr w14:val="tx1"/>
            </w14:solidFill>
          </w14:textFill>
        </w:rPr>
        <w:t>根据</w:t>
      </w:r>
      <w:r>
        <w:rPr>
          <w:rFonts w:hint="eastAsia" w:ascii="宋体" w:hAnsi="宋体" w:eastAsia="宋体" w:cs="宋体"/>
          <w:i w:val="0"/>
          <w:iCs w:val="0"/>
          <w:caps w:val="0"/>
          <w:color w:val="000000" w:themeColor="text1"/>
          <w:spacing w:val="0"/>
          <w:kern w:val="0"/>
          <w:sz w:val="24"/>
          <w:szCs w:val="24"/>
          <w:highlight w:val="none"/>
          <w:u w:val="none"/>
          <w:shd w:val="clear"/>
          <w:lang w:val="en-US" w:eastAsia="zh-CN"/>
          <w14:textFill>
            <w14:solidFill>
              <w14:schemeClr w14:val="tx1"/>
            </w14:solidFill>
          </w14:textFill>
        </w:rPr>
        <w:t>上一年度运营管理考核结果及总</w:t>
      </w:r>
      <w:r>
        <w:rPr>
          <w:rFonts w:hint="eastAsia" w:ascii="宋体" w:hAnsi="宋体" w:eastAsia="宋体" w:cs="宋体"/>
          <w:i w:val="0"/>
          <w:iCs w:val="0"/>
          <w:caps w:val="0"/>
          <w:color w:val="000000" w:themeColor="text1"/>
          <w:spacing w:val="0"/>
          <w:kern w:val="0"/>
          <w:sz w:val="24"/>
          <w:szCs w:val="24"/>
          <w:highlight w:val="none"/>
          <w:shd w:val="clear"/>
          <w:lang w:val="en-US" w:eastAsia="zh-CN" w:bidi="ar-SA"/>
          <w14:textFill>
            <w14:solidFill>
              <w14:schemeClr w14:val="tx1"/>
            </w14:solidFill>
          </w14:textFill>
        </w:rPr>
        <w:t>营业收入净额，采购方支付相应超额奖励服务费（扣减应退回相应比例基础运营服务费），或中标服务商退回相应比例的基础服务费。</w:t>
      </w:r>
    </w:p>
    <w:p>
      <w:pPr>
        <w:pStyle w:val="61"/>
        <w:keepNext w:val="0"/>
        <w:keepLines w:val="0"/>
        <w:pageBreakBefore w:val="0"/>
        <w:numPr>
          <w:ilvl w:val="0"/>
          <w:numId w:val="0"/>
        </w:numPr>
        <w:kinsoku/>
        <w:overflowPunct/>
        <w:topLinePunct w:val="0"/>
        <w:bidi w:val="0"/>
        <w:spacing w:before="0" w:beforeLines="0" w:after="0" w:afterLines="0" w:line="500" w:lineRule="exact"/>
        <w:ind w:left="560" w:leftChars="0"/>
        <w:jc w:val="left"/>
        <w:textAlignment w:val="auto"/>
        <w:outlineLvl w:val="0"/>
        <w:rPr>
          <w:rFonts w:hint="eastAsia" w:ascii="宋体" w:hAnsi="宋体" w:eastAsia="宋体" w:cs="宋体"/>
          <w:b/>
          <w:bCs w:val="0"/>
          <w:color w:val="000000" w:themeColor="text1"/>
          <w:sz w:val="24"/>
          <w:szCs w:val="24"/>
          <w:highlight w:val="none"/>
          <w:lang w:val="en-US" w:eastAsia="zh-CN"/>
          <w14:textFill>
            <w14:solidFill>
              <w14:schemeClr w14:val="tx1"/>
            </w14:solidFill>
          </w14:textFill>
        </w:rPr>
      </w:pPr>
      <w:r>
        <w:rPr>
          <w:rFonts w:hint="eastAsia" w:cs="宋体"/>
          <w:b/>
          <w:bCs w:val="0"/>
          <w:color w:val="000000" w:themeColor="text1"/>
          <w:sz w:val="24"/>
          <w:szCs w:val="24"/>
          <w:highlight w:val="none"/>
          <w:lang w:val="en-US" w:eastAsia="zh-CN"/>
          <w14:textFill>
            <w14:solidFill>
              <w14:schemeClr w14:val="tx1"/>
            </w14:solidFill>
          </w14:textFill>
        </w:rPr>
        <w:t>六、</w:t>
      </w:r>
      <w:r>
        <w:rPr>
          <w:rFonts w:hint="eastAsia" w:ascii="宋体" w:hAnsi="宋体" w:eastAsia="宋体" w:cs="宋体"/>
          <w:b/>
          <w:bCs w:val="0"/>
          <w:color w:val="000000" w:themeColor="text1"/>
          <w:sz w:val="24"/>
          <w:szCs w:val="24"/>
          <w:highlight w:val="none"/>
          <w:lang w:val="en-US" w:eastAsia="zh-CN"/>
          <w14:textFill>
            <w14:solidFill>
              <w14:schemeClr w14:val="tx1"/>
            </w14:solidFill>
          </w14:textFill>
        </w:rPr>
        <w:t>运营管理要求</w:t>
      </w:r>
    </w:p>
    <w:p>
      <w:pPr>
        <w:keepNext w:val="0"/>
        <w:keepLines w:val="0"/>
        <w:pageBreakBefore w:val="0"/>
        <w:widowControl w:val="0"/>
        <w:numPr>
          <w:ilvl w:val="-1"/>
          <w:numId w:val="0"/>
        </w:numPr>
        <w:kinsoku/>
        <w:wordWrap/>
        <w:overflowPunct/>
        <w:topLinePunct w:val="0"/>
        <w:autoSpaceDE/>
        <w:autoSpaceDN/>
        <w:bidi w:val="0"/>
        <w:adjustRightInd w:val="0"/>
        <w:snapToGrid/>
        <w:spacing w:before="0" w:beforeLines="0" w:after="0" w:afterLines="0" w:line="500" w:lineRule="exact"/>
        <w:ind w:firstLine="480" w:firstLineChars="200"/>
        <w:jc w:val="both"/>
        <w:textAlignment w:val="auto"/>
        <w:outlineLvl w:val="9"/>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以下所述各项要求，是投标人必须达到的基本要求，但不能理解为完整的、详细的要求。投标人应根据自己的管理经验，结合本项目的实际情况，提出完整制度和实施计划。</w:t>
      </w:r>
    </w:p>
    <w:p>
      <w:pPr>
        <w:keepNext w:val="0"/>
        <w:keepLines w:val="0"/>
        <w:pageBreakBefore w:val="0"/>
        <w:widowControl w:val="0"/>
        <w:numPr>
          <w:ilvl w:val="-1"/>
          <w:numId w:val="0"/>
        </w:numPr>
        <w:kinsoku/>
        <w:overflowPunct/>
        <w:topLinePunct w:val="0"/>
        <w:autoSpaceDE/>
        <w:autoSpaceDN/>
        <w:bidi w:val="0"/>
        <w:adjustRightInd w:val="0"/>
        <w:spacing w:before="0" w:beforeLines="0" w:after="0" w:afterLines="0" w:line="500" w:lineRule="exact"/>
        <w:ind w:firstLine="480" w:firstLineChars="200"/>
        <w:jc w:val="both"/>
        <w:textAlignment w:val="auto"/>
        <w:outlineLvl w:val="1"/>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1、项目运营公司要求</w:t>
      </w:r>
    </w:p>
    <w:p>
      <w:pPr>
        <w:keepNext w:val="0"/>
        <w:keepLines w:val="0"/>
        <w:pageBreakBefore w:val="0"/>
        <w:widowControl w:val="0"/>
        <w:numPr>
          <w:ilvl w:val="-1"/>
          <w:numId w:val="0"/>
        </w:numPr>
        <w:kinsoku/>
        <w:wordWrap/>
        <w:overflowPunct/>
        <w:topLinePunct w:val="0"/>
        <w:autoSpaceDE/>
        <w:autoSpaceDN/>
        <w:bidi w:val="0"/>
        <w:adjustRightInd w:val="0"/>
        <w:spacing w:before="0" w:beforeLines="0" w:after="0" w:afterLines="0" w:line="500" w:lineRule="exact"/>
        <w:ind w:firstLine="480" w:firstLineChars="200"/>
        <w:jc w:val="both"/>
        <w:textAlignment w:val="auto"/>
        <w:outlineLvl w:val="9"/>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1.1</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中标后，中标服务商不得</w:t>
      </w: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将项目</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转包、分包。</w:t>
      </w:r>
    </w:p>
    <w:p>
      <w:pPr>
        <w:keepNext w:val="0"/>
        <w:keepLines w:val="0"/>
        <w:pageBreakBefore w:val="0"/>
        <w:widowControl w:val="0"/>
        <w:numPr>
          <w:ilvl w:val="0"/>
          <w:numId w:val="0"/>
        </w:numPr>
        <w:kinsoku/>
        <w:wordWrap/>
        <w:overflowPunct/>
        <w:topLinePunct w:val="0"/>
        <w:autoSpaceDE/>
        <w:autoSpaceDN/>
        <w:bidi w:val="0"/>
        <w:adjustRightInd w:val="0"/>
        <w:spacing w:before="0" w:beforeLines="0" w:after="0" w:afterLines="0" w:line="500" w:lineRule="exact"/>
        <w:ind w:firstLine="480" w:firstLineChars="200"/>
        <w:jc w:val="both"/>
        <w:textAlignment w:val="auto"/>
        <w:outlineLvl w:val="9"/>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1.2</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中标服务商应组建</w:t>
      </w: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专业化、市场化项目运营团队。</w:t>
      </w:r>
      <w:r>
        <w:rPr>
          <w:rFonts w:hint="eastAsia" w:ascii="宋体" w:hAnsi="宋体" w:eastAsia="宋体" w:cs="宋体"/>
          <w:color w:val="000000" w:themeColor="text1"/>
          <w:sz w:val="24"/>
          <w:szCs w:val="24"/>
          <w:highlight w:val="none"/>
          <w:lang w:val="en-US" w:eastAsia="zh-CN"/>
          <w14:textFill>
            <w14:solidFill>
              <w14:schemeClr w14:val="tx1"/>
            </w14:solidFill>
          </w14:textFill>
        </w:rPr>
        <w:t>整体运营团队人员不得少</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于</w:t>
      </w:r>
      <w:r>
        <w:rPr>
          <w:rFonts w:hint="eastAsia" w:ascii="宋体" w:hAnsi="宋体" w:eastAsia="宋体" w:cs="宋体"/>
          <w:color w:val="000000" w:themeColor="text1"/>
          <w:kern w:val="0"/>
          <w:sz w:val="24"/>
          <w:szCs w:val="24"/>
          <w:highlight w:val="none"/>
          <w:u w:val="none"/>
          <w:lang w:val="en-US" w:eastAsia="zh-CN"/>
          <w14:textFill>
            <w14:solidFill>
              <w14:schemeClr w14:val="tx1"/>
            </w14:solidFill>
          </w14:textFill>
        </w:rPr>
        <w:t>20</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人</w:t>
      </w:r>
      <w:r>
        <w:rPr>
          <w:rFonts w:hint="eastAsia" w:ascii="宋体" w:hAnsi="宋体" w:eastAsia="宋体" w:cs="宋体"/>
          <w:i w:val="0"/>
          <w:iCs w:val="0"/>
          <w:caps w:val="0"/>
          <w:color w:val="000000" w:themeColor="text1"/>
          <w:spacing w:val="0"/>
          <w:sz w:val="24"/>
          <w:szCs w:val="24"/>
          <w:highlight w:val="none"/>
          <w:shd w:val="clear"/>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其中核心运营管理人员（</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包括主要管理负责人和骨干）不少于3</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人（以在中标服务商或联合体公司任职一年及以上证明、</w:t>
      </w:r>
      <w:r>
        <w:rPr>
          <w:rFonts w:hint="eastAsia" w:ascii="宋体" w:hAnsi="宋体" w:eastAsia="宋体" w:cs="宋体"/>
          <w:i w:val="0"/>
          <w:iCs w:val="0"/>
          <w:caps w:val="0"/>
          <w:color w:val="000000" w:themeColor="text1"/>
          <w:spacing w:val="0"/>
          <w:sz w:val="24"/>
          <w:szCs w:val="24"/>
          <w:highlight w:val="none"/>
          <w:shd w:val="clear"/>
          <w14:textFill>
            <w14:solidFill>
              <w14:schemeClr w14:val="tx1"/>
            </w14:solidFill>
          </w14:textFill>
        </w:rPr>
        <w:t>连续缴纳六个月</w:t>
      </w:r>
      <w:r>
        <w:rPr>
          <w:rFonts w:hint="eastAsia" w:ascii="宋体" w:hAnsi="宋体" w:eastAsia="宋体" w:cs="宋体"/>
          <w:i w:val="0"/>
          <w:iCs w:val="0"/>
          <w:caps w:val="0"/>
          <w:color w:val="000000" w:themeColor="text1"/>
          <w:spacing w:val="0"/>
          <w:sz w:val="24"/>
          <w:szCs w:val="24"/>
          <w:highlight w:val="none"/>
          <w:shd w:val="clear"/>
          <w:lang w:val="en-US" w:eastAsia="zh-CN"/>
          <w14:textFill>
            <w14:solidFill>
              <w14:schemeClr w14:val="tx1"/>
            </w14:solidFill>
          </w14:textFill>
        </w:rPr>
        <w:t>及以上</w:t>
      </w:r>
      <w:r>
        <w:rPr>
          <w:rFonts w:hint="eastAsia" w:ascii="宋体" w:hAnsi="宋体" w:eastAsia="宋体" w:cs="宋体"/>
          <w:i w:val="0"/>
          <w:iCs w:val="0"/>
          <w:caps w:val="0"/>
          <w:color w:val="000000" w:themeColor="text1"/>
          <w:spacing w:val="0"/>
          <w:sz w:val="24"/>
          <w:szCs w:val="24"/>
          <w:highlight w:val="none"/>
          <w:shd w:val="clear"/>
          <w14:textFill>
            <w14:solidFill>
              <w14:schemeClr w14:val="tx1"/>
            </w14:solidFill>
          </w14:textFill>
        </w:rPr>
        <w:t>社保为认定标准）</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核心运营管理人员</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须在采购合同签署的同时向采购人提供书面备案并在</w:t>
      </w: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项目运营前做好交接工作</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运营管理服务期开始，</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运营团队必须全员到岗到位</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pacing w:before="0" w:beforeLines="0" w:after="0" w:afterLines="0" w:line="500" w:lineRule="exact"/>
        <w:ind w:firstLine="480" w:firstLineChars="200"/>
        <w:jc w:val="both"/>
        <w:textAlignment w:val="auto"/>
        <w:outlineLvl w:val="9"/>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1.3中标服务商须指派至少一名专职人员担任文体中心的项目主要管理负责人，负责本项目的运营管理。主要管理负责人须在</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准备期提供建设期整体技术支持及沟通协调咨询服务，并保证进入运营期后全面负责文体中心运营管理服务工作。主要负责人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必须具有三年以上类似文体场馆的运营管理或项目管理的经验。</w:t>
      </w:r>
      <w:r>
        <w:rPr>
          <w:rFonts w:hint="eastAsia" w:ascii="宋体" w:hAnsi="宋体" w:eastAsia="宋体" w:cs="宋体"/>
          <w:color w:val="000000" w:themeColor="text1"/>
          <w:kern w:val="2"/>
          <w:sz w:val="24"/>
          <w:szCs w:val="24"/>
          <w:highlight w:val="none"/>
          <w:lang w:val="en-US" w:eastAsia="zh-CN"/>
          <w14:textFill>
            <w14:solidFill>
              <w14:schemeClr w14:val="tx1"/>
            </w14:solidFill>
          </w14:textFill>
        </w:rPr>
        <w:t>运营管理期间未经采购人事先书面同意，中标服务商不得擅自更换项目</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主要管理负责人</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numPr>
          <w:ilvl w:val="-1"/>
          <w:numId w:val="0"/>
        </w:numPr>
        <w:kinsoku/>
        <w:wordWrap/>
        <w:overflowPunct/>
        <w:topLinePunct w:val="0"/>
        <w:autoSpaceDE/>
        <w:autoSpaceDN/>
        <w:bidi w:val="0"/>
        <w:adjustRightInd w:val="0"/>
        <w:spacing w:before="0" w:beforeLines="0" w:after="0" w:afterLines="0" w:line="500" w:lineRule="exact"/>
        <w:ind w:firstLine="480" w:firstLineChars="200"/>
        <w:jc w:val="both"/>
        <w:textAlignment w:val="auto"/>
        <w:outlineLvl w:val="9"/>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1.4中标服务商运营团队所有聘用人员须按《劳动合同法》的要求签订劳动合同并购买社保，服务人员工资不得低于杭州市企业职工最低工资标准。</w:t>
      </w:r>
    </w:p>
    <w:p>
      <w:pPr>
        <w:keepNext w:val="0"/>
        <w:keepLines w:val="0"/>
        <w:pageBreakBefore w:val="0"/>
        <w:widowControl w:val="0"/>
        <w:numPr>
          <w:ilvl w:val="-1"/>
          <w:numId w:val="0"/>
        </w:numPr>
        <w:kinsoku/>
        <w:wordWrap/>
        <w:overflowPunct/>
        <w:topLinePunct w:val="0"/>
        <w:autoSpaceDE/>
        <w:autoSpaceDN/>
        <w:bidi w:val="0"/>
        <w:adjustRightInd w:val="0"/>
        <w:spacing w:before="0" w:beforeLines="0" w:after="0" w:afterLines="0" w:line="500" w:lineRule="exact"/>
        <w:ind w:firstLine="480" w:firstLineChars="200"/>
        <w:jc w:val="both"/>
        <w:textAlignment w:val="auto"/>
        <w:outlineLvl w:val="9"/>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1.5中标服务商应建立科学、专业的运营管理体系和制度。</w:t>
      </w:r>
    </w:p>
    <w:p>
      <w:pPr>
        <w:keepNext w:val="0"/>
        <w:keepLines w:val="0"/>
        <w:pageBreakBefore w:val="0"/>
        <w:widowControl w:val="0"/>
        <w:numPr>
          <w:ilvl w:val="-1"/>
          <w:numId w:val="0"/>
        </w:numPr>
        <w:kinsoku/>
        <w:wordWrap/>
        <w:overflowPunct/>
        <w:topLinePunct w:val="0"/>
        <w:autoSpaceDE/>
        <w:autoSpaceDN/>
        <w:bidi w:val="0"/>
        <w:adjustRightInd w:val="0"/>
        <w:spacing w:before="0" w:beforeLines="0" w:after="0" w:afterLines="0" w:line="500" w:lineRule="exact"/>
        <w:ind w:firstLine="480" w:firstLineChars="200"/>
        <w:jc w:val="both"/>
        <w:textAlignment w:val="auto"/>
        <w:outlineLvl w:val="1"/>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2、资产安全管理要求</w:t>
      </w:r>
    </w:p>
    <w:p>
      <w:pPr>
        <w:pStyle w:val="721"/>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2.1</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双方在项目移交前，清理界定文体中心设施、设备完好程度（设施、设备按项目移交时清单为准），委托运营期间，中标服务商负责建筑物及附属设施设备、体育设施设备日常维护。</w:t>
      </w:r>
    </w:p>
    <w:p>
      <w:pPr>
        <w:pStyle w:val="721"/>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2.2中标服务商应制定详实维保方案，切实做好场地设备设施的维修保养工作</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。运营期间，中标服务商须及时对文体中心场馆建筑物及其附属设施设备进行维护</w:t>
      </w:r>
      <w:r>
        <w:rPr>
          <w:rFonts w:hint="eastAsia" w:ascii="宋体" w:hAnsi="宋体" w:eastAsia="宋体" w:cs="宋体"/>
          <w:color w:val="000000" w:themeColor="text1"/>
          <w:sz w:val="24"/>
          <w:szCs w:val="24"/>
          <w:highlight w:val="none"/>
          <w:lang w:val="en-US" w:eastAsia="zh-CN"/>
          <w14:textFill>
            <w14:solidFill>
              <w14:schemeClr w14:val="tx1"/>
            </w14:solidFill>
          </w14:textFill>
        </w:rPr>
        <w:t>保养工作</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排除使用故障和隐患（设备设施按合同约定及国家规范标准或惯例通过年审、实施操作、检修和保养），并配合上级部门的相关检查。中标服务商必须严格按照使用操作规范实施操作，对于违规使用或操作导致安全事故发生并造成损失的，由中标服务商承担一切责任。</w:t>
      </w:r>
    </w:p>
    <w:p>
      <w:pPr>
        <w:pStyle w:val="721"/>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2.3运营期间，工程维保期满后设备设施损坏的维修费用由中标服务商承担。</w:t>
      </w:r>
    </w:p>
    <w:p>
      <w:pPr>
        <w:pStyle w:val="721"/>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2.4中标服务商因经营需要对文体中心及附属设施、设备进行改造和新建的，必须向采购人上报改造和建设方案，方案须经采购人书面同意并经相关行政部门批准或备案后方可实施。改造和新建所发生的全部费用均由中标服务商自行承担。中标服务商未经采购人书面同意擅自改造、新建相关设施设备的，采购人有权要求中标服务商赔偿相关损失并恢复原状。</w:t>
      </w:r>
    </w:p>
    <w:p>
      <w:pPr>
        <w:pStyle w:val="721"/>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2.5中标服务商须保证文体中心的建筑物及附属设施设备在运营期间的完整性、安全性以及功能使用的完好性。</w:t>
      </w:r>
      <w:r>
        <w:rPr>
          <w:rFonts w:hint="eastAsia" w:ascii="宋体" w:hAnsi="宋体" w:eastAsia="宋体" w:cs="宋体"/>
          <w:color w:val="000000" w:themeColor="text1"/>
          <w:sz w:val="24"/>
          <w:szCs w:val="24"/>
          <w:highlight w:val="none"/>
          <w:lang w:val="en-US" w:eastAsia="zh-CN"/>
          <w14:textFill>
            <w14:solidFill>
              <w14:schemeClr w14:val="tx1"/>
            </w14:solidFill>
          </w14:textFill>
        </w:rPr>
        <w:t>运营管理服务期限届满，</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中标服务商应保证</w:t>
      </w:r>
      <w:r>
        <w:rPr>
          <w:rFonts w:hint="eastAsia" w:ascii="宋体" w:hAnsi="宋体" w:eastAsia="宋体" w:cs="宋体"/>
          <w:color w:val="000000" w:themeColor="text1"/>
          <w:sz w:val="24"/>
          <w:szCs w:val="24"/>
          <w:highlight w:val="none"/>
          <w:lang w:val="en-US" w:eastAsia="zh-CN"/>
          <w14:textFill>
            <w14:solidFill>
              <w14:schemeClr w14:val="tx1"/>
            </w14:solidFill>
          </w14:textFill>
        </w:rPr>
        <w:t>场地设备设施的完好运行率达90%以上</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（因运营需要，经双方确认改变的设施、设备及功能，正常使用年限寿命到期的设施设备及功能除外）</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pStyle w:val="721"/>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outlineLvl w:val="1"/>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3、安全管理要求</w:t>
      </w:r>
    </w:p>
    <w:p>
      <w:pPr>
        <w:pStyle w:val="721"/>
        <w:keepNext w:val="0"/>
        <w:keepLines w:val="0"/>
        <w:pageBreakBefore w:val="0"/>
        <w:widowControl w:val="0"/>
        <w:numPr>
          <w:ilvl w:val="0"/>
          <w:numId w:val="0"/>
        </w:numPr>
        <w:kinsoku/>
        <w:wordWrap w:val="0"/>
        <w:overflowPunct/>
        <w:topLinePunct w:val="0"/>
        <w:autoSpaceDE/>
        <w:autoSpaceDN/>
        <w:bidi w:val="0"/>
        <w:spacing w:before="0" w:beforeLines="0" w:after="0" w:afterLines="0" w:line="500" w:lineRule="exact"/>
        <w:ind w:firstLine="480" w:firstLineChars="200"/>
        <w:jc w:val="both"/>
        <w:textAlignment w:val="auto"/>
        <w:rPr>
          <w:rFonts w:hint="eastAsia" w:ascii="宋体" w:hAnsi="宋体" w:eastAsia="宋体" w:cs="宋体"/>
          <w:color w:val="000000" w:themeColor="text1"/>
          <w:sz w:val="24"/>
          <w:szCs w:val="24"/>
          <w:highlight w:val="none"/>
          <w:lang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bidi="ar-SA"/>
          <w14:textFill>
            <w14:solidFill>
              <w14:schemeClr w14:val="tx1"/>
            </w14:solidFill>
          </w14:textFill>
        </w:rPr>
        <w:t>3.1建立健全</w:t>
      </w:r>
      <w:r>
        <w:rPr>
          <w:rFonts w:hint="eastAsia" w:ascii="宋体" w:hAnsi="宋体" w:eastAsia="宋体" w:cs="宋体"/>
          <w:color w:val="000000" w:themeColor="text1"/>
          <w:sz w:val="24"/>
          <w:szCs w:val="24"/>
          <w:highlight w:val="none"/>
          <w:lang w:bidi="ar-SA"/>
          <w14:textFill>
            <w14:solidFill>
              <w14:schemeClr w14:val="tx1"/>
            </w14:solidFill>
          </w14:textFill>
        </w:rPr>
        <w:t>安全</w:t>
      </w:r>
      <w:r>
        <w:rPr>
          <w:rFonts w:hint="eastAsia" w:ascii="宋体" w:hAnsi="宋体" w:eastAsia="宋体" w:cs="宋体"/>
          <w:color w:val="000000" w:themeColor="text1"/>
          <w:sz w:val="24"/>
          <w:szCs w:val="24"/>
          <w:highlight w:val="none"/>
          <w:lang w:val="en-US" w:eastAsia="zh-CN" w:bidi="ar-SA"/>
          <w14:textFill>
            <w14:solidFill>
              <w14:schemeClr w14:val="tx1"/>
            </w14:solidFill>
          </w14:textFill>
        </w:rPr>
        <w:t>管理</w:t>
      </w:r>
      <w:r>
        <w:rPr>
          <w:rFonts w:hint="eastAsia" w:ascii="宋体" w:hAnsi="宋体" w:eastAsia="宋体" w:cs="宋体"/>
          <w:color w:val="000000" w:themeColor="text1"/>
          <w:sz w:val="24"/>
          <w:szCs w:val="24"/>
          <w:highlight w:val="none"/>
          <w:lang w:bidi="ar-SA"/>
          <w14:textFill>
            <w14:solidFill>
              <w14:schemeClr w14:val="tx1"/>
            </w14:solidFill>
          </w14:textFill>
        </w:rPr>
        <w:t>机制，提升应急处置能力</w:t>
      </w:r>
      <w:r>
        <w:rPr>
          <w:rFonts w:hint="eastAsia" w:ascii="宋体" w:hAnsi="宋体" w:eastAsia="宋体" w:cs="宋体"/>
          <w:color w:val="000000" w:themeColor="text1"/>
          <w:sz w:val="24"/>
          <w:szCs w:val="24"/>
          <w:highlight w:val="none"/>
          <w:lang w:eastAsia="zh-CN" w:bidi="ar-SA"/>
          <w14:textFill>
            <w14:solidFill>
              <w14:schemeClr w14:val="tx1"/>
            </w14:solidFill>
          </w14:textFill>
        </w:rPr>
        <w:t>，</w:t>
      </w:r>
      <w:r>
        <w:rPr>
          <w:rFonts w:hint="eastAsia" w:ascii="宋体" w:hAnsi="宋体" w:eastAsia="宋体" w:cs="宋体"/>
          <w:color w:val="000000" w:themeColor="text1"/>
          <w:sz w:val="24"/>
          <w:szCs w:val="24"/>
          <w:highlight w:val="none"/>
          <w:lang w:bidi="ar-SA"/>
          <w14:textFill>
            <w14:solidFill>
              <w14:schemeClr w14:val="tx1"/>
            </w14:solidFill>
          </w14:textFill>
        </w:rPr>
        <w:t>科学有效</w:t>
      </w:r>
      <w:r>
        <w:rPr>
          <w:rFonts w:hint="eastAsia" w:ascii="宋体" w:hAnsi="宋体" w:eastAsia="宋体" w:cs="宋体"/>
          <w:color w:val="000000" w:themeColor="text1"/>
          <w:sz w:val="24"/>
          <w:szCs w:val="24"/>
          <w:highlight w:val="none"/>
          <w:lang w:val="en-US" w:eastAsia="zh-CN" w:bidi="ar-SA"/>
          <w14:textFill>
            <w14:solidFill>
              <w14:schemeClr w14:val="tx1"/>
            </w14:solidFill>
          </w14:textFill>
        </w:rPr>
        <w:t>降低</w:t>
      </w:r>
      <w:r>
        <w:rPr>
          <w:rFonts w:hint="eastAsia" w:ascii="宋体" w:hAnsi="宋体" w:eastAsia="宋体" w:cs="宋体"/>
          <w:color w:val="000000" w:themeColor="text1"/>
          <w:sz w:val="24"/>
          <w:szCs w:val="24"/>
          <w:highlight w:val="none"/>
          <w:lang w:bidi="ar-SA"/>
          <w14:textFill>
            <w14:solidFill>
              <w14:schemeClr w14:val="tx1"/>
            </w14:solidFill>
          </w14:textFill>
        </w:rPr>
        <w:t>安全风险，严防各类事故发生。</w:t>
      </w:r>
      <w:r>
        <w:rPr>
          <w:rFonts w:hint="eastAsia" w:ascii="宋体" w:hAnsi="宋体" w:eastAsia="宋体" w:cs="宋体"/>
          <w:color w:val="000000" w:themeColor="text1"/>
          <w:sz w:val="24"/>
          <w:szCs w:val="24"/>
          <w:highlight w:val="none"/>
          <w:lang w:eastAsia="zh-CN" w:bidi="ar-SA"/>
          <w14:textFill>
            <w14:solidFill>
              <w14:schemeClr w14:val="tx1"/>
            </w14:solidFill>
          </w14:textFill>
        </w:rPr>
        <w:t>文体中心</w:t>
      </w:r>
      <w:r>
        <w:rPr>
          <w:rFonts w:hint="eastAsia" w:ascii="宋体" w:hAnsi="宋体" w:eastAsia="宋体" w:cs="宋体"/>
          <w:color w:val="000000" w:themeColor="text1"/>
          <w:sz w:val="24"/>
          <w:szCs w:val="24"/>
          <w:highlight w:val="none"/>
          <w:lang w:bidi="ar-SA"/>
          <w14:textFill>
            <w14:solidFill>
              <w14:schemeClr w14:val="tx1"/>
            </w14:solidFill>
          </w14:textFill>
        </w:rPr>
        <w:t>负责人</w:t>
      </w:r>
      <w:r>
        <w:rPr>
          <w:rFonts w:hint="eastAsia" w:ascii="宋体" w:hAnsi="宋体" w:eastAsia="宋体" w:cs="宋体"/>
          <w:color w:val="000000" w:themeColor="text1"/>
          <w:sz w:val="24"/>
          <w:szCs w:val="24"/>
          <w:highlight w:val="none"/>
          <w:lang w:val="en-US" w:eastAsia="zh-CN" w:bidi="ar-SA"/>
          <w14:textFill>
            <w14:solidFill>
              <w14:schemeClr w14:val="tx1"/>
            </w14:solidFill>
          </w14:textFill>
        </w:rPr>
        <w:t>作为安全第一责任人，要有较强的</w:t>
      </w:r>
      <w:r>
        <w:rPr>
          <w:rFonts w:hint="eastAsia" w:ascii="宋体" w:hAnsi="宋体" w:eastAsia="宋体" w:cs="宋体"/>
          <w:color w:val="000000" w:themeColor="text1"/>
          <w:sz w:val="24"/>
          <w:szCs w:val="24"/>
          <w:highlight w:val="none"/>
          <w:lang w:bidi="ar-SA"/>
          <w14:textFill>
            <w14:solidFill>
              <w14:schemeClr w14:val="tx1"/>
            </w14:solidFill>
          </w14:textFill>
        </w:rPr>
        <w:t>安全</w:t>
      </w:r>
      <w:r>
        <w:rPr>
          <w:rFonts w:hint="eastAsia" w:ascii="宋体" w:hAnsi="宋体" w:eastAsia="宋体" w:cs="宋体"/>
          <w:color w:val="000000" w:themeColor="text1"/>
          <w:sz w:val="24"/>
          <w:szCs w:val="24"/>
          <w:highlight w:val="none"/>
          <w:lang w:val="en-US" w:eastAsia="zh-CN" w:bidi="ar-SA"/>
          <w14:textFill>
            <w14:solidFill>
              <w14:schemeClr w14:val="tx1"/>
            </w14:solidFill>
          </w14:textFill>
        </w:rPr>
        <w:t>责任</w:t>
      </w:r>
      <w:r>
        <w:rPr>
          <w:rFonts w:hint="eastAsia" w:ascii="宋体" w:hAnsi="宋体" w:eastAsia="宋体" w:cs="宋体"/>
          <w:color w:val="000000" w:themeColor="text1"/>
          <w:sz w:val="24"/>
          <w:szCs w:val="24"/>
          <w:highlight w:val="none"/>
          <w:lang w:bidi="ar-SA"/>
          <w14:textFill>
            <w14:solidFill>
              <w14:schemeClr w14:val="tx1"/>
            </w14:solidFill>
          </w14:textFill>
        </w:rPr>
        <w:t>意识，</w:t>
      </w:r>
      <w:r>
        <w:rPr>
          <w:rFonts w:hint="eastAsia" w:ascii="宋体" w:hAnsi="宋体" w:eastAsia="宋体" w:cs="宋体"/>
          <w:color w:val="000000" w:themeColor="text1"/>
          <w:sz w:val="24"/>
          <w:szCs w:val="24"/>
          <w:highlight w:val="none"/>
          <w:lang w:eastAsia="zh-CN" w:bidi="ar-SA"/>
          <w14:textFill>
            <w14:solidFill>
              <w14:schemeClr w14:val="tx1"/>
            </w14:solidFill>
          </w14:textFill>
        </w:rPr>
        <w:t>文体中心</w:t>
      </w:r>
      <w:r>
        <w:rPr>
          <w:rFonts w:hint="eastAsia" w:ascii="宋体" w:hAnsi="宋体" w:eastAsia="宋体" w:cs="宋体"/>
          <w:color w:val="000000" w:themeColor="text1"/>
          <w:sz w:val="24"/>
          <w:szCs w:val="24"/>
          <w:highlight w:val="none"/>
          <w:lang w:bidi="ar-SA"/>
          <w14:textFill>
            <w14:solidFill>
              <w14:schemeClr w14:val="tx1"/>
            </w14:solidFill>
          </w14:textFill>
        </w:rPr>
        <w:t>工作人员</w:t>
      </w:r>
      <w:r>
        <w:rPr>
          <w:rFonts w:hint="eastAsia" w:ascii="宋体" w:hAnsi="宋体" w:eastAsia="宋体" w:cs="宋体"/>
          <w:color w:val="000000" w:themeColor="text1"/>
          <w:sz w:val="24"/>
          <w:szCs w:val="24"/>
          <w:highlight w:val="none"/>
          <w:lang w:val="en-US" w:eastAsia="zh-CN" w:bidi="ar-SA"/>
          <w14:textFill>
            <w14:solidFill>
              <w14:schemeClr w14:val="tx1"/>
            </w14:solidFill>
          </w14:textFill>
        </w:rPr>
        <w:t>须有</w:t>
      </w:r>
      <w:r>
        <w:rPr>
          <w:rFonts w:hint="eastAsia" w:ascii="宋体" w:hAnsi="宋体" w:eastAsia="宋体" w:cs="宋体"/>
          <w:color w:val="000000" w:themeColor="text1"/>
          <w:sz w:val="24"/>
          <w:szCs w:val="24"/>
          <w:highlight w:val="none"/>
          <w:lang w:bidi="ar-SA"/>
          <w14:textFill>
            <w14:solidFill>
              <w14:schemeClr w14:val="tx1"/>
            </w14:solidFill>
          </w14:textFill>
        </w:rPr>
        <w:t>应急处突能力</w:t>
      </w:r>
      <w:r>
        <w:rPr>
          <w:rFonts w:hint="eastAsia" w:ascii="宋体" w:hAnsi="宋体" w:eastAsia="宋体" w:cs="宋体"/>
          <w:color w:val="000000" w:themeColor="text1"/>
          <w:sz w:val="24"/>
          <w:szCs w:val="24"/>
          <w:highlight w:val="none"/>
          <w:lang w:eastAsia="zh-CN" w:bidi="ar-SA"/>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必须遵照相关部门的安全管理条例实施各项安全管理要求，对合同期内发生的各类安全事故承担相应责任。</w:t>
      </w:r>
    </w:p>
    <w:p>
      <w:pPr>
        <w:pStyle w:val="721"/>
        <w:keepNext w:val="0"/>
        <w:keepLines w:val="0"/>
        <w:pageBreakBefore w:val="0"/>
        <w:widowControl w:val="0"/>
        <w:numPr>
          <w:ilvl w:val="0"/>
          <w:numId w:val="0"/>
        </w:numPr>
        <w:kinsoku/>
        <w:wordWrap w:val="0"/>
        <w:overflowPunct/>
        <w:topLinePunct w:val="0"/>
        <w:autoSpaceDE/>
        <w:autoSpaceDN/>
        <w:bidi w:val="0"/>
        <w:spacing w:before="0" w:beforeLines="0" w:after="0" w:afterLines="0" w:line="500" w:lineRule="exact"/>
        <w:ind w:firstLine="480" w:firstLineChars="200"/>
        <w:jc w:val="both"/>
        <w:textAlignment w:val="auto"/>
        <w:rPr>
          <w:rFonts w:hint="eastAsia" w:ascii="宋体" w:hAnsi="宋体" w:eastAsia="宋体" w:cs="宋体"/>
          <w:color w:val="000000" w:themeColor="text1"/>
          <w:sz w:val="24"/>
          <w:szCs w:val="24"/>
          <w:highlight w:val="none"/>
          <w:lang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bidi="ar-SA"/>
          <w14:textFill>
            <w14:solidFill>
              <w14:schemeClr w14:val="tx1"/>
            </w14:solidFill>
          </w14:textFill>
        </w:rPr>
        <w:t>3.2</w:t>
      </w:r>
      <w:r>
        <w:rPr>
          <w:rFonts w:hint="eastAsia" w:ascii="宋体" w:hAnsi="宋体" w:eastAsia="宋体" w:cs="宋体"/>
          <w:color w:val="000000" w:themeColor="text1"/>
          <w:sz w:val="24"/>
          <w:szCs w:val="24"/>
          <w:highlight w:val="none"/>
          <w:lang w:bidi="ar-SA"/>
          <w14:textFill>
            <w14:solidFill>
              <w14:schemeClr w14:val="tx1"/>
            </w14:solidFill>
          </w14:textFill>
        </w:rPr>
        <w:t>定期</w:t>
      </w:r>
      <w:r>
        <w:rPr>
          <w:rFonts w:hint="eastAsia" w:ascii="宋体" w:hAnsi="宋体" w:eastAsia="宋体" w:cs="宋体"/>
          <w:color w:val="000000" w:themeColor="text1"/>
          <w:sz w:val="24"/>
          <w:szCs w:val="24"/>
          <w:highlight w:val="none"/>
          <w:lang w:val="en-US" w:eastAsia="zh-CN" w:bidi="ar-SA"/>
          <w14:textFill>
            <w14:solidFill>
              <w14:schemeClr w14:val="tx1"/>
            </w14:solidFill>
          </w14:textFill>
        </w:rPr>
        <w:t>自查自纠并配合采购方以及相关部门</w:t>
      </w:r>
      <w:r>
        <w:rPr>
          <w:rFonts w:hint="eastAsia" w:ascii="宋体" w:hAnsi="宋体" w:eastAsia="宋体" w:cs="宋体"/>
          <w:color w:val="000000" w:themeColor="text1"/>
          <w:sz w:val="24"/>
          <w:szCs w:val="24"/>
          <w:highlight w:val="none"/>
          <w:lang w:bidi="ar-SA"/>
          <w14:textFill>
            <w14:solidFill>
              <w14:schemeClr w14:val="tx1"/>
            </w14:solidFill>
          </w14:textFill>
        </w:rPr>
        <w:t>对</w:t>
      </w:r>
      <w:r>
        <w:rPr>
          <w:rFonts w:hint="eastAsia" w:ascii="宋体" w:hAnsi="宋体" w:eastAsia="宋体" w:cs="宋体"/>
          <w:color w:val="000000" w:themeColor="text1"/>
          <w:sz w:val="24"/>
          <w:szCs w:val="24"/>
          <w:highlight w:val="none"/>
          <w:lang w:eastAsia="zh-CN" w:bidi="ar-SA"/>
          <w14:textFill>
            <w14:solidFill>
              <w14:schemeClr w14:val="tx1"/>
            </w14:solidFill>
          </w14:textFill>
        </w:rPr>
        <w:t>文体中心</w:t>
      </w:r>
      <w:r>
        <w:rPr>
          <w:rFonts w:hint="eastAsia" w:ascii="宋体" w:hAnsi="宋体" w:eastAsia="宋体" w:cs="宋体"/>
          <w:color w:val="000000" w:themeColor="text1"/>
          <w:sz w:val="24"/>
          <w:szCs w:val="24"/>
          <w:highlight w:val="none"/>
          <w:lang w:bidi="ar-SA"/>
          <w14:textFill>
            <w14:solidFill>
              <w14:schemeClr w14:val="tx1"/>
            </w14:solidFill>
          </w14:textFill>
        </w:rPr>
        <w:t>内的各种消防装置、体育及卫生、饮水等设施进行</w:t>
      </w:r>
      <w:r>
        <w:rPr>
          <w:rFonts w:hint="eastAsia" w:ascii="宋体" w:hAnsi="宋体" w:eastAsia="宋体" w:cs="宋体"/>
          <w:color w:val="000000" w:themeColor="text1"/>
          <w:sz w:val="24"/>
          <w:szCs w:val="24"/>
          <w:highlight w:val="none"/>
          <w:lang w:val="en-US" w:eastAsia="zh-CN" w:bidi="ar-SA"/>
          <w14:textFill>
            <w14:solidFill>
              <w14:schemeClr w14:val="tx1"/>
            </w14:solidFill>
          </w14:textFill>
        </w:rPr>
        <w:t>排查整治</w:t>
      </w:r>
      <w:r>
        <w:rPr>
          <w:rFonts w:hint="eastAsia" w:ascii="宋体" w:hAnsi="宋体" w:eastAsia="宋体" w:cs="宋体"/>
          <w:color w:val="000000" w:themeColor="text1"/>
          <w:sz w:val="24"/>
          <w:szCs w:val="24"/>
          <w:highlight w:val="none"/>
          <w:lang w:bidi="ar-SA"/>
          <w14:textFill>
            <w14:solidFill>
              <w14:schemeClr w14:val="tx1"/>
            </w14:solidFill>
          </w14:textFill>
        </w:rPr>
        <w:t>，</w:t>
      </w:r>
      <w:r>
        <w:rPr>
          <w:rFonts w:hint="eastAsia" w:ascii="宋体" w:hAnsi="宋体" w:eastAsia="宋体" w:cs="宋体"/>
          <w:color w:val="000000" w:themeColor="text1"/>
          <w:sz w:val="24"/>
          <w:szCs w:val="24"/>
          <w:highlight w:val="none"/>
          <w:lang w:val="en-US" w:eastAsia="zh-CN" w:bidi="ar-SA"/>
          <w14:textFill>
            <w14:solidFill>
              <w14:schemeClr w14:val="tx1"/>
            </w14:solidFill>
          </w14:textFill>
        </w:rPr>
        <w:t>建立台账，及时排除安全隐患</w:t>
      </w:r>
      <w:r>
        <w:rPr>
          <w:rFonts w:hint="eastAsia" w:ascii="宋体" w:hAnsi="宋体" w:eastAsia="宋体" w:cs="宋体"/>
          <w:color w:val="000000" w:themeColor="text1"/>
          <w:sz w:val="24"/>
          <w:szCs w:val="24"/>
          <w:highlight w:val="none"/>
          <w:lang w:bidi="ar-SA"/>
          <w14:textFill>
            <w14:solidFill>
              <w14:schemeClr w14:val="tx1"/>
            </w14:solidFill>
          </w14:textFill>
        </w:rPr>
        <w:t>。</w:t>
      </w:r>
      <w:r>
        <w:rPr>
          <w:rFonts w:hint="eastAsia" w:ascii="宋体" w:hAnsi="宋体" w:eastAsia="宋体" w:cs="宋体"/>
          <w:color w:val="000000" w:themeColor="text1"/>
          <w:sz w:val="24"/>
          <w:szCs w:val="24"/>
          <w:highlight w:val="none"/>
          <w:lang w:val="en-US" w:eastAsia="zh-CN" w:bidi="ar-SA"/>
          <w14:textFill>
            <w14:solidFill>
              <w14:schemeClr w14:val="tx1"/>
            </w14:solidFill>
          </w14:textFill>
        </w:rPr>
        <w:t>文体中心</w:t>
      </w:r>
      <w:r>
        <w:rPr>
          <w:rFonts w:hint="eastAsia" w:ascii="宋体" w:hAnsi="宋体" w:eastAsia="宋体" w:cs="宋体"/>
          <w:color w:val="000000" w:themeColor="text1"/>
          <w:sz w:val="24"/>
          <w:szCs w:val="24"/>
          <w:highlight w:val="none"/>
          <w:lang w:bidi="ar-SA"/>
          <w14:textFill>
            <w14:solidFill>
              <w14:schemeClr w14:val="tx1"/>
            </w14:solidFill>
          </w14:textFill>
        </w:rPr>
        <w:t>内的空调机房、消防水箱、灯光音响及库房等重点</w:t>
      </w:r>
      <w:r>
        <w:rPr>
          <w:rFonts w:hint="eastAsia" w:ascii="宋体" w:hAnsi="宋体" w:eastAsia="宋体" w:cs="宋体"/>
          <w:color w:val="000000" w:themeColor="text1"/>
          <w:sz w:val="24"/>
          <w:szCs w:val="24"/>
          <w:highlight w:val="none"/>
          <w:lang w:val="en-US" w:eastAsia="zh-CN" w:bidi="ar-SA"/>
          <w14:textFill>
            <w14:solidFill>
              <w14:schemeClr w14:val="tx1"/>
            </w14:solidFill>
          </w14:textFill>
        </w:rPr>
        <w:t>区域须安排</w:t>
      </w:r>
      <w:r>
        <w:rPr>
          <w:rFonts w:hint="eastAsia" w:ascii="宋体" w:hAnsi="宋体" w:eastAsia="宋体" w:cs="宋体"/>
          <w:color w:val="000000" w:themeColor="text1"/>
          <w:sz w:val="24"/>
          <w:szCs w:val="24"/>
          <w:highlight w:val="none"/>
          <w:lang w:bidi="ar-SA"/>
          <w14:textFill>
            <w14:solidFill>
              <w14:schemeClr w14:val="tx1"/>
            </w14:solidFill>
          </w14:textFill>
        </w:rPr>
        <w:t>专人负责。各场馆的门和房间钥匙由专人保管。</w:t>
      </w:r>
      <w:r>
        <w:rPr>
          <w:rFonts w:hint="eastAsia" w:ascii="宋体" w:hAnsi="宋体" w:eastAsia="宋体" w:cs="宋体"/>
          <w:color w:val="000000" w:themeColor="text1"/>
          <w:sz w:val="24"/>
          <w:szCs w:val="24"/>
          <w:highlight w:val="none"/>
          <w:lang w:val="en-US" w:eastAsia="zh-CN" w:bidi="ar-SA"/>
          <w14:textFill>
            <w14:solidFill>
              <w14:schemeClr w14:val="tx1"/>
            </w14:solidFill>
          </w14:textFill>
        </w:rPr>
        <w:t>文体中心工作</w:t>
      </w:r>
      <w:r>
        <w:rPr>
          <w:rFonts w:hint="eastAsia" w:ascii="宋体" w:hAnsi="宋体" w:eastAsia="宋体" w:cs="宋体"/>
          <w:color w:val="000000" w:themeColor="text1"/>
          <w:sz w:val="24"/>
          <w:szCs w:val="24"/>
          <w:highlight w:val="none"/>
          <w:lang w:bidi="ar-SA"/>
          <w14:textFill>
            <w14:solidFill>
              <w14:schemeClr w14:val="tx1"/>
            </w14:solidFill>
          </w14:textFill>
        </w:rPr>
        <w:t>人员</w:t>
      </w:r>
      <w:r>
        <w:rPr>
          <w:rFonts w:hint="eastAsia" w:ascii="宋体" w:hAnsi="宋体" w:eastAsia="宋体" w:cs="宋体"/>
          <w:color w:val="000000" w:themeColor="text1"/>
          <w:sz w:val="24"/>
          <w:szCs w:val="24"/>
          <w:highlight w:val="none"/>
          <w:lang w:val="en-US" w:eastAsia="zh-CN" w:bidi="ar-SA"/>
          <w14:textFill>
            <w14:solidFill>
              <w14:schemeClr w14:val="tx1"/>
            </w14:solidFill>
          </w14:textFill>
        </w:rPr>
        <w:t>须</w:t>
      </w:r>
      <w:r>
        <w:rPr>
          <w:rFonts w:hint="eastAsia" w:ascii="宋体" w:hAnsi="宋体" w:eastAsia="宋体" w:cs="宋体"/>
          <w:color w:val="000000" w:themeColor="text1"/>
          <w:sz w:val="24"/>
          <w:szCs w:val="24"/>
          <w:highlight w:val="none"/>
          <w:lang w:bidi="ar-SA"/>
          <w14:textFill>
            <w14:solidFill>
              <w14:schemeClr w14:val="tx1"/>
            </w14:solidFill>
          </w14:textFill>
        </w:rPr>
        <w:t>严格执行体育馆各项制度和要求</w:t>
      </w:r>
      <w:r>
        <w:rPr>
          <w:rFonts w:hint="eastAsia" w:ascii="宋体" w:hAnsi="宋体" w:eastAsia="宋体" w:cs="宋体"/>
          <w:color w:val="000000" w:themeColor="text1"/>
          <w:sz w:val="24"/>
          <w:szCs w:val="24"/>
          <w:highlight w:val="none"/>
          <w:lang w:eastAsia="zh-CN" w:bidi="ar-SA"/>
          <w14:textFill>
            <w14:solidFill>
              <w14:schemeClr w14:val="tx1"/>
            </w14:solidFill>
          </w14:textFill>
        </w:rPr>
        <w:t>。</w:t>
      </w:r>
    </w:p>
    <w:p>
      <w:pPr>
        <w:pStyle w:val="721"/>
        <w:keepNext w:val="0"/>
        <w:keepLines w:val="0"/>
        <w:pageBreakBefore w:val="0"/>
        <w:widowControl w:val="0"/>
        <w:numPr>
          <w:ilvl w:val="0"/>
          <w:numId w:val="0"/>
        </w:numPr>
        <w:kinsoku/>
        <w:wordWrap w:val="0"/>
        <w:overflowPunct/>
        <w:topLinePunct w:val="0"/>
        <w:autoSpaceDE/>
        <w:autoSpaceDN/>
        <w:bidi w:val="0"/>
        <w:spacing w:before="0" w:beforeLines="0" w:after="0" w:afterLines="0" w:line="50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bidi="ar-SA"/>
          <w14:textFill>
            <w14:solidFill>
              <w14:schemeClr w14:val="tx1"/>
            </w14:solidFill>
          </w14:textFill>
        </w:rPr>
        <w:t>3.3足额配备具备专业资质的工程设备、安保、健身指导人员等。</w:t>
      </w:r>
    </w:p>
    <w:p>
      <w:pPr>
        <w:pStyle w:val="721"/>
        <w:keepNext w:val="0"/>
        <w:keepLines w:val="0"/>
        <w:pageBreakBefore w:val="0"/>
        <w:widowControl w:val="0"/>
        <w:numPr>
          <w:ilvl w:val="0"/>
          <w:numId w:val="0"/>
        </w:numPr>
        <w:kinsoku/>
        <w:wordWrap w:val="0"/>
        <w:overflowPunct/>
        <w:topLinePunct w:val="0"/>
        <w:autoSpaceDE/>
        <w:autoSpaceDN/>
        <w:bidi w:val="0"/>
        <w:spacing w:before="0" w:beforeLines="0" w:after="0" w:afterLines="0" w:line="50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bidi="ar-SA"/>
          <w14:textFill>
            <w14:solidFill>
              <w14:schemeClr w14:val="tx1"/>
            </w14:solidFill>
          </w14:textFill>
        </w:rPr>
        <w:t>3.4文体中心日常开放期间须与相关医疗机构签订合作协议，确保在文体中心活动的伤病患者能够及时获得医疗救护；举办赛事活动期间应有专业医疗机构人员现场保障救护。</w:t>
      </w:r>
    </w:p>
    <w:p>
      <w:pPr>
        <w:pStyle w:val="721"/>
        <w:keepNext w:val="0"/>
        <w:keepLines w:val="0"/>
        <w:pageBreakBefore w:val="0"/>
        <w:widowControl w:val="0"/>
        <w:numPr>
          <w:ilvl w:val="0"/>
          <w:numId w:val="0"/>
        </w:numPr>
        <w:kinsoku/>
        <w:wordWrap w:val="0"/>
        <w:overflowPunct/>
        <w:topLinePunct w:val="0"/>
        <w:autoSpaceDE/>
        <w:autoSpaceDN/>
        <w:bidi w:val="0"/>
        <w:snapToGrid/>
        <w:spacing w:before="0" w:beforeLines="0" w:after="0" w:afterLines="0" w:line="500" w:lineRule="exact"/>
        <w:ind w:firstLine="480" w:firstLineChars="200"/>
        <w:jc w:val="both"/>
        <w:textAlignment w:val="auto"/>
        <w:outlineLvl w:val="1"/>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4、运营管理服务要求</w:t>
      </w:r>
    </w:p>
    <w:p>
      <w:pPr>
        <w:pStyle w:val="721"/>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4.1文体中心以开展文体活动、交流、赛事为主，旨在加强区域范围内文体产业发展，并为周边广大群众日常文体活动提供方便。规划业态设计需兼顾性别及年龄层，以文体类业态为核心。要求文体规划具有丰富性，日常文体项目（体育类、文艺类、训练类）不少于20个（游泳、游泳培训为一项，合称游泳项目）。未经采购方同意，中标服务商不得擅自新增或减少文体项目类型。</w:t>
      </w:r>
    </w:p>
    <w:p>
      <w:pPr>
        <w:pStyle w:val="721"/>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中标服务商负责加强文体中心信息化管理服务系统建设和运用，按采购人要求定期向采购人提供必要的运营管理数据。中标服务商应在相关信息化管理服务系统中为采购人开通运营管理数据全面查阅权限。</w:t>
      </w:r>
    </w:p>
    <w:p>
      <w:pPr>
        <w:pStyle w:val="721"/>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rPr>
          <w:rFonts w:hint="eastAsia" w:ascii="宋体" w:hAnsi="宋体" w:eastAsia="宋体" w:cs="宋体"/>
          <w:strike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strike w:val="0"/>
          <w:color w:val="000000" w:themeColor="text1"/>
          <w:sz w:val="24"/>
          <w:szCs w:val="24"/>
          <w:highlight w:val="none"/>
          <w:lang w:val="en-US" w:eastAsia="zh-CN"/>
          <w14:textFill>
            <w14:solidFill>
              <w14:schemeClr w14:val="tx1"/>
            </w14:solidFill>
          </w14:textFill>
        </w:rPr>
        <w:t>4.</w:t>
      </w:r>
      <w:r>
        <w:rPr>
          <w:rFonts w:hint="eastAsia" w:cs="宋体"/>
          <w:strike w:val="0"/>
          <w:color w:val="000000" w:themeColor="text1"/>
          <w:sz w:val="24"/>
          <w:szCs w:val="24"/>
          <w:highlight w:val="none"/>
          <w:lang w:val="en-US" w:eastAsia="zh-CN"/>
          <w14:textFill>
            <w14:solidFill>
              <w14:schemeClr w14:val="tx1"/>
            </w14:solidFill>
          </w14:textFill>
        </w:rPr>
        <w:t>3</w:t>
      </w:r>
      <w:r>
        <w:rPr>
          <w:rFonts w:hint="eastAsia" w:ascii="宋体" w:hAnsi="宋体" w:eastAsia="宋体" w:cs="宋体"/>
          <w:strike w:val="0"/>
          <w:color w:val="000000" w:themeColor="text1"/>
          <w:sz w:val="24"/>
          <w:szCs w:val="24"/>
          <w:highlight w:val="none"/>
          <w:lang w:val="en-US" w:eastAsia="zh-CN"/>
          <w14:textFill>
            <w14:solidFill>
              <w14:schemeClr w14:val="tx1"/>
            </w14:solidFill>
          </w14:textFill>
        </w:rPr>
        <w:t>中标服务商主办或承办赛事活动前应提前向采购人进行书面报备。无特殊情况，中标服务商应于举办比赛活动前至少15天以书面形式向采购方报备比赛活动计划及安排。</w:t>
      </w:r>
    </w:p>
    <w:p>
      <w:pPr>
        <w:pStyle w:val="721"/>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lang w:val="en-US" w:eastAsia="zh-CN"/>
          <w14:textFill>
            <w14:solidFill>
              <w14:schemeClr w14:val="tx1"/>
            </w14:solidFill>
          </w14:textFill>
        </w:rPr>
        <w:t>物业管理服务范围为文体中心招标范围内的环境卫生管理及垃圾分类清运；四联三防、公共治安、消防安全、消控室管理；房屋建筑、建筑设施、供电设备（含高配房、配电间）、给排水设备、电梯设备、机房、空调设备、直饮水设备、消防设备、弱电系统、照明设备、网络系统及办公室电脑运维、音响设备、电子显示屏等所有设备和所有体育器材（以最终移交为准）的日常维护、维修和管理服务；各类接待服务及不限时间的应急接待服务；比赛、演出、会议等活动保障服务工作等。</w:t>
      </w:r>
    </w:p>
    <w:p>
      <w:pPr>
        <w:pStyle w:val="721"/>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lang w:val="en-US" w:eastAsia="zh-CN"/>
          <w14:textFill>
            <w14:solidFill>
              <w14:schemeClr w14:val="tx1"/>
            </w14:solidFill>
          </w14:textFill>
        </w:rPr>
        <w:t>中标服务商必须优先为采购方指令性活动（赛事）或大型公益活动提供免费的场地及设施设备服务，并根据相关要求协助提供申办各项活动（赛事）所需的各项设施和保障资料、做好参观接待工作。若每年度采购方免费使用场地及设施设备天数超过10天，超出天数相关费用或考核内容调整由双方另行协商确定。</w:t>
      </w:r>
    </w:p>
    <w:p>
      <w:pPr>
        <w:pStyle w:val="721"/>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lang w:val="en-US" w:eastAsia="zh-CN"/>
          <w14:textFill>
            <w14:solidFill>
              <w14:schemeClr w14:val="tx1"/>
            </w14:solidFill>
          </w14:textFill>
        </w:rPr>
        <w:t>涉及冠名、广告等无形资产开发的，应当符合工商、市容、广告、安全等相关法律法规、规范性文件的规定，禁止发布和变相发布国家工商和广告法律法规中明确禁止的广告内容。开发方案须报采购人书面同意后方可实施。</w:t>
      </w:r>
    </w:p>
    <w:p>
      <w:pPr>
        <w:pStyle w:val="721"/>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CN"/>
          <w14:textFill>
            <w14:solidFill>
              <w14:schemeClr w14:val="tx1"/>
            </w14:solidFill>
          </w14:textFill>
        </w:rPr>
        <w:t>中标服务商与第三方合作事项应事先向采购人报备。中标服务商与第三方签订合同时，其合同期限不得超过本项目委托运营合同所限定的时间，费用不得预收超过一年，且第三方经营范围须符合国家、省、市、区关于公共文化体育娱乐等经营场所使用的现行规定。若中标服务商与采购人提前解除合同或终止本合同，由采购人收回本项目运营管理权，中标服务商与第三方的合作关系因此终止，中标服务商向第三方承担相应的法律责任，并确保第三方能够及时撤出文体中心。采购人有权根据实际情况主动向第三方寻求合作。</w:t>
      </w:r>
    </w:p>
    <w:p>
      <w:pPr>
        <w:pStyle w:val="721"/>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lang w:val="en-US" w:eastAsia="zh-CN"/>
          <w14:textFill>
            <w14:solidFill>
              <w14:schemeClr w14:val="tx1"/>
            </w14:solidFill>
          </w14:textFill>
        </w:rPr>
        <w:t>中标服务商应当确保文体中心所属房产经营内容符合场馆运营规划，不得存在社会负面影响、易损害文体中心社会形象的经营业态，须符合国家和当地的相关规定。应当依据国家和国际单项文体协会的有关标准和规范，对文体中心实施标准化服务管理，保证文体场馆及设施设备的完好和功能的有效运行。坚持社会效益和经济效益并重的原则，实行品牌化运营战略，实现文体中心的可持续发展。</w:t>
      </w:r>
    </w:p>
    <w:p>
      <w:pPr>
        <w:pStyle w:val="721"/>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outlineLvl w:val="1"/>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5、产权归属与法律问题</w:t>
      </w:r>
    </w:p>
    <w:p>
      <w:pPr>
        <w:pStyle w:val="721"/>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5.1运营管理期满后，或提前解除、终止合同时，中标服务商因经营需要对文体中心场馆及附属设施、设备进行改造和新建的，及在运营管理期间购置的、属固定资产范畴的（除可以确定产权归属的部分外），全部无偿归采购人所有。</w:t>
      </w:r>
    </w:p>
    <w:p>
      <w:pPr>
        <w:pStyle w:val="721"/>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5.2中标服务商使用文体中心的知识产权等无形资产，必须按照相关规定，经采购人或其他标志权利人充分许可。中标服务商开发文体中心的无形资产所形成新的无形资产归采购人所有。</w:t>
      </w:r>
    </w:p>
    <w:p>
      <w:pPr>
        <w:pStyle w:val="721"/>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5.3中标服务商必须严格按照文体中心运营管理制度，坚持社会效益、经济效益并重原则，运营管理设施设备并接受采购人的监督。中标服务商不得从事有损政府形象及采购人形象的活动。</w:t>
      </w:r>
    </w:p>
    <w:p>
      <w:pPr>
        <w:pStyle w:val="721"/>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5.4采购人提供的相关资料包括但不限于文体中心建设工程图纸、委托运营授权书等，中标服务商未经采购人许可，不得作为其他用途。</w:t>
      </w:r>
    </w:p>
    <w:p>
      <w:pPr>
        <w:pStyle w:val="721"/>
        <w:keepNext w:val="0"/>
        <w:keepLines w:val="0"/>
        <w:pageBreakBefore w:val="0"/>
        <w:widowControl w:val="0"/>
        <w:numPr>
          <w:ilvl w:val="0"/>
          <w:numId w:val="0"/>
        </w:numPr>
        <w:kinsoku/>
        <w:wordWrap w:val="0"/>
        <w:overflowPunct/>
        <w:topLinePunct w:val="0"/>
        <w:autoSpaceDE/>
        <w:autoSpaceDN/>
        <w:bidi w:val="0"/>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5.5</w:t>
      </w:r>
      <w:r>
        <w:rPr>
          <w:rFonts w:hint="eastAsia" w:ascii="宋体" w:hAnsi="宋体" w:eastAsia="宋体" w:cs="宋体"/>
          <w:i w:val="0"/>
          <w:iCs w:val="0"/>
          <w:caps w:val="0"/>
          <w:color w:val="000000" w:themeColor="text1"/>
          <w:spacing w:val="0"/>
          <w:sz w:val="24"/>
          <w:szCs w:val="24"/>
          <w:highlight w:val="none"/>
          <w:shd w:val="clear"/>
          <w14:textFill>
            <w14:solidFill>
              <w14:schemeClr w14:val="tx1"/>
            </w14:solidFill>
          </w14:textFill>
        </w:rPr>
        <w:t>采购</w:t>
      </w:r>
      <w:r>
        <w:rPr>
          <w:rFonts w:hint="eastAsia" w:ascii="宋体" w:hAnsi="宋体" w:eastAsia="宋体" w:cs="宋体"/>
          <w:i w:val="0"/>
          <w:iCs w:val="0"/>
          <w:caps w:val="0"/>
          <w:color w:val="000000" w:themeColor="text1"/>
          <w:spacing w:val="0"/>
          <w:sz w:val="24"/>
          <w:szCs w:val="24"/>
          <w:highlight w:val="none"/>
          <w:shd w:val="clear"/>
          <w:lang w:eastAsia="zh-CN"/>
          <w14:textFill>
            <w14:solidFill>
              <w14:schemeClr w14:val="tx1"/>
            </w14:solidFill>
          </w14:textFill>
        </w:rPr>
        <w:t>服务商</w:t>
      </w:r>
      <w:r>
        <w:rPr>
          <w:rFonts w:hint="eastAsia" w:ascii="宋体" w:hAnsi="宋体" w:eastAsia="宋体" w:cs="宋体"/>
          <w:i w:val="0"/>
          <w:iCs w:val="0"/>
          <w:caps w:val="0"/>
          <w:color w:val="000000" w:themeColor="text1"/>
          <w:spacing w:val="0"/>
          <w:sz w:val="24"/>
          <w:szCs w:val="24"/>
          <w:highlight w:val="none"/>
          <w:shd w:val="clear"/>
          <w14:textFill>
            <w14:solidFill>
              <w14:schemeClr w14:val="tx1"/>
            </w14:solidFill>
          </w14:textFill>
        </w:rPr>
        <w:t>及其联营商必须遵守法律法规，合法合规地开展业务活动，不得从事任何违法行为。如运营商及其联营商存在违法行为，</w:t>
      </w:r>
      <w:r>
        <w:rPr>
          <w:rFonts w:hint="eastAsia" w:ascii="宋体" w:hAnsi="宋体" w:eastAsia="宋体" w:cs="宋体"/>
          <w:i w:val="0"/>
          <w:iCs w:val="0"/>
          <w:caps w:val="0"/>
          <w:color w:val="000000" w:themeColor="text1"/>
          <w:spacing w:val="0"/>
          <w:sz w:val="24"/>
          <w:szCs w:val="24"/>
          <w:highlight w:val="none"/>
          <w:shd w:val="clear"/>
          <w:lang w:val="en-US" w:eastAsia="zh-CN"/>
          <w14:textFill>
            <w14:solidFill>
              <w14:schemeClr w14:val="tx1"/>
            </w14:solidFill>
          </w14:textFill>
        </w:rPr>
        <w:t>采购方不承担任何责任，</w:t>
      </w:r>
      <w:r>
        <w:rPr>
          <w:rFonts w:hint="eastAsia" w:ascii="宋体" w:hAnsi="宋体" w:eastAsia="宋体" w:cs="宋体"/>
          <w:i w:val="0"/>
          <w:iCs w:val="0"/>
          <w:caps w:val="0"/>
          <w:color w:val="000000" w:themeColor="text1"/>
          <w:spacing w:val="0"/>
          <w:sz w:val="24"/>
          <w:szCs w:val="24"/>
          <w:highlight w:val="none"/>
          <w:shd w:val="clear"/>
          <w14:textFill>
            <w14:solidFill>
              <w14:schemeClr w14:val="tx1"/>
            </w14:solidFill>
          </w14:textFill>
        </w:rPr>
        <w:t>给采购方造成影响或损失的，采购方</w:t>
      </w:r>
      <w:r>
        <w:rPr>
          <w:rFonts w:hint="eastAsia" w:ascii="宋体" w:hAnsi="宋体" w:eastAsia="宋体" w:cs="宋体"/>
          <w:i w:val="0"/>
          <w:iCs w:val="0"/>
          <w:caps w:val="0"/>
          <w:color w:val="000000" w:themeColor="text1"/>
          <w:spacing w:val="0"/>
          <w:sz w:val="24"/>
          <w:szCs w:val="24"/>
          <w:highlight w:val="none"/>
          <w:shd w:val="clear"/>
          <w:lang w:val="en-US" w:eastAsia="zh-CN"/>
          <w14:textFill>
            <w14:solidFill>
              <w14:schemeClr w14:val="tx1"/>
            </w14:solidFill>
          </w14:textFill>
        </w:rPr>
        <w:t>有权为</w:t>
      </w:r>
      <w:r>
        <w:rPr>
          <w:rFonts w:hint="eastAsia" w:ascii="宋体" w:hAnsi="宋体" w:eastAsia="宋体" w:cs="宋体"/>
          <w:i w:val="0"/>
          <w:iCs w:val="0"/>
          <w:caps w:val="0"/>
          <w:color w:val="000000" w:themeColor="text1"/>
          <w:spacing w:val="0"/>
          <w:sz w:val="24"/>
          <w:szCs w:val="24"/>
          <w:highlight w:val="none"/>
          <w:shd w:val="clear"/>
          <w14:textFill>
            <w14:solidFill>
              <w14:schemeClr w14:val="tx1"/>
            </w14:solidFill>
          </w14:textFill>
        </w:rPr>
        <w:t>维护自身权益采取相应法律措施，追究其法律责任并要求其赔偿损失。</w:t>
      </w:r>
    </w:p>
    <w:p>
      <w:pPr>
        <w:pStyle w:val="61"/>
        <w:keepNext w:val="0"/>
        <w:keepLines w:val="0"/>
        <w:pageBreakBefore w:val="0"/>
        <w:numPr>
          <w:ilvl w:val="0"/>
          <w:numId w:val="0"/>
        </w:numPr>
        <w:kinsoku/>
        <w:overflowPunct/>
        <w:topLinePunct w:val="0"/>
        <w:bidi w:val="0"/>
        <w:spacing w:before="0" w:beforeLines="0" w:after="0" w:afterLines="0" w:line="500" w:lineRule="exact"/>
        <w:ind w:left="560" w:leftChars="0"/>
        <w:jc w:val="left"/>
        <w:textAlignment w:val="auto"/>
        <w:outlineLvl w:val="0"/>
        <w:rPr>
          <w:rFonts w:hint="eastAsia" w:ascii="宋体" w:hAnsi="宋体" w:eastAsia="宋体" w:cs="宋体"/>
          <w:b/>
          <w:bCs w:val="0"/>
          <w:color w:val="000000" w:themeColor="text1"/>
          <w:sz w:val="24"/>
          <w:szCs w:val="24"/>
          <w:highlight w:val="none"/>
          <w:lang w:val="en-US" w:eastAsia="zh-CN"/>
          <w14:textFill>
            <w14:solidFill>
              <w14:schemeClr w14:val="tx1"/>
            </w14:solidFill>
          </w14:textFill>
        </w:rPr>
      </w:pPr>
      <w:r>
        <w:rPr>
          <w:rFonts w:hint="eastAsia" w:cs="宋体"/>
          <w:b/>
          <w:bCs w:val="0"/>
          <w:color w:val="000000" w:themeColor="text1"/>
          <w:sz w:val="24"/>
          <w:szCs w:val="24"/>
          <w:highlight w:val="none"/>
          <w:lang w:val="en-US" w:eastAsia="zh-CN"/>
          <w14:textFill>
            <w14:solidFill>
              <w14:schemeClr w14:val="tx1"/>
            </w14:solidFill>
          </w14:textFill>
        </w:rPr>
        <w:t>七、</w:t>
      </w:r>
      <w:r>
        <w:rPr>
          <w:rFonts w:hint="eastAsia" w:ascii="宋体" w:hAnsi="宋体" w:eastAsia="宋体" w:cs="宋体"/>
          <w:b/>
          <w:bCs w:val="0"/>
          <w:color w:val="000000" w:themeColor="text1"/>
          <w:sz w:val="24"/>
          <w:szCs w:val="24"/>
          <w:highlight w:val="none"/>
          <w:lang w:val="en-US" w:eastAsia="zh-CN"/>
          <w14:textFill>
            <w14:solidFill>
              <w14:schemeClr w14:val="tx1"/>
            </w14:solidFill>
          </w14:textFill>
        </w:rPr>
        <w:t>商务条款</w:t>
      </w:r>
    </w:p>
    <w:p>
      <w:pPr>
        <w:pStyle w:val="721"/>
        <w:keepNext w:val="0"/>
        <w:keepLines w:val="0"/>
        <w:pageBreakBefore w:val="0"/>
        <w:widowControl w:val="0"/>
        <w:numPr>
          <w:ilvl w:val="0"/>
          <w:numId w:val="0"/>
        </w:numPr>
        <w:tabs>
          <w:tab w:val="clear" w:pos="1212"/>
          <w:tab w:val="clear" w:pos="3888"/>
        </w:tabs>
        <w:kinsoku/>
        <w:wordWrap w:val="0"/>
        <w:overflowPunct/>
        <w:topLinePunct w:val="0"/>
        <w:autoSpaceDE/>
        <w:autoSpaceDN/>
        <w:bidi w:val="0"/>
        <w:snapToGrid/>
        <w:spacing w:before="0" w:beforeLines="0" w:after="0" w:afterLines="0" w:line="50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1、投标报价：本项目</w:t>
      </w:r>
      <w:r>
        <w:rPr>
          <w:rFonts w:hint="eastAsia" w:ascii="宋体" w:hAnsi="宋体" w:eastAsia="宋体" w:cs="宋体"/>
          <w:color w:val="000000" w:themeColor="text1"/>
          <w:sz w:val="24"/>
          <w:szCs w:val="24"/>
          <w:highlight w:val="none"/>
          <w:lang w:val="en-US" w:eastAsia="zh-CN"/>
          <w14:textFill>
            <w14:solidFill>
              <w14:schemeClr w14:val="tx1"/>
            </w14:solidFill>
          </w14:textFill>
        </w:rPr>
        <w:t>中标服务商独立负责文体中心招标范围及内容的运营。投标人根据采购需求进行成本、经营收入测算，并自行综合考虑利润、市场风险等因素对基础营收服务费和超额奖励服务费</w:t>
      </w:r>
      <w:r>
        <w:rPr>
          <w:rFonts w:hint="eastAsia" w:cs="宋体"/>
          <w:color w:val="000000" w:themeColor="text1"/>
          <w:sz w:val="24"/>
          <w:szCs w:val="24"/>
          <w:highlight w:val="none"/>
          <w:lang w:val="en-US" w:eastAsia="zh-CN"/>
          <w14:textFill>
            <w14:solidFill>
              <w14:schemeClr w14:val="tx1"/>
            </w14:solidFill>
          </w14:textFill>
        </w:rPr>
        <w:t>率</w:t>
      </w:r>
      <w:r>
        <w:rPr>
          <w:rFonts w:hint="eastAsia" w:ascii="宋体" w:hAnsi="宋体" w:eastAsia="宋体" w:cs="宋体"/>
          <w:color w:val="000000" w:themeColor="text1"/>
          <w:sz w:val="24"/>
          <w:szCs w:val="24"/>
          <w:highlight w:val="none"/>
          <w:lang w:val="en-US" w:eastAsia="zh-CN"/>
          <w14:textFill>
            <w14:solidFill>
              <w14:schemeClr w14:val="tx1"/>
            </w14:solidFill>
          </w14:textFill>
        </w:rPr>
        <w:t>进行投标报价（均为含税价），</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准备期</w:t>
      </w:r>
      <w:r>
        <w:rPr>
          <w:rFonts w:hint="eastAsia" w:ascii="宋体" w:hAnsi="宋体" w:eastAsia="宋体" w:cs="宋体"/>
          <w:color w:val="000000" w:themeColor="text1"/>
          <w:sz w:val="24"/>
          <w:szCs w:val="24"/>
          <w:highlight w:val="none"/>
          <w:lang w:val="en-US" w:eastAsia="zh-CN"/>
          <w14:textFill>
            <w14:solidFill>
              <w14:schemeClr w14:val="tx1"/>
            </w14:solidFill>
          </w14:textFill>
        </w:rPr>
        <w:t>所需费用全部自行考虑分摊计入报价。</w:t>
      </w:r>
    </w:p>
    <w:p>
      <w:pPr>
        <w:pStyle w:val="721"/>
        <w:keepNext w:val="0"/>
        <w:keepLines w:val="0"/>
        <w:pageBreakBefore w:val="0"/>
        <w:widowControl w:val="0"/>
        <w:numPr>
          <w:ilvl w:val="0"/>
          <w:numId w:val="0"/>
        </w:numPr>
        <w:tabs>
          <w:tab w:val="clear" w:pos="1212"/>
          <w:tab w:val="clear" w:pos="3888"/>
        </w:tabs>
        <w:kinsoku/>
        <w:wordWrap w:val="0"/>
        <w:overflowPunct/>
        <w:topLinePunct w:val="0"/>
        <w:autoSpaceDE/>
        <w:autoSpaceDN/>
        <w:bidi w:val="0"/>
        <w:snapToGrid/>
        <w:spacing w:before="0" w:beforeLines="0" w:after="0" w:afterLines="0" w:line="500" w:lineRule="exact"/>
        <w:ind w:firstLine="480" w:firstLineChars="200"/>
        <w:jc w:val="both"/>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2、本项目投标报价应当包含完成合同所需的一切可预见及不可预见的费用，包括但不限于项目的运营支出（人工费、水、电燃气、暖气等能耗费用、媒体宣传推广费用、设施设备及其维护费用、培训费用、内部物业费用、风险责任相关支出、处理应急任务费用、处理意外事故费用、政策性文件规定所需费用及税金费用等）。</w:t>
      </w:r>
    </w:p>
    <w:p>
      <w:pPr>
        <w:pStyle w:val="721"/>
        <w:keepNext w:val="0"/>
        <w:keepLines w:val="0"/>
        <w:pageBreakBefore w:val="0"/>
        <w:widowControl w:val="0"/>
        <w:numPr>
          <w:ilvl w:val="0"/>
          <w:numId w:val="0"/>
        </w:numPr>
        <w:tabs>
          <w:tab w:val="clear" w:pos="1212"/>
          <w:tab w:val="clear" w:pos="3888"/>
        </w:tabs>
        <w:kinsoku/>
        <w:wordWrap w:val="0"/>
        <w:overflowPunct/>
        <w:topLinePunct w:val="0"/>
        <w:autoSpaceDE/>
        <w:autoSpaceDN/>
        <w:bidi w:val="0"/>
        <w:snapToGrid/>
        <w:spacing w:before="0" w:beforeLines="0" w:after="0" w:afterLines="0" w:line="500" w:lineRule="exact"/>
        <w:ind w:firstLine="480" w:firstLineChars="200"/>
        <w:jc w:val="both"/>
        <w:textAlignment w:val="auto"/>
        <w:rPr>
          <w:rFonts w:hint="eastAsia"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3、履约保证金：中标服务商</w:t>
      </w:r>
      <w:r>
        <w:rPr>
          <w:rFonts w:hint="eastAsia" w:ascii="宋体" w:hAnsi="宋体" w:eastAsia="宋体" w:cs="宋体"/>
          <w:color w:val="000000" w:themeColor="text1"/>
          <w:sz w:val="24"/>
          <w:szCs w:val="24"/>
          <w:highlight w:val="none"/>
          <w14:textFill>
            <w14:solidFill>
              <w14:schemeClr w14:val="tx1"/>
            </w14:solidFill>
          </w14:textFill>
        </w:rPr>
        <w:t>应于合同签订后</w:t>
      </w:r>
      <w:r>
        <w:rPr>
          <w:rFonts w:hint="eastAsia"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个工作日内，以支票、汇票、本票或者金融机构、担保机构出具的保函等非现金形式，提交</w:t>
      </w:r>
      <w:r>
        <w:rPr>
          <w:rFonts w:hint="eastAsia" w:ascii="宋体" w:hAnsi="宋体" w:eastAsia="宋体" w:cs="宋体"/>
          <w:color w:val="000000" w:themeColor="text1"/>
          <w:sz w:val="24"/>
          <w:szCs w:val="24"/>
          <w:highlight w:val="none"/>
          <w:lang w:val="en-US" w:eastAsia="zh-CN"/>
          <w14:textFill>
            <w14:solidFill>
              <w14:schemeClr w14:val="tx1"/>
            </w14:solidFill>
          </w14:textFill>
        </w:rPr>
        <w:t>100万</w:t>
      </w:r>
      <w:r>
        <w:rPr>
          <w:rFonts w:hint="eastAsia" w:ascii="宋体" w:hAnsi="宋体" w:eastAsia="宋体" w:cs="宋体"/>
          <w:color w:val="000000" w:themeColor="text1"/>
          <w:sz w:val="24"/>
          <w:szCs w:val="24"/>
          <w:highlight w:val="none"/>
          <w14:textFill>
            <w14:solidFill>
              <w14:schemeClr w14:val="tx1"/>
            </w14:solidFill>
          </w14:textFill>
        </w:rPr>
        <w:t>的履约保证金；鼓励和支持乙方以银行、保险公司出具的保函形式</w:t>
      </w:r>
      <w:r>
        <w:rPr>
          <w:rFonts w:hint="eastAsia" w:ascii="宋体" w:hAnsi="宋体" w:eastAsia="宋体" w:cs="宋体"/>
          <w:i w:val="0"/>
          <w:iCs w:val="0"/>
          <w:caps w:val="0"/>
          <w:color w:val="000000" w:themeColor="text1"/>
          <w:spacing w:val="0"/>
          <w:sz w:val="24"/>
          <w:szCs w:val="24"/>
          <w:highlight w:val="none"/>
          <w:shd w:val="clear"/>
          <w14:textFill>
            <w14:solidFill>
              <w14:schemeClr w14:val="tx1"/>
            </w14:solidFill>
          </w14:textFill>
        </w:rPr>
        <w:t>（载明见索即付</w:t>
      </w:r>
      <w:r>
        <w:rPr>
          <w:rFonts w:hint="eastAsia" w:ascii="宋体" w:hAnsi="宋体" w:eastAsia="宋体" w:cs="宋体"/>
          <w:color w:val="000000" w:themeColor="text1"/>
          <w:sz w:val="24"/>
          <w:szCs w:val="24"/>
          <w:highlight w:val="none"/>
          <w14:textFill>
            <w14:solidFill>
              <w14:schemeClr w14:val="tx1"/>
            </w14:solidFill>
          </w14:textFill>
        </w:rPr>
        <w:t>）提供履约保证。如</w:t>
      </w:r>
      <w:r>
        <w:rPr>
          <w:rFonts w:hint="eastAsia" w:ascii="宋体" w:hAnsi="宋体" w:eastAsia="宋体" w:cs="宋体"/>
          <w:color w:val="000000" w:themeColor="text1"/>
          <w:sz w:val="24"/>
          <w:szCs w:val="24"/>
          <w:highlight w:val="none"/>
          <w:lang w:val="en-US" w:eastAsia="zh-CN"/>
          <w14:textFill>
            <w14:solidFill>
              <w14:schemeClr w14:val="tx1"/>
            </w14:solidFill>
          </w14:textFill>
        </w:rPr>
        <w:t>中标服务商</w:t>
      </w:r>
      <w:r>
        <w:rPr>
          <w:rFonts w:hint="eastAsia" w:ascii="宋体" w:hAnsi="宋体" w:eastAsia="宋体" w:cs="宋体"/>
          <w:color w:val="000000" w:themeColor="text1"/>
          <w:sz w:val="24"/>
          <w:szCs w:val="24"/>
          <w:highlight w:val="none"/>
          <w14:textFill>
            <w14:solidFill>
              <w14:schemeClr w14:val="tx1"/>
            </w14:solidFill>
          </w14:textFill>
        </w:rPr>
        <w:t>合同期间无违约情况发生，该履约保证金在服务期满后退还</w:t>
      </w:r>
      <w:r>
        <w:rPr>
          <w:rFonts w:hint="eastAsia" w:ascii="宋体" w:hAnsi="宋体" w:eastAsia="宋体" w:cs="宋体"/>
          <w:color w:val="000000" w:themeColor="text1"/>
          <w:sz w:val="24"/>
          <w:szCs w:val="24"/>
          <w:highlight w:val="none"/>
          <w:lang w:val="en-US" w:eastAsia="zh-CN"/>
          <w14:textFill>
            <w14:solidFill>
              <w14:schemeClr w14:val="tx1"/>
            </w14:solidFill>
          </w14:textFill>
        </w:rPr>
        <w:t>中标服务商</w:t>
      </w:r>
      <w:r>
        <w:rPr>
          <w:rFonts w:hint="eastAsia" w:ascii="宋体" w:hAnsi="宋体" w:eastAsia="宋体" w:cs="宋体"/>
          <w:color w:val="000000" w:themeColor="text1"/>
          <w:sz w:val="24"/>
          <w:szCs w:val="24"/>
          <w:highlight w:val="none"/>
          <w14:textFill>
            <w14:solidFill>
              <w14:schemeClr w14:val="tx1"/>
            </w14:solidFill>
          </w14:textFill>
        </w:rPr>
        <w:t>（不计息）；如</w:t>
      </w:r>
      <w:r>
        <w:rPr>
          <w:rFonts w:hint="eastAsia" w:ascii="宋体" w:hAnsi="宋体" w:eastAsia="宋体" w:cs="宋体"/>
          <w:color w:val="000000" w:themeColor="text1"/>
          <w:sz w:val="24"/>
          <w:szCs w:val="24"/>
          <w:highlight w:val="none"/>
          <w:lang w:val="en-US" w:eastAsia="zh-CN"/>
          <w14:textFill>
            <w14:solidFill>
              <w14:schemeClr w14:val="tx1"/>
            </w14:solidFill>
          </w14:textFill>
        </w:rPr>
        <w:t>中标服务商</w:t>
      </w:r>
      <w:r>
        <w:rPr>
          <w:rFonts w:hint="eastAsia" w:ascii="宋体" w:hAnsi="宋体" w:eastAsia="宋体" w:cs="宋体"/>
          <w:color w:val="000000" w:themeColor="text1"/>
          <w:sz w:val="24"/>
          <w:szCs w:val="24"/>
          <w:highlight w:val="none"/>
          <w14:textFill>
            <w14:solidFill>
              <w14:schemeClr w14:val="tx1"/>
            </w14:solidFill>
          </w14:textFill>
        </w:rPr>
        <w:t>发生违约行为，则</w:t>
      </w:r>
      <w:r>
        <w:rPr>
          <w:rFonts w:hint="eastAsia" w:ascii="宋体" w:hAnsi="宋体" w:eastAsia="宋体" w:cs="宋体"/>
          <w:color w:val="000000" w:themeColor="text1"/>
          <w:sz w:val="24"/>
          <w:szCs w:val="24"/>
          <w:highlight w:val="none"/>
          <w:lang w:val="en-US" w:eastAsia="zh-CN"/>
          <w14:textFill>
            <w14:solidFill>
              <w14:schemeClr w14:val="tx1"/>
            </w14:solidFill>
          </w14:textFill>
        </w:rPr>
        <w:t>采购方</w:t>
      </w:r>
      <w:r>
        <w:rPr>
          <w:rFonts w:hint="eastAsia" w:ascii="宋体" w:hAnsi="宋体" w:eastAsia="宋体" w:cs="宋体"/>
          <w:color w:val="000000" w:themeColor="text1"/>
          <w:sz w:val="24"/>
          <w:szCs w:val="24"/>
          <w:highlight w:val="none"/>
          <w14:textFill>
            <w14:solidFill>
              <w14:schemeClr w14:val="tx1"/>
            </w14:solidFill>
          </w14:textFill>
        </w:rPr>
        <w:t>有权直接从履约保证金中扣除违约金。因违约或其他原因导致履约保证金不足1</w:t>
      </w:r>
      <w:r>
        <w:rPr>
          <w:rFonts w:hint="eastAsia" w:ascii="宋体" w:hAnsi="宋体" w:eastAsia="宋体" w:cs="宋体"/>
          <w:color w:val="000000" w:themeColor="text1"/>
          <w:sz w:val="24"/>
          <w:szCs w:val="24"/>
          <w:highlight w:val="none"/>
          <w:lang w:val="en-US"/>
          <w14:textFill>
            <w14:solidFill>
              <w14:schemeClr w14:val="tx1"/>
            </w14:solidFill>
          </w14:textFill>
        </w:rPr>
        <w:t>0</w:t>
      </w:r>
      <w:r>
        <w:rPr>
          <w:rFonts w:hint="eastAsia" w:ascii="宋体" w:hAnsi="宋体" w:eastAsia="宋体" w:cs="宋体"/>
          <w:color w:val="000000" w:themeColor="text1"/>
          <w:sz w:val="24"/>
          <w:szCs w:val="24"/>
          <w:highlight w:val="none"/>
          <w14:textFill>
            <w14:solidFill>
              <w14:schemeClr w14:val="tx1"/>
            </w14:solidFill>
          </w14:textFill>
        </w:rPr>
        <w:t>0万时，</w:t>
      </w:r>
      <w:r>
        <w:rPr>
          <w:rFonts w:hint="eastAsia" w:ascii="宋体" w:hAnsi="宋体" w:eastAsia="宋体" w:cs="宋体"/>
          <w:color w:val="000000" w:themeColor="text1"/>
          <w:sz w:val="24"/>
          <w:szCs w:val="24"/>
          <w:highlight w:val="none"/>
          <w:lang w:val="en-US" w:eastAsia="zh-CN"/>
          <w14:textFill>
            <w14:solidFill>
              <w14:schemeClr w14:val="tx1"/>
            </w14:solidFill>
          </w14:textFill>
        </w:rPr>
        <w:t>中标服务商</w:t>
      </w:r>
      <w:r>
        <w:rPr>
          <w:rFonts w:hint="eastAsia" w:ascii="宋体" w:hAnsi="宋体" w:eastAsia="宋体" w:cs="宋体"/>
          <w:color w:val="000000" w:themeColor="text1"/>
          <w:sz w:val="24"/>
          <w:szCs w:val="24"/>
          <w:highlight w:val="none"/>
          <w14:textFill>
            <w14:solidFill>
              <w14:schemeClr w14:val="tx1"/>
            </w14:solidFill>
          </w14:textFill>
        </w:rPr>
        <w:t>须根据</w:t>
      </w:r>
      <w:r>
        <w:rPr>
          <w:rFonts w:hint="eastAsia" w:ascii="宋体" w:hAnsi="宋体" w:eastAsia="宋体" w:cs="宋体"/>
          <w:color w:val="000000" w:themeColor="text1"/>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sz w:val="24"/>
          <w:szCs w:val="24"/>
          <w:highlight w:val="none"/>
          <w14:textFill>
            <w14:solidFill>
              <w14:schemeClr w14:val="tx1"/>
            </w14:solidFill>
          </w14:textFill>
        </w:rPr>
        <w:t>方要求限时补齐履约保证金金额。合同期满或合同解除后，</w:t>
      </w:r>
      <w:r>
        <w:rPr>
          <w:rFonts w:hint="eastAsia" w:ascii="宋体" w:hAnsi="宋体" w:eastAsia="宋体" w:cs="宋体"/>
          <w:color w:val="000000" w:themeColor="text1"/>
          <w:sz w:val="24"/>
          <w:szCs w:val="24"/>
          <w:highlight w:val="none"/>
          <w:lang w:val="en-US" w:eastAsia="zh-CN"/>
          <w14:textFill>
            <w14:solidFill>
              <w14:schemeClr w14:val="tx1"/>
            </w14:solidFill>
          </w14:textFill>
        </w:rPr>
        <w:t>中标服务商</w:t>
      </w:r>
      <w:r>
        <w:rPr>
          <w:rFonts w:hint="eastAsia" w:ascii="宋体" w:hAnsi="宋体" w:eastAsia="宋体" w:cs="宋体"/>
          <w:color w:val="000000" w:themeColor="text1"/>
          <w:sz w:val="24"/>
          <w:szCs w:val="24"/>
          <w:highlight w:val="none"/>
          <w14:textFill>
            <w14:solidFill>
              <w14:schemeClr w14:val="tx1"/>
            </w14:solidFill>
          </w14:textFill>
        </w:rPr>
        <w:t>应及时结清合同期间应缴纳的各项费用（含违约金），否则此类款项将直接从履约保证金中扣除。</w:t>
      </w:r>
    </w:p>
    <w:p>
      <w:pPr>
        <w:rPr>
          <w:rFonts w:hint="eastAsia"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br w:type="page"/>
      </w:r>
    </w:p>
    <w:p>
      <w:pPr>
        <w:rPr>
          <w:rFonts w:hint="eastAsia"/>
          <w:color w:val="000000" w:themeColor="text1"/>
          <w:highlight w:val="none"/>
          <w:lang w:val="en-US" w:eastAsia="zh-CN"/>
          <w14:textFill>
            <w14:solidFill>
              <w14:schemeClr w14:val="tx1"/>
            </w14:solidFill>
          </w14:textFill>
        </w:rPr>
      </w:pPr>
    </w:p>
    <w:p>
      <w:pPr>
        <w:rPr>
          <w:rFonts w:hint="eastAsia"/>
          <w:b/>
          <w:bCs/>
          <w:color w:val="000000" w:themeColor="text1"/>
          <w:sz w:val="24"/>
          <w:szCs w:val="24"/>
          <w:highlight w:val="none"/>
          <w:lang w:val="en-US" w:eastAsia="zh-CN"/>
          <w14:textFill>
            <w14:solidFill>
              <w14:schemeClr w14:val="tx1"/>
            </w14:solidFill>
          </w14:textFill>
        </w:rPr>
      </w:pPr>
      <w:r>
        <w:rPr>
          <w:rFonts w:hint="eastAsia"/>
          <w:b/>
          <w:bCs/>
          <w:color w:val="000000" w:themeColor="text1"/>
          <w:sz w:val="24"/>
          <w:szCs w:val="24"/>
          <w:highlight w:val="none"/>
          <w:lang w:val="en-US" w:eastAsia="zh-CN"/>
          <w14:textFill>
            <w14:solidFill>
              <w14:schemeClr w14:val="tx1"/>
            </w14:solidFill>
          </w14:textFill>
        </w:rPr>
        <w:t>附件1：考核评分标准</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784"/>
        <w:gridCol w:w="6093"/>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trPr>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考核项目</w:t>
            </w:r>
          </w:p>
        </w:tc>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b/>
                <w:bCs/>
                <w:color w:val="000000" w:themeColor="text1"/>
                <w:kern w:val="0"/>
                <w:sz w:val="24"/>
                <w:szCs w:val="24"/>
                <w:highlight w:val="none"/>
                <w:vertAlign w:val="baseline"/>
                <w:lang w:val="en-US" w:eastAsia="zh-CN"/>
                <w14:textFill>
                  <w14:solidFill>
                    <w14:schemeClr w14:val="tx1"/>
                  </w14:solidFill>
                </w14:textFill>
              </w:rPr>
              <w:t>分值</w:t>
            </w:r>
          </w:p>
        </w:tc>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b/>
                <w:bCs/>
                <w:color w:val="000000" w:themeColor="text1"/>
                <w:kern w:val="0"/>
                <w:sz w:val="24"/>
                <w:szCs w:val="24"/>
                <w:highlight w:val="none"/>
                <w:vertAlign w:val="baseline"/>
                <w:lang w:val="en-US" w:eastAsia="zh-CN"/>
                <w14:textFill>
                  <w14:solidFill>
                    <w14:schemeClr w14:val="tx1"/>
                  </w14:solidFill>
                </w14:textFill>
              </w:rPr>
              <w:t>考核细则</w:t>
            </w:r>
          </w:p>
        </w:tc>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b/>
                <w:bCs/>
                <w:color w:val="000000" w:themeColor="text1"/>
                <w:kern w:val="0"/>
                <w:sz w:val="24"/>
                <w:szCs w:val="24"/>
                <w:highlight w:val="none"/>
                <w:vertAlign w:val="baseline"/>
                <w:lang w:val="en-US" w:eastAsia="zh-CN"/>
                <w14:textFill>
                  <w14:solidFill>
                    <w14:schemeClr w14:val="tx1"/>
                  </w14:solidFill>
                </w14:textFill>
              </w:rPr>
              <w:t>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blHeader/>
        </w:trPr>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投诉处理</w:t>
            </w:r>
          </w:p>
        </w:tc>
        <w:tc>
          <w:tcPr>
            <w:tcW w:w="0" w:type="auto"/>
            <w:vAlign w:val="center"/>
          </w:tcPr>
          <w:p>
            <w:pPr>
              <w:pStyle w:val="966"/>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10分</w:t>
            </w:r>
          </w:p>
        </w:tc>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各渠道接收到各类与文体板块运营相关的有理投诉或举报，且运营服务商没有及时回复处理或投诉者对投诉答复处理情况仍不满意的，一次扣1分（针对同一事件的重复投诉视为一次投诉）。</w:t>
            </w:r>
          </w:p>
        </w:tc>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投诉记录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trPr>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文体项目</w:t>
            </w:r>
          </w:p>
        </w:tc>
        <w:tc>
          <w:tcPr>
            <w:tcW w:w="0" w:type="auto"/>
            <w:vAlign w:val="center"/>
          </w:tcPr>
          <w:p>
            <w:pPr>
              <w:pStyle w:val="966"/>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10分</w:t>
            </w:r>
          </w:p>
        </w:tc>
        <w:tc>
          <w:tcPr>
            <w:tcW w:w="0" w:type="auto"/>
            <w:vAlign w:val="center"/>
          </w:tcPr>
          <w:p>
            <w:pPr>
              <w:pStyle w:val="966"/>
              <w:keepNext w:val="0"/>
              <w:keepLines w:val="0"/>
              <w:pageBreakBefore w:val="0"/>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日常</w:t>
            </w:r>
            <w:r>
              <w:rPr>
                <w:rFonts w:hint="eastAsia" w:ascii="宋体" w:hAnsi="宋体" w:eastAsia="宋体" w:cs="宋体"/>
                <w:color w:val="000000" w:themeColor="text1"/>
                <w:kern w:val="0"/>
                <w:sz w:val="24"/>
                <w:szCs w:val="24"/>
                <w:highlight w:val="none"/>
                <w14:textFill>
                  <w14:solidFill>
                    <w14:schemeClr w14:val="tx1"/>
                  </w14:solidFill>
                </w14:textFill>
              </w:rPr>
              <w:t>文体项目（体育类、文艺类、训练类）</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不得</w:t>
            </w:r>
            <w:r>
              <w:rPr>
                <w:rFonts w:hint="eastAsia" w:ascii="宋体" w:hAnsi="宋体" w:eastAsia="宋体" w:cs="宋体"/>
                <w:color w:val="000000" w:themeColor="text1"/>
                <w:kern w:val="0"/>
                <w:sz w:val="24"/>
                <w:szCs w:val="24"/>
                <w:highlight w:val="none"/>
                <w14:textFill>
                  <w14:solidFill>
                    <w14:schemeClr w14:val="tx1"/>
                  </w14:solidFill>
                </w14:textFill>
              </w:rPr>
              <w:t>少于20个（游泳、游泳培训为一项，合称游泳项目），每少一个项目，扣1分</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p>
        </w:tc>
        <w:tc>
          <w:tcPr>
            <w:tcW w:w="0" w:type="auto"/>
            <w:vAlign w:val="center"/>
          </w:tcPr>
          <w:p>
            <w:pPr>
              <w:pStyle w:val="966"/>
              <w:keepNext w:val="0"/>
              <w:keepLines w:val="0"/>
              <w:pageBreakBefore w:val="0"/>
              <w:numPr>
                <w:ilvl w:val="-1"/>
                <w:numId w:val="0"/>
              </w:numPr>
              <w:kinsoku/>
              <w:wordWrap/>
              <w:overflowPunct/>
              <w:topLinePunct w:val="0"/>
              <w:autoSpaceDE/>
              <w:autoSpaceDN/>
              <w:bidi w:val="0"/>
              <w:adjustRightInd/>
              <w:snapToGrid w:val="0"/>
              <w:spacing w:line="240" w:lineRule="auto"/>
              <w:ind w:left="0" w:firstLine="0" w:firstLineChars="0"/>
              <w:jc w:val="both"/>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体育场地、体育设施器材照片课程安排表、公告等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trPr>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运营团队骨干</w:t>
            </w:r>
          </w:p>
        </w:tc>
        <w:tc>
          <w:tcPr>
            <w:tcW w:w="0" w:type="auto"/>
            <w:vAlign w:val="center"/>
          </w:tcPr>
          <w:p>
            <w:pPr>
              <w:pStyle w:val="966"/>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14:textFill>
                  <w14:solidFill>
                    <w14:schemeClr w14:val="tx1"/>
                  </w14:solidFill>
                </w14:textFill>
              </w:rPr>
              <w:t>3</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分</w:t>
            </w:r>
          </w:p>
        </w:tc>
        <w:tc>
          <w:tcPr>
            <w:tcW w:w="0" w:type="auto"/>
            <w:vAlign w:val="center"/>
          </w:tcPr>
          <w:p>
            <w:pPr>
              <w:pStyle w:val="966"/>
              <w:keepNext w:val="0"/>
              <w:keepLines w:val="0"/>
              <w:pageBreakBefore w:val="0"/>
              <w:numPr>
                <w:ilvl w:val="-1"/>
                <w:numId w:val="0"/>
              </w:numPr>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核心运营管理人员未在中标服务商或联合体公司任职一年及以上、连续缴纳社保六个月及以上，每少1个人扣1分。</w:t>
            </w:r>
          </w:p>
        </w:tc>
        <w:tc>
          <w:tcPr>
            <w:tcW w:w="0" w:type="auto"/>
            <w:vAlign w:val="center"/>
          </w:tcPr>
          <w:p>
            <w:pPr>
              <w:pStyle w:val="966"/>
              <w:keepNext w:val="0"/>
              <w:keepLines w:val="0"/>
              <w:pageBreakBefore w:val="0"/>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任命证明、劳动合同、社保证明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trPr>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赛事活动</w:t>
            </w:r>
          </w:p>
        </w:tc>
        <w:tc>
          <w:tcPr>
            <w:tcW w:w="0" w:type="auto"/>
            <w:vAlign w:val="center"/>
          </w:tcPr>
          <w:p>
            <w:pPr>
              <w:pStyle w:val="966"/>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14:textFill>
                  <w14:solidFill>
                    <w14:schemeClr w14:val="tx1"/>
                  </w14:solidFill>
                </w14:textFill>
              </w:rPr>
              <w:t>15</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分</w:t>
            </w:r>
          </w:p>
        </w:tc>
        <w:tc>
          <w:tcPr>
            <w:tcW w:w="0" w:type="auto"/>
            <w:vAlign w:val="center"/>
          </w:tcPr>
          <w:p>
            <w:pPr>
              <w:pStyle w:val="966"/>
              <w:keepNext w:val="0"/>
              <w:keepLines w:val="0"/>
              <w:pageBreakBefore w:val="0"/>
              <w:numPr>
                <w:ilvl w:val="-1"/>
                <w:numId w:val="0"/>
              </w:numPr>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全年</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主办或承办专业赛事活动，</w:t>
            </w:r>
            <w:r>
              <w:rPr>
                <w:rFonts w:hint="eastAsia" w:ascii="宋体" w:hAnsi="宋体" w:eastAsia="宋体" w:cs="宋体"/>
                <w:color w:val="000000" w:themeColor="text1"/>
                <w:kern w:val="0"/>
                <w:sz w:val="24"/>
                <w:szCs w:val="24"/>
                <w:highlight w:val="none"/>
                <w14:textFill>
                  <w14:solidFill>
                    <w14:schemeClr w14:val="tx1"/>
                  </w14:solidFill>
                </w14:textFill>
              </w:rPr>
              <w:t>区级</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一次</w:t>
            </w:r>
            <w:r>
              <w:rPr>
                <w:rFonts w:hint="eastAsia" w:ascii="宋体" w:hAnsi="宋体" w:eastAsia="宋体" w:cs="宋体"/>
                <w:color w:val="000000" w:themeColor="text1"/>
                <w:kern w:val="0"/>
                <w:sz w:val="24"/>
                <w:szCs w:val="24"/>
                <w:highlight w:val="none"/>
                <w14:textFill>
                  <w14:solidFill>
                    <w14:schemeClr w14:val="tx1"/>
                  </w14:solidFill>
                </w14:textFill>
              </w:rPr>
              <w:t>得</w:t>
            </w:r>
            <w:r>
              <w:rPr>
                <w:rFonts w:hint="eastAsia" w:ascii="宋体" w:hAnsi="宋体" w:eastAsia="宋体" w:cs="宋体"/>
                <w:color w:val="000000" w:themeColor="text1"/>
                <w:kern w:val="0"/>
                <w:sz w:val="24"/>
                <w:szCs w:val="24"/>
                <w:highlight w:val="none"/>
                <w:lang w:val="en-US"/>
                <w14:textFill>
                  <w14:solidFill>
                    <w14:schemeClr w14:val="tx1"/>
                  </w14:solidFill>
                </w14:textFill>
              </w:rPr>
              <w:t>1</w:t>
            </w:r>
            <w:r>
              <w:rPr>
                <w:rFonts w:hint="eastAsia" w:ascii="宋体" w:hAnsi="宋体" w:eastAsia="宋体" w:cs="宋体"/>
                <w:color w:val="000000" w:themeColor="text1"/>
                <w:kern w:val="0"/>
                <w:sz w:val="24"/>
                <w:szCs w:val="24"/>
                <w:highlight w:val="none"/>
                <w14:textFill>
                  <w14:solidFill>
                    <w14:schemeClr w14:val="tx1"/>
                  </w14:solidFill>
                </w14:textFill>
              </w:rPr>
              <w:t>分，</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市级一次得2分，省级以上一次得3分；主办或承办区级以上业余赛事活动，一次得1分。</w:t>
            </w:r>
          </w:p>
        </w:tc>
        <w:tc>
          <w:tcPr>
            <w:tcW w:w="0" w:type="auto"/>
            <w:vAlign w:val="center"/>
          </w:tcPr>
          <w:p>
            <w:pPr>
              <w:pStyle w:val="966"/>
              <w:keepNext w:val="0"/>
              <w:keepLines w:val="0"/>
              <w:pageBreakBefore w:val="0"/>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比赛</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音像记录</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活动方案等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trPr>
        <w:tc>
          <w:tcPr>
            <w:tcW w:w="0" w:type="auto"/>
            <w:vMerge w:val="restart"/>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strike w:val="0"/>
                <w:color w:val="000000" w:themeColor="text1"/>
                <w:sz w:val="24"/>
                <w:szCs w:val="24"/>
                <w:highlight w:val="none"/>
                <w:lang w:val="en-US" w:eastAsia="zh-CN"/>
                <w14:textFill>
                  <w14:solidFill>
                    <w14:schemeClr w14:val="tx1"/>
                  </w14:solidFill>
                </w14:textFill>
              </w:rPr>
              <w:t>报备工作</w:t>
            </w:r>
          </w:p>
        </w:tc>
        <w:tc>
          <w:tcPr>
            <w:tcW w:w="0" w:type="auto"/>
            <w:vMerge w:val="restart"/>
            <w:vAlign w:val="center"/>
          </w:tcPr>
          <w:p>
            <w:pPr>
              <w:pStyle w:val="966"/>
              <w:keepNext w:val="0"/>
              <w:keepLines w:val="0"/>
              <w:pageBreakBefore w:val="0"/>
              <w:widowControl/>
              <w:numPr>
                <w:ilvl w:val="-1"/>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strike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strike w:val="0"/>
                <w:color w:val="000000" w:themeColor="text1"/>
                <w:sz w:val="24"/>
                <w:szCs w:val="24"/>
                <w:highlight w:val="none"/>
                <w:lang w:val="en-US" w:eastAsia="zh-CN"/>
                <w14:textFill>
                  <w14:solidFill>
                    <w14:schemeClr w14:val="tx1"/>
                  </w14:solidFill>
                </w14:textFill>
              </w:rPr>
              <w:t>5分</w:t>
            </w:r>
          </w:p>
        </w:tc>
        <w:tc>
          <w:tcPr>
            <w:tcW w:w="0" w:type="auto"/>
            <w:vAlign w:val="center"/>
          </w:tcPr>
          <w:p>
            <w:pPr>
              <w:pStyle w:val="966"/>
              <w:keepNext w:val="0"/>
              <w:keepLines w:val="0"/>
              <w:pageBreakBefore w:val="0"/>
              <w:numPr>
                <w:ilvl w:val="-1"/>
                <w:numId w:val="0"/>
              </w:numPr>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strike w:val="0"/>
                <w:color w:val="000000" w:themeColor="text1"/>
                <w:sz w:val="24"/>
                <w:szCs w:val="24"/>
                <w:highlight w:val="none"/>
                <w:lang w:val="en-US" w:eastAsia="zh-CN"/>
                <w14:textFill>
                  <w14:solidFill>
                    <w14:schemeClr w14:val="tx1"/>
                  </w14:solidFill>
                </w14:textFill>
              </w:rPr>
              <w:t>中标服务商应于举办各类比赛和活动前至少15日向采购方以书面形式报备比赛活动计划安排，未提前及时报备的，每次扣1分，特殊情况下双方协商一致可不扣分。</w:t>
            </w:r>
          </w:p>
        </w:tc>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书面报备证明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trPr>
        <w:tc>
          <w:tcPr>
            <w:tcW w:w="0" w:type="auto"/>
            <w:vMerge w:val="continue"/>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strike w:val="0"/>
                <w:color w:val="000000" w:themeColor="text1"/>
                <w:sz w:val="24"/>
                <w:szCs w:val="24"/>
                <w:highlight w:val="none"/>
                <w:lang w:val="en-US" w:eastAsia="zh-CN"/>
                <w14:textFill>
                  <w14:solidFill>
                    <w14:schemeClr w14:val="tx1"/>
                  </w14:solidFill>
                </w14:textFill>
              </w:rPr>
            </w:pPr>
          </w:p>
        </w:tc>
        <w:tc>
          <w:tcPr>
            <w:tcW w:w="0" w:type="auto"/>
            <w:vMerge w:val="continue"/>
            <w:vAlign w:val="center"/>
          </w:tcPr>
          <w:p>
            <w:pPr>
              <w:pStyle w:val="966"/>
              <w:keepNext w:val="0"/>
              <w:keepLines w:val="0"/>
              <w:pageBreakBefore w:val="0"/>
              <w:widowControl/>
              <w:numPr>
                <w:ilvl w:val="-1"/>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strike w:val="0"/>
                <w:color w:val="000000" w:themeColor="text1"/>
                <w:sz w:val="24"/>
                <w:szCs w:val="24"/>
                <w:highlight w:val="none"/>
                <w:lang w:val="en-US" w:eastAsia="zh-CN"/>
                <w14:textFill>
                  <w14:solidFill>
                    <w14:schemeClr w14:val="tx1"/>
                  </w14:solidFill>
                </w14:textFill>
              </w:rPr>
            </w:pPr>
          </w:p>
        </w:tc>
        <w:tc>
          <w:tcPr>
            <w:tcW w:w="0" w:type="auto"/>
            <w:vAlign w:val="center"/>
          </w:tcPr>
          <w:p>
            <w:pPr>
              <w:pStyle w:val="966"/>
              <w:keepNext w:val="0"/>
              <w:keepLines w:val="0"/>
              <w:pageBreakBefore w:val="0"/>
              <w:numPr>
                <w:ilvl w:val="-1"/>
                <w:numId w:val="0"/>
              </w:numPr>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strike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strike w:val="0"/>
                <w:color w:val="000000" w:themeColor="text1"/>
                <w:sz w:val="24"/>
                <w:szCs w:val="24"/>
                <w:highlight w:val="none"/>
                <w:lang w:val="en-US" w:eastAsia="zh-CN"/>
                <w14:textFill>
                  <w14:solidFill>
                    <w14:schemeClr w14:val="tx1"/>
                  </w14:solidFill>
                </w14:textFill>
              </w:rPr>
              <w:t>新增或减少文体项目种类前，需先向采购方报备。</w:t>
            </w:r>
            <w:r>
              <w:rPr>
                <w:rFonts w:hint="eastAsia" w:ascii="宋体" w:hAnsi="宋体" w:eastAsia="宋体" w:cs="宋体"/>
                <w:color w:val="000000" w:themeColor="text1"/>
                <w:kern w:val="2"/>
                <w:sz w:val="24"/>
                <w:szCs w:val="24"/>
                <w:highlight w:val="none"/>
                <w:lang w:val="en-US" w:eastAsia="zh-CN"/>
                <w14:textFill>
                  <w14:solidFill>
                    <w14:schemeClr w14:val="tx1"/>
                  </w14:solidFill>
                </w14:textFill>
              </w:rPr>
              <w:t>未经采购方同意擅自新增或减少项目的，每个项目扣1分</w:t>
            </w:r>
            <w:r>
              <w:rPr>
                <w:rFonts w:hint="eastAsia" w:ascii="宋体" w:hAnsi="宋体" w:eastAsia="宋体" w:cs="宋体"/>
                <w:color w:val="000000" w:themeColor="text1"/>
                <w:kern w:val="2"/>
                <w:sz w:val="24"/>
                <w:szCs w:val="24"/>
                <w:highlight w:val="none"/>
                <w14:textFill>
                  <w14:solidFill>
                    <w14:schemeClr w14:val="tx1"/>
                  </w14:solidFill>
                </w14:textFill>
              </w:rPr>
              <w:t>。</w:t>
            </w:r>
          </w:p>
        </w:tc>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书面报备证明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trPr>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营收结算</w:t>
            </w:r>
          </w:p>
        </w:tc>
        <w:tc>
          <w:tcPr>
            <w:tcW w:w="0" w:type="auto"/>
            <w:vAlign w:val="center"/>
          </w:tcPr>
          <w:p>
            <w:pPr>
              <w:pStyle w:val="966"/>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cs="宋体"/>
                <w:color w:val="000000" w:themeColor="text1"/>
                <w:kern w:val="0"/>
                <w:sz w:val="24"/>
                <w:szCs w:val="24"/>
                <w:highlight w:val="none"/>
                <w:lang w:val="en-US" w:eastAsia="zh-CN"/>
                <w14:textFill>
                  <w14:solidFill>
                    <w14:schemeClr w14:val="tx1"/>
                  </w14:solidFill>
                </w14:textFill>
              </w:rPr>
              <w:t>18</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分</w:t>
            </w:r>
          </w:p>
        </w:tc>
        <w:tc>
          <w:tcPr>
            <w:tcW w:w="0" w:type="auto"/>
            <w:vAlign w:val="center"/>
          </w:tcPr>
          <w:p>
            <w:pPr>
              <w:pStyle w:val="966"/>
              <w:keepNext w:val="0"/>
              <w:keepLines w:val="0"/>
              <w:pageBreakBefore w:val="0"/>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在运营期间每月按时</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向采购方</w:t>
            </w:r>
            <w:r>
              <w:rPr>
                <w:rFonts w:hint="eastAsia" w:ascii="宋体" w:hAnsi="宋体" w:eastAsia="宋体" w:cs="宋体"/>
                <w:color w:val="000000" w:themeColor="text1"/>
                <w:kern w:val="0"/>
                <w:sz w:val="24"/>
                <w:szCs w:val="24"/>
                <w:highlight w:val="none"/>
                <w14:textFill>
                  <w14:solidFill>
                    <w14:schemeClr w14:val="tx1"/>
                  </w14:solidFill>
                </w14:textFill>
              </w:rPr>
              <w:t>结算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销售净额并汇至采购方银行账户</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款项未及时到账的，每延迟一天扣2分。</w:t>
            </w:r>
          </w:p>
        </w:tc>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转账证明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trPr>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宣传营销</w:t>
            </w:r>
          </w:p>
        </w:tc>
        <w:tc>
          <w:tcPr>
            <w:tcW w:w="0" w:type="auto"/>
            <w:vAlign w:val="center"/>
          </w:tcPr>
          <w:p>
            <w:pPr>
              <w:pStyle w:val="966"/>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5分</w:t>
            </w:r>
          </w:p>
        </w:tc>
        <w:tc>
          <w:tcPr>
            <w:tcW w:w="0" w:type="auto"/>
            <w:vAlign w:val="center"/>
          </w:tcPr>
          <w:p>
            <w:pPr>
              <w:pStyle w:val="966"/>
              <w:keepNext w:val="0"/>
              <w:keepLines w:val="0"/>
              <w:pageBreakBefore w:val="0"/>
              <w:numPr>
                <w:ilvl w:val="0"/>
                <w:numId w:val="0"/>
              </w:numPr>
              <w:tabs>
                <w:tab w:val="left" w:pos="0"/>
                <w:tab w:val="clear" w:pos="525"/>
              </w:tabs>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全年为相关公众号提供报道、资讯素材48篇及以上得3分，未达到60篇，则按完成率得分。与不少于5家的传统媒体、新媒体等机构展开合作，打造线上线下传播矩阵，得2分。</w:t>
            </w:r>
          </w:p>
        </w:tc>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公众号推文截图、合作协议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trPr>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管理制度</w:t>
            </w:r>
          </w:p>
        </w:tc>
        <w:tc>
          <w:tcPr>
            <w:tcW w:w="0" w:type="auto"/>
            <w:vAlign w:val="center"/>
          </w:tcPr>
          <w:p>
            <w:pPr>
              <w:pStyle w:val="966"/>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cs="宋体"/>
                <w:color w:val="000000" w:themeColor="text1"/>
                <w:kern w:val="0"/>
                <w:sz w:val="24"/>
                <w:szCs w:val="24"/>
                <w:highlight w:val="none"/>
                <w:lang w:val="en-US" w:eastAsia="zh-CN"/>
                <w14:textFill>
                  <w14:solidFill>
                    <w14:schemeClr w14:val="tx1"/>
                  </w14:solidFill>
                </w14:textFill>
              </w:rPr>
              <w:t>4</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分</w:t>
            </w:r>
          </w:p>
        </w:tc>
        <w:tc>
          <w:tcPr>
            <w:tcW w:w="0" w:type="auto"/>
            <w:vAlign w:val="center"/>
          </w:tcPr>
          <w:p>
            <w:pPr>
              <w:pStyle w:val="966"/>
              <w:keepNext w:val="0"/>
              <w:keepLines w:val="0"/>
              <w:pageBreakBefore w:val="0"/>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人员</w:t>
            </w:r>
            <w:r>
              <w:rPr>
                <w:rFonts w:hint="eastAsia" w:ascii="宋体" w:hAnsi="宋体" w:eastAsia="宋体" w:cs="宋体"/>
                <w:color w:val="000000" w:themeColor="text1"/>
                <w:kern w:val="0"/>
                <w:sz w:val="24"/>
                <w:szCs w:val="24"/>
                <w:highlight w:val="none"/>
                <w14:textFill>
                  <w14:solidFill>
                    <w14:schemeClr w14:val="tx1"/>
                  </w14:solidFill>
                </w14:textFill>
              </w:rPr>
              <w:t>管理制</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度、安全管理制度、场馆运营管理制度健全</w:t>
            </w:r>
            <w:r>
              <w:rPr>
                <w:rFonts w:hint="eastAsia" w:ascii="宋体" w:hAnsi="宋体" w:eastAsia="宋体" w:cs="宋体"/>
                <w:color w:val="000000" w:themeColor="text1"/>
                <w:kern w:val="0"/>
                <w:sz w:val="24"/>
                <w:szCs w:val="24"/>
                <w:highlight w:val="none"/>
                <w14:textFill>
                  <w14:solidFill>
                    <w14:schemeClr w14:val="tx1"/>
                  </w14:solidFill>
                </w14:textFill>
              </w:rPr>
              <w:t>，全面实行标准化管理得</w:t>
            </w:r>
            <w:r>
              <w:rPr>
                <w:rFonts w:hint="eastAsia" w:cs="宋体"/>
                <w:color w:val="000000" w:themeColor="text1"/>
                <w:kern w:val="0"/>
                <w:sz w:val="24"/>
                <w:szCs w:val="24"/>
                <w:highlight w:val="none"/>
                <w:lang w:val="en-US" w:eastAsia="zh-CN"/>
                <w14:textFill>
                  <w14:solidFill>
                    <w14:schemeClr w14:val="tx1"/>
                  </w14:solidFill>
                </w14:textFill>
              </w:rPr>
              <w:t>4</w:t>
            </w:r>
            <w:r>
              <w:rPr>
                <w:rFonts w:hint="eastAsia" w:ascii="宋体" w:hAnsi="宋体" w:eastAsia="宋体" w:cs="宋体"/>
                <w:color w:val="000000" w:themeColor="text1"/>
                <w:kern w:val="0"/>
                <w:sz w:val="24"/>
                <w:szCs w:val="24"/>
                <w:highlight w:val="none"/>
                <w14:textFill>
                  <w14:solidFill>
                    <w14:schemeClr w14:val="tx1"/>
                  </w14:solidFill>
                </w14:textFill>
              </w:rPr>
              <w:t>分</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p>
        </w:tc>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管理制度</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trPr>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台账管理</w:t>
            </w:r>
          </w:p>
        </w:tc>
        <w:tc>
          <w:tcPr>
            <w:tcW w:w="0" w:type="auto"/>
            <w:vAlign w:val="center"/>
          </w:tcPr>
          <w:p>
            <w:pPr>
              <w:pStyle w:val="966"/>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10分</w:t>
            </w:r>
          </w:p>
        </w:tc>
        <w:tc>
          <w:tcPr>
            <w:tcW w:w="0" w:type="auto"/>
            <w:vAlign w:val="center"/>
          </w:tcPr>
          <w:p>
            <w:pPr>
              <w:pStyle w:val="966"/>
              <w:keepNext w:val="0"/>
              <w:keepLines w:val="0"/>
              <w:pageBreakBefore w:val="0"/>
              <w:numPr>
                <w:ilvl w:val="0"/>
                <w:numId w:val="0"/>
              </w:numPr>
              <w:tabs>
                <w:tab w:val="left" w:pos="0"/>
                <w:tab w:val="clear" w:pos="525"/>
              </w:tabs>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日常做好自查自纠并</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做好日常台账管理</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日常保洁、保安、设备维护等档案台账不完整的，一处扣1分。</w:t>
            </w:r>
          </w:p>
        </w:tc>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台账资料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trPr>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安全管理</w:t>
            </w:r>
          </w:p>
        </w:tc>
        <w:tc>
          <w:tcPr>
            <w:tcW w:w="0" w:type="auto"/>
            <w:vAlign w:val="center"/>
          </w:tcPr>
          <w:p>
            <w:pPr>
              <w:pStyle w:val="966"/>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15分</w:t>
            </w:r>
          </w:p>
        </w:tc>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配合采购方以及相关部门</w:t>
            </w:r>
            <w:r>
              <w:rPr>
                <w:rFonts w:hint="eastAsia" w:ascii="宋体" w:hAnsi="宋体" w:eastAsia="宋体" w:cs="宋体"/>
                <w:color w:val="000000" w:themeColor="text1"/>
                <w:kern w:val="0"/>
                <w:sz w:val="24"/>
                <w:szCs w:val="24"/>
                <w:highlight w:val="none"/>
                <w:lang w:bidi="ar-SA"/>
                <w14:textFill>
                  <w14:solidFill>
                    <w14:schemeClr w14:val="tx1"/>
                  </w14:solidFill>
                </w14:textFill>
              </w:rPr>
              <w:t>对</w:t>
            </w:r>
            <w:r>
              <w:rPr>
                <w:rFonts w:hint="eastAsia" w:ascii="宋体" w:hAnsi="宋体" w:eastAsia="宋体" w:cs="宋体"/>
                <w:color w:val="000000" w:themeColor="text1"/>
                <w:kern w:val="0"/>
                <w:sz w:val="24"/>
                <w:szCs w:val="24"/>
                <w:highlight w:val="none"/>
                <w:lang w:eastAsia="zh-CN" w:bidi="ar-SA"/>
                <w14:textFill>
                  <w14:solidFill>
                    <w14:schemeClr w14:val="tx1"/>
                  </w14:solidFill>
                </w14:textFill>
              </w:rPr>
              <w:t>文体中心</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的各类检查。未配合、陪同检查的，扣3分；相关部门检查发现各类问题，且未及时整改或整改不到位的，一处扣2分；出现</w:t>
            </w:r>
            <w:r>
              <w:rPr>
                <w:rFonts w:hint="eastAsia" w:ascii="宋体" w:hAnsi="宋体" w:eastAsia="宋体" w:cs="宋体"/>
                <w:color w:val="000000" w:themeColor="text1"/>
                <w:kern w:val="0"/>
                <w:sz w:val="24"/>
                <w:szCs w:val="24"/>
                <w:highlight w:val="none"/>
                <w14:textFill>
                  <w14:solidFill>
                    <w14:schemeClr w14:val="tx1"/>
                  </w14:solidFill>
                </w14:textFill>
              </w:rPr>
              <w:t>设备安全事故</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一次</w:t>
            </w:r>
            <w:r>
              <w:rPr>
                <w:rFonts w:hint="eastAsia" w:ascii="宋体" w:hAnsi="宋体" w:eastAsia="宋体" w:cs="宋体"/>
                <w:color w:val="000000" w:themeColor="text1"/>
                <w:kern w:val="0"/>
                <w:sz w:val="24"/>
                <w:szCs w:val="24"/>
                <w:highlight w:val="none"/>
                <w14:textFill>
                  <w14:solidFill>
                    <w14:schemeClr w14:val="tx1"/>
                  </w14:solidFill>
                </w14:textFill>
              </w:rPr>
              <w:t>扣</w:t>
            </w:r>
            <w:r>
              <w:rPr>
                <w:rFonts w:hint="eastAsia" w:ascii="宋体" w:hAnsi="宋体" w:eastAsia="宋体" w:cs="宋体"/>
                <w:color w:val="000000" w:themeColor="text1"/>
                <w:kern w:val="0"/>
                <w:sz w:val="24"/>
                <w:szCs w:val="24"/>
                <w:highlight w:val="none"/>
                <w:lang w:val="en-US"/>
                <w14:textFill>
                  <w14:solidFill>
                    <w14:schemeClr w14:val="tx1"/>
                  </w14:solidFill>
                </w14:textFill>
              </w:rPr>
              <w:t>4</w:t>
            </w:r>
            <w:r>
              <w:rPr>
                <w:rFonts w:hint="eastAsia" w:ascii="宋体" w:hAnsi="宋体" w:eastAsia="宋体" w:cs="宋体"/>
                <w:color w:val="000000" w:themeColor="text1"/>
                <w:kern w:val="0"/>
                <w:sz w:val="24"/>
                <w:szCs w:val="24"/>
                <w:highlight w:val="none"/>
                <w14:textFill>
                  <w14:solidFill>
                    <w14:schemeClr w14:val="tx1"/>
                  </w14:solidFill>
                </w14:textFill>
              </w:rPr>
              <w:t>分</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出现重大安全事故，造成人员伤亡的，扣15分</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p>
        </w:tc>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相关部门检查结果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trPr>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运营数据</w:t>
            </w:r>
          </w:p>
        </w:tc>
        <w:tc>
          <w:tcPr>
            <w:tcW w:w="0" w:type="auto"/>
            <w:vAlign w:val="center"/>
          </w:tcPr>
          <w:p>
            <w:pPr>
              <w:pStyle w:val="966"/>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5分</w:t>
            </w:r>
          </w:p>
        </w:tc>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中标服务商未按采购人要求每月向采购人提供必要的运营管理数据，扣3分。中标服务商未在相关信息化管理服务系统中为采购人开通运营管理数据全面查阅权限，扣2分。</w:t>
            </w:r>
          </w:p>
        </w:tc>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系统截图证明、数据发送记录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trPr>
        <w:tc>
          <w:tcPr>
            <w:tcW w:w="0" w:type="auto"/>
            <w:vMerge w:val="restart"/>
            <w:vAlign w:val="center"/>
          </w:tcPr>
          <w:p>
            <w:pPr>
              <w:pStyle w:val="966"/>
              <w:keepNext w:val="0"/>
              <w:keepLines w:val="0"/>
              <w:pageBreakBefore w:val="0"/>
              <w:numPr>
                <w:ilvl w:val="-1"/>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额外附加分</w:t>
            </w:r>
          </w:p>
        </w:tc>
        <w:tc>
          <w:tcPr>
            <w:tcW w:w="0" w:type="auto"/>
            <w:vMerge w:val="restart"/>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b w:val="0"/>
                <w:bCs w:val="0"/>
                <w:color w:val="000000" w:themeColor="text1"/>
                <w:kern w:val="0"/>
                <w:sz w:val="24"/>
                <w:szCs w:val="24"/>
                <w:highlight w:val="none"/>
                <w:vertAlign w:val="baseline"/>
                <w:lang w:val="en-US" w:eastAsia="zh-CN"/>
                <w14:textFill>
                  <w14:solidFill>
                    <w14:schemeClr w14:val="tx1"/>
                  </w14:solidFill>
                </w14:textFill>
              </w:rPr>
              <w:t>最高不超过15分</w:t>
            </w:r>
          </w:p>
        </w:tc>
        <w:tc>
          <w:tcPr>
            <w:tcW w:w="0" w:type="auto"/>
            <w:vAlign w:val="center"/>
          </w:tcPr>
          <w:p>
            <w:pPr>
              <w:pStyle w:val="966"/>
              <w:keepNext w:val="0"/>
              <w:keepLines w:val="0"/>
              <w:pageBreakBefore w:val="0"/>
              <w:numPr>
                <w:ilvl w:val="0"/>
                <w:numId w:val="0"/>
              </w:numPr>
              <w:tabs>
                <w:tab w:val="left" w:pos="0"/>
                <w:tab w:val="clear" w:pos="525"/>
              </w:tabs>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在运营期内</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获得</w:t>
            </w:r>
            <w:r>
              <w:rPr>
                <w:rFonts w:hint="eastAsia" w:ascii="宋体" w:hAnsi="宋体" w:eastAsia="宋体" w:cs="宋体"/>
                <w:color w:val="000000" w:themeColor="text1"/>
                <w:kern w:val="0"/>
                <w:sz w:val="24"/>
                <w:szCs w:val="24"/>
                <w:highlight w:val="none"/>
                <w14:textFill>
                  <w14:solidFill>
                    <w14:schemeClr w14:val="tx1"/>
                  </w14:solidFill>
                </w14:textFill>
              </w:rPr>
              <w:t>体育产业示范单位、体育类示范项目称号</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等荣誉</w:t>
            </w:r>
            <w:r>
              <w:rPr>
                <w:rFonts w:hint="eastAsia" w:ascii="宋体" w:hAnsi="宋体" w:eastAsia="宋体" w:cs="宋体"/>
                <w:color w:val="000000" w:themeColor="text1"/>
                <w:kern w:val="0"/>
                <w:sz w:val="24"/>
                <w:szCs w:val="24"/>
                <w:highlight w:val="none"/>
                <w14:textFill>
                  <w14:solidFill>
                    <w14:schemeClr w14:val="tx1"/>
                  </w14:solidFill>
                </w14:textFill>
              </w:rPr>
              <w:t>，1次得3分</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p>
        </w:tc>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leftChars="0" w:firstLine="0" w:firstLineChars="0"/>
              <w:jc w:val="both"/>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文件或公示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trPr>
        <w:tc>
          <w:tcPr>
            <w:tcW w:w="0" w:type="auto"/>
            <w:vMerge w:val="continue"/>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p>
        </w:tc>
        <w:tc>
          <w:tcPr>
            <w:tcW w:w="0" w:type="auto"/>
            <w:vMerge w:val="continue"/>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p>
        </w:tc>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全年引入、打造国内省级及以上品牌IP体育赛事</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引入的</w:t>
            </w:r>
            <w:r>
              <w:rPr>
                <w:rFonts w:hint="eastAsia" w:ascii="宋体" w:hAnsi="宋体" w:eastAsia="宋体" w:cs="宋体"/>
                <w:color w:val="000000" w:themeColor="text1"/>
                <w:kern w:val="0"/>
                <w:sz w:val="24"/>
                <w:szCs w:val="24"/>
                <w:highlight w:val="none"/>
                <w14:textFill>
                  <w14:solidFill>
                    <w14:schemeClr w14:val="tx1"/>
                  </w14:solidFill>
                </w14:textFill>
              </w:rPr>
              <w:t>IP体育赛事在社交平台的相关内容累计阅读量/播放量需要超过100万</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val="en-US"/>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1个得</w:t>
            </w:r>
            <w:r>
              <w:rPr>
                <w:rFonts w:hint="eastAsia" w:ascii="宋体" w:hAnsi="宋体" w:eastAsia="宋体" w:cs="宋体"/>
                <w:color w:val="000000" w:themeColor="text1"/>
                <w:kern w:val="0"/>
                <w:sz w:val="24"/>
                <w:szCs w:val="24"/>
                <w:highlight w:val="none"/>
                <w:lang w:val="en-US"/>
                <w14:textFill>
                  <w14:solidFill>
                    <w14:schemeClr w14:val="tx1"/>
                  </w14:solidFill>
                </w14:textFill>
              </w:rPr>
              <w:t>5</w:t>
            </w:r>
            <w:r>
              <w:rPr>
                <w:rFonts w:hint="eastAsia" w:ascii="宋体" w:hAnsi="宋体" w:eastAsia="宋体" w:cs="宋体"/>
                <w:color w:val="000000" w:themeColor="text1"/>
                <w:kern w:val="0"/>
                <w:sz w:val="24"/>
                <w:szCs w:val="24"/>
                <w:highlight w:val="none"/>
                <w14:textFill>
                  <w14:solidFill>
                    <w14:schemeClr w14:val="tx1"/>
                  </w14:solidFill>
                </w14:textFill>
              </w:rPr>
              <w:t>分。</w:t>
            </w:r>
          </w:p>
        </w:tc>
        <w:tc>
          <w:tcPr>
            <w:tcW w:w="0" w:type="auto"/>
            <w:vAlign w:val="center"/>
          </w:tcPr>
          <w:p>
            <w:pPr>
              <w:pStyle w:val="966"/>
              <w:keepNext w:val="0"/>
              <w:keepLines w:val="0"/>
              <w:pageBreakBefore w:val="0"/>
              <w:numPr>
                <w:ilvl w:val="0"/>
                <w:numId w:val="0"/>
              </w:numPr>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color w:val="000000" w:themeColor="text1"/>
                <w:kern w:val="0"/>
                <w:sz w:val="24"/>
                <w:szCs w:val="24"/>
                <w:highlight w:val="none"/>
                <w:vertAlign w:val="baseli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社交平台截图证明</w:t>
            </w:r>
          </w:p>
        </w:tc>
      </w:tr>
    </w:tbl>
    <w:p>
      <w:pPr>
        <w:pStyle w:val="24"/>
        <w:rPr>
          <w:rFonts w:hint="eastAsia"/>
          <w:color w:val="000000" w:themeColor="text1"/>
          <w:highlight w:val="none"/>
          <w:lang w:val="en-US" w:eastAsia="zh-CN"/>
          <w14:textFill>
            <w14:solidFill>
              <w14:schemeClr w14:val="tx1"/>
            </w14:solidFill>
          </w14:textFill>
        </w:rPr>
      </w:pPr>
    </w:p>
    <w:p>
      <w:pPr>
        <w:spacing w:line="360" w:lineRule="auto"/>
        <w:jc w:val="both"/>
        <w:rPr>
          <w:rFonts w:hint="eastAsia"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注：</w:t>
      </w:r>
    </w:p>
    <w:p>
      <w:pPr>
        <w:numPr>
          <w:ilvl w:val="0"/>
          <w:numId w:val="0"/>
        </w:numPr>
        <w:spacing w:line="360" w:lineRule="auto"/>
        <w:ind w:firstLine="482" w:firstLineChars="200"/>
        <w:jc w:val="lef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t>1、</w:t>
      </w:r>
      <w:r>
        <w:rPr>
          <w:rFonts w:hint="eastAsia" w:ascii="宋体" w:hAnsi="宋体" w:eastAsia="宋体" w:cs="宋体"/>
          <w:b/>
          <w:color w:val="000000" w:themeColor="text1"/>
          <w:sz w:val="24"/>
          <w:szCs w:val="24"/>
          <w:highlight w:val="none"/>
          <w14:textFill>
            <w14:solidFill>
              <w14:schemeClr w14:val="tx1"/>
            </w14:solidFill>
          </w14:textFill>
        </w:rPr>
        <w:t>打▲内容为实质性要求，不允许有负偏离，否则将以涉及无效投标条款作无效投标。</w:t>
      </w:r>
    </w:p>
    <w:p>
      <w:pPr>
        <w:numPr>
          <w:ilvl w:val="0"/>
          <w:numId w:val="0"/>
        </w:numPr>
        <w:spacing w:line="360" w:lineRule="auto"/>
        <w:ind w:firstLine="482" w:firstLineChars="200"/>
        <w:jc w:val="left"/>
        <w:rPr>
          <w:rFonts w:hint="eastAsia"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t>2、</w:t>
      </w:r>
      <w:r>
        <w:rPr>
          <w:rFonts w:hint="eastAsia" w:ascii="宋体" w:hAnsi="宋体" w:eastAsia="宋体" w:cs="宋体"/>
          <w:b/>
          <w:color w:val="000000" w:themeColor="text1"/>
          <w:sz w:val="24"/>
          <w:szCs w:val="24"/>
          <w:highlight w:val="none"/>
          <w14:textFill>
            <w14:solidFill>
              <w14:schemeClr w14:val="tx1"/>
            </w14:solidFill>
          </w14:textFill>
        </w:rPr>
        <w:t>中标单位所提供的货物、服务须与投标承诺一致，不得以次充好、偷工减料，若在项目验收中发现有上述情况，将向有关部门举</w:t>
      </w:r>
      <w:r>
        <w:rPr>
          <w:rFonts w:hint="eastAsia" w:ascii="宋体" w:hAnsi="宋体" w:cs="宋体"/>
          <w:b/>
          <w:color w:val="000000" w:themeColor="text1"/>
          <w:sz w:val="24"/>
          <w:szCs w:val="24"/>
          <w:highlight w:val="none"/>
          <w:lang w:val="en-US" w:eastAsia="zh-CN"/>
          <w14:textFill>
            <w14:solidFill>
              <w14:schemeClr w14:val="tx1"/>
            </w14:solidFill>
          </w14:textFill>
        </w:rPr>
        <w:t>证</w:t>
      </w:r>
      <w:r>
        <w:rPr>
          <w:rFonts w:hint="eastAsia" w:ascii="宋体" w:hAnsi="宋体" w:eastAsia="宋体" w:cs="宋体"/>
          <w:b/>
          <w:color w:val="000000" w:themeColor="text1"/>
          <w:sz w:val="24"/>
          <w:szCs w:val="24"/>
          <w:highlight w:val="none"/>
          <w14:textFill>
            <w14:solidFill>
              <w14:schemeClr w14:val="tx1"/>
            </w14:solidFill>
          </w14:textFill>
        </w:rPr>
        <w:t>，根据相关规定进行处理。</w:t>
      </w:r>
    </w:p>
    <w:p>
      <w:pPr>
        <w:pStyle w:val="23"/>
        <w:rPr>
          <w:rFonts w:hint="eastAsia" w:ascii="宋体" w:hAnsi="宋体" w:eastAsia="宋体" w:cs="宋体"/>
          <w:b/>
          <w:color w:val="000000" w:themeColor="text1"/>
          <w:sz w:val="24"/>
          <w:szCs w:val="24"/>
          <w:highlight w:val="none"/>
          <w:lang w:val="en-US" w:eastAsia="zh-CN"/>
          <w14:textFill>
            <w14:solidFill>
              <w14:schemeClr w14:val="tx1"/>
            </w14:solidFill>
          </w14:textFill>
        </w:rPr>
      </w:pPr>
    </w:p>
    <w:p>
      <w:pPr>
        <w:pStyle w:val="24"/>
        <w:rPr>
          <w:rFonts w:hint="eastAsia"/>
          <w:color w:val="000000" w:themeColor="text1"/>
          <w:highlight w:val="none"/>
          <w:lang w:val="en-US" w:eastAsia="zh-CN"/>
          <w14:textFill>
            <w14:solidFill>
              <w14:schemeClr w14:val="tx1"/>
            </w14:solidFill>
          </w14:textFill>
        </w:rPr>
      </w:pPr>
    </w:p>
    <w:p>
      <w:pPr>
        <w:spacing w:line="360" w:lineRule="auto"/>
        <w:jc w:val="center"/>
        <w:rPr>
          <w:rFonts w:hint="eastAsia" w:ascii="宋体" w:hAnsi="宋体" w:eastAsia="宋体" w:cs="宋体"/>
          <w:b/>
          <w:color w:val="000000" w:themeColor="text1"/>
          <w:sz w:val="36"/>
          <w:szCs w:val="36"/>
          <w:highlight w:val="none"/>
          <w14:textFill>
            <w14:solidFill>
              <w14:schemeClr w14:val="tx1"/>
            </w14:solidFill>
          </w14:textFill>
        </w:rPr>
      </w:pPr>
    </w:p>
    <w:p>
      <w:pPr>
        <w:pStyle w:val="2"/>
        <w:rPr>
          <w:rFonts w:hint="eastAsia" w:ascii="宋体" w:hAnsi="宋体" w:eastAsia="宋体" w:cs="宋体"/>
          <w:b/>
          <w:color w:val="000000" w:themeColor="text1"/>
          <w:sz w:val="36"/>
          <w:szCs w:val="36"/>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sectPr>
          <w:headerReference r:id="rId4" w:type="first"/>
          <w:footerReference r:id="rId6" w:type="first"/>
          <w:headerReference r:id="rId3" w:type="default"/>
          <w:footerReference r:id="rId5" w:type="default"/>
          <w:pgSz w:w="11906" w:h="16838"/>
          <w:pgMar w:top="1276" w:right="1417" w:bottom="1247" w:left="1417" w:header="851" w:footer="992" w:gutter="0"/>
          <w:pgBorders>
            <w:top w:val="none" w:sz="0" w:space="0"/>
            <w:left w:val="none" w:sz="0" w:space="0"/>
            <w:bottom w:val="none" w:sz="0" w:space="0"/>
            <w:right w:val="none" w:sz="0" w:space="0"/>
          </w:pgBorders>
          <w:cols w:space="0" w:num="1"/>
          <w:titlePg/>
          <w:rtlGutter w:val="0"/>
          <w:docGrid w:linePitch="312" w:charSpace="0"/>
        </w:sectPr>
      </w:pPr>
    </w:p>
    <w:p>
      <w:pPr>
        <w:pStyle w:val="24"/>
        <w:rPr>
          <w:rFonts w:hint="eastAsia"/>
          <w:color w:val="000000" w:themeColor="text1"/>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36"/>
          <w:szCs w:val="36"/>
          <w:highlight w:val="none"/>
          <w:lang w:eastAsia="zh-CN"/>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t xml:space="preserve">第四部分   </w:t>
      </w:r>
      <w:bookmarkStart w:id="17" w:name="_Toc184314415"/>
      <w:bookmarkEnd w:id="17"/>
      <w:bookmarkStart w:id="18" w:name="_Toc184312131"/>
      <w:bookmarkEnd w:id="18"/>
      <w:bookmarkStart w:id="19" w:name="_Toc184310305"/>
      <w:bookmarkEnd w:id="19"/>
      <w:bookmarkStart w:id="20" w:name="_Toc184308097"/>
      <w:bookmarkEnd w:id="20"/>
      <w:bookmarkStart w:id="21" w:name="_Toc184310313"/>
      <w:bookmarkEnd w:id="21"/>
      <w:bookmarkStart w:id="22" w:name="_Toc184313307"/>
      <w:bookmarkEnd w:id="22"/>
      <w:bookmarkStart w:id="23" w:name="_Toc184312137"/>
      <w:bookmarkEnd w:id="23"/>
      <w:bookmarkStart w:id="24" w:name="_Toc184310278"/>
      <w:bookmarkEnd w:id="24"/>
      <w:bookmarkStart w:id="25" w:name="_Toc184314410"/>
      <w:bookmarkEnd w:id="25"/>
      <w:bookmarkStart w:id="26" w:name="_Toc184313288"/>
      <w:bookmarkEnd w:id="26"/>
      <w:bookmarkStart w:id="27" w:name="_Toc184310326"/>
      <w:bookmarkEnd w:id="27"/>
      <w:bookmarkStart w:id="28" w:name="_Toc184308052"/>
      <w:bookmarkEnd w:id="28"/>
      <w:bookmarkStart w:id="29" w:name="_Toc184313305"/>
      <w:bookmarkEnd w:id="29"/>
      <w:bookmarkStart w:id="30" w:name="_Toc184314476"/>
      <w:bookmarkEnd w:id="30"/>
      <w:bookmarkStart w:id="31" w:name="_Toc184314470"/>
      <w:bookmarkEnd w:id="31"/>
      <w:bookmarkStart w:id="32" w:name="_Toc184313303"/>
      <w:bookmarkEnd w:id="32"/>
      <w:bookmarkStart w:id="33" w:name="_Toc184308094"/>
      <w:bookmarkEnd w:id="33"/>
      <w:bookmarkStart w:id="34" w:name="_Toc184310334"/>
      <w:bookmarkEnd w:id="34"/>
      <w:bookmarkStart w:id="35" w:name="_Toc184308079"/>
      <w:bookmarkEnd w:id="35"/>
      <w:bookmarkStart w:id="36" w:name="_Toc184310312"/>
      <w:bookmarkEnd w:id="36"/>
      <w:bookmarkStart w:id="37" w:name="_Toc184312097"/>
      <w:bookmarkEnd w:id="37"/>
      <w:bookmarkStart w:id="38" w:name="_Toc184314435"/>
      <w:bookmarkEnd w:id="38"/>
      <w:bookmarkStart w:id="39" w:name="_Toc184308104"/>
      <w:bookmarkEnd w:id="39"/>
      <w:bookmarkStart w:id="40" w:name="_Toc184310292"/>
      <w:bookmarkEnd w:id="40"/>
      <w:bookmarkStart w:id="41" w:name="_Toc184310300"/>
      <w:bookmarkEnd w:id="41"/>
      <w:bookmarkStart w:id="42" w:name="_Toc184312119"/>
      <w:bookmarkEnd w:id="42"/>
      <w:bookmarkStart w:id="43" w:name="_Toc184314443"/>
      <w:bookmarkEnd w:id="43"/>
      <w:bookmarkStart w:id="44" w:name="_Toc184314451"/>
      <w:bookmarkEnd w:id="44"/>
      <w:bookmarkStart w:id="45" w:name="_Toc184312139"/>
      <w:bookmarkEnd w:id="45"/>
      <w:bookmarkStart w:id="46" w:name="_Toc184308061"/>
      <w:bookmarkEnd w:id="46"/>
      <w:bookmarkStart w:id="47" w:name="_Toc184314472"/>
      <w:bookmarkEnd w:id="47"/>
      <w:bookmarkStart w:id="48" w:name="_Toc184314412"/>
      <w:bookmarkEnd w:id="48"/>
      <w:bookmarkStart w:id="49" w:name="_Toc184310308"/>
      <w:bookmarkEnd w:id="49"/>
      <w:bookmarkStart w:id="50" w:name="_Toc184312113"/>
      <w:bookmarkEnd w:id="50"/>
      <w:bookmarkStart w:id="51" w:name="_Toc184313241"/>
      <w:bookmarkEnd w:id="51"/>
      <w:bookmarkStart w:id="52" w:name="_Toc184312080"/>
      <w:bookmarkEnd w:id="52"/>
      <w:bookmarkStart w:id="53" w:name="_Toc184313277"/>
      <w:bookmarkEnd w:id="53"/>
      <w:bookmarkStart w:id="54" w:name="_Toc184308099"/>
      <w:bookmarkEnd w:id="54"/>
      <w:bookmarkStart w:id="55" w:name="_Toc184314442"/>
      <w:bookmarkEnd w:id="55"/>
      <w:bookmarkStart w:id="56" w:name="_Toc184312105"/>
      <w:bookmarkEnd w:id="56"/>
      <w:bookmarkStart w:id="57" w:name="_Toc184313300"/>
      <w:bookmarkEnd w:id="57"/>
      <w:bookmarkStart w:id="58" w:name="_Toc184312129"/>
      <w:bookmarkEnd w:id="58"/>
      <w:bookmarkStart w:id="59" w:name="_Toc184308046"/>
      <w:bookmarkEnd w:id="59"/>
      <w:bookmarkStart w:id="60" w:name="_Toc184308074"/>
      <w:bookmarkEnd w:id="60"/>
      <w:bookmarkStart w:id="61" w:name="_Toc184312072"/>
      <w:bookmarkEnd w:id="61"/>
      <w:bookmarkStart w:id="62" w:name="_Toc184313289"/>
      <w:bookmarkEnd w:id="62"/>
      <w:bookmarkStart w:id="63" w:name="_Toc184308101"/>
      <w:bookmarkEnd w:id="63"/>
      <w:bookmarkStart w:id="64" w:name="_Toc184308054"/>
      <w:bookmarkEnd w:id="64"/>
      <w:bookmarkStart w:id="65" w:name="_Toc184312112"/>
      <w:bookmarkEnd w:id="65"/>
      <w:bookmarkStart w:id="66" w:name="_Toc184313275"/>
      <w:bookmarkEnd w:id="66"/>
      <w:bookmarkStart w:id="67" w:name="_Toc184312067"/>
      <w:bookmarkEnd w:id="67"/>
      <w:bookmarkStart w:id="68" w:name="_Toc184313284"/>
      <w:bookmarkEnd w:id="68"/>
      <w:bookmarkStart w:id="69" w:name="_Toc184313290"/>
      <w:bookmarkEnd w:id="69"/>
      <w:bookmarkStart w:id="70" w:name="_Toc184313251"/>
      <w:bookmarkEnd w:id="70"/>
      <w:bookmarkStart w:id="71" w:name="_Toc184314448"/>
      <w:bookmarkEnd w:id="71"/>
      <w:bookmarkStart w:id="72" w:name="_Toc184312095"/>
      <w:bookmarkEnd w:id="72"/>
      <w:bookmarkStart w:id="73" w:name="_Toc184312075"/>
      <w:bookmarkEnd w:id="73"/>
      <w:bookmarkStart w:id="74" w:name="_Toc184313281"/>
      <w:bookmarkEnd w:id="74"/>
      <w:bookmarkStart w:id="75" w:name="_Toc184313293"/>
      <w:bookmarkEnd w:id="75"/>
      <w:bookmarkStart w:id="76" w:name="_Toc184313286"/>
      <w:bookmarkEnd w:id="76"/>
      <w:bookmarkStart w:id="77" w:name="_Toc184314455"/>
      <w:bookmarkEnd w:id="77"/>
      <w:bookmarkStart w:id="78" w:name="_Toc184314468"/>
      <w:bookmarkEnd w:id="78"/>
      <w:bookmarkStart w:id="79" w:name="_Toc184313292"/>
      <w:bookmarkEnd w:id="79"/>
      <w:bookmarkStart w:id="80" w:name="_Toc184312093"/>
      <w:bookmarkEnd w:id="80"/>
      <w:bookmarkStart w:id="81" w:name="_Toc184314423"/>
      <w:bookmarkEnd w:id="81"/>
      <w:bookmarkStart w:id="82" w:name="_Toc184308040"/>
      <w:bookmarkEnd w:id="82"/>
      <w:bookmarkStart w:id="83" w:name="_Toc184310342"/>
      <w:bookmarkEnd w:id="83"/>
      <w:bookmarkStart w:id="84" w:name="_Toc184313262"/>
      <w:bookmarkEnd w:id="84"/>
      <w:bookmarkStart w:id="85" w:name="_Toc184310296"/>
      <w:bookmarkEnd w:id="85"/>
      <w:bookmarkStart w:id="86" w:name="_Toc184310336"/>
      <w:bookmarkEnd w:id="86"/>
      <w:bookmarkStart w:id="87" w:name="_Toc184314424"/>
      <w:bookmarkEnd w:id="87"/>
      <w:bookmarkStart w:id="88" w:name="_Toc184308088"/>
      <w:bookmarkEnd w:id="88"/>
      <w:bookmarkStart w:id="89" w:name="_Toc184308085"/>
      <w:bookmarkEnd w:id="89"/>
      <w:bookmarkStart w:id="90" w:name="_Toc184312120"/>
      <w:bookmarkEnd w:id="90"/>
      <w:bookmarkStart w:id="91" w:name="_Toc184313291"/>
      <w:bookmarkEnd w:id="91"/>
      <w:bookmarkStart w:id="92" w:name="_Toc184313244"/>
      <w:bookmarkEnd w:id="92"/>
      <w:bookmarkStart w:id="93" w:name="_Toc184314463"/>
      <w:bookmarkEnd w:id="93"/>
      <w:bookmarkStart w:id="94" w:name="_Toc184313296"/>
      <w:bookmarkEnd w:id="94"/>
      <w:bookmarkStart w:id="95" w:name="_Toc184310286"/>
      <w:bookmarkEnd w:id="95"/>
      <w:bookmarkStart w:id="96" w:name="_Toc184314416"/>
      <w:bookmarkEnd w:id="96"/>
      <w:bookmarkStart w:id="97" w:name="_Toc184308062"/>
      <w:bookmarkEnd w:id="97"/>
      <w:bookmarkStart w:id="98" w:name="_Toc184313260"/>
      <w:bookmarkEnd w:id="98"/>
      <w:bookmarkStart w:id="99" w:name="_Toc184312077"/>
      <w:bookmarkEnd w:id="99"/>
      <w:bookmarkStart w:id="100" w:name="_Toc184310289"/>
      <w:bookmarkEnd w:id="100"/>
      <w:bookmarkStart w:id="101" w:name="_Toc184313270"/>
      <w:bookmarkEnd w:id="101"/>
      <w:bookmarkStart w:id="102" w:name="_Toc184314449"/>
      <w:bookmarkEnd w:id="102"/>
      <w:bookmarkStart w:id="103" w:name="_Toc184308037"/>
      <w:bookmarkEnd w:id="103"/>
      <w:bookmarkStart w:id="104" w:name="_Toc184313283"/>
      <w:bookmarkEnd w:id="104"/>
      <w:bookmarkStart w:id="105" w:name="_Toc184313259"/>
      <w:bookmarkEnd w:id="105"/>
      <w:bookmarkStart w:id="106" w:name="_Toc184310344"/>
      <w:bookmarkEnd w:id="106"/>
      <w:bookmarkStart w:id="107" w:name="_Toc184308065"/>
      <w:bookmarkEnd w:id="107"/>
      <w:bookmarkStart w:id="108" w:name="_Toc184310325"/>
      <w:bookmarkEnd w:id="108"/>
      <w:bookmarkStart w:id="109" w:name="_Toc184312082"/>
      <w:bookmarkEnd w:id="109"/>
      <w:bookmarkStart w:id="110" w:name="_Toc184310320"/>
      <w:bookmarkEnd w:id="110"/>
      <w:bookmarkStart w:id="111" w:name="_Toc184312069"/>
      <w:bookmarkEnd w:id="111"/>
      <w:bookmarkStart w:id="112" w:name="_Toc184308095"/>
      <w:bookmarkEnd w:id="112"/>
      <w:bookmarkStart w:id="113" w:name="_Toc184314458"/>
      <w:bookmarkEnd w:id="113"/>
      <w:bookmarkStart w:id="114" w:name="_Toc184313301"/>
      <w:bookmarkEnd w:id="114"/>
      <w:bookmarkStart w:id="115" w:name="_Toc184308059"/>
      <w:bookmarkEnd w:id="115"/>
      <w:bookmarkStart w:id="116" w:name="_Toc184312098"/>
      <w:bookmarkEnd w:id="116"/>
      <w:bookmarkStart w:id="117" w:name="_Toc184308066"/>
      <w:bookmarkEnd w:id="117"/>
      <w:bookmarkStart w:id="118" w:name="_Toc184308084"/>
      <w:bookmarkEnd w:id="118"/>
      <w:bookmarkStart w:id="119" w:name="_Toc184313294"/>
      <w:bookmarkEnd w:id="119"/>
      <w:bookmarkStart w:id="120" w:name="_Toc184314446"/>
      <w:bookmarkEnd w:id="120"/>
      <w:bookmarkStart w:id="121" w:name="_Toc184310311"/>
      <w:bookmarkEnd w:id="121"/>
      <w:bookmarkStart w:id="122" w:name="_Toc184313295"/>
      <w:bookmarkEnd w:id="122"/>
      <w:bookmarkStart w:id="123" w:name="_Toc184310276"/>
      <w:bookmarkEnd w:id="123"/>
      <w:bookmarkStart w:id="124" w:name="_Toc184314473"/>
      <w:bookmarkEnd w:id="124"/>
      <w:bookmarkStart w:id="125" w:name="_Toc184314417"/>
      <w:bookmarkEnd w:id="125"/>
      <w:bookmarkStart w:id="126" w:name="_Toc184312123"/>
      <w:bookmarkEnd w:id="126"/>
      <w:bookmarkStart w:id="127" w:name="_Toc184312122"/>
      <w:bookmarkEnd w:id="127"/>
      <w:bookmarkStart w:id="128" w:name="_Toc184312101"/>
      <w:bookmarkEnd w:id="128"/>
      <w:bookmarkStart w:id="129" w:name="_Toc184308047"/>
      <w:bookmarkEnd w:id="129"/>
      <w:bookmarkStart w:id="130" w:name="_Toc184310328"/>
      <w:bookmarkEnd w:id="130"/>
      <w:bookmarkStart w:id="131" w:name="_Toc184313267"/>
      <w:bookmarkEnd w:id="131"/>
      <w:bookmarkStart w:id="132" w:name="_Toc184308041"/>
      <w:bookmarkEnd w:id="132"/>
      <w:bookmarkStart w:id="133" w:name="_Toc184310321"/>
      <w:bookmarkEnd w:id="133"/>
      <w:bookmarkStart w:id="134" w:name="_Toc184312135"/>
      <w:bookmarkEnd w:id="134"/>
      <w:bookmarkStart w:id="135" w:name="_Toc184314478"/>
      <w:bookmarkEnd w:id="135"/>
      <w:bookmarkStart w:id="136" w:name="_Toc184308039"/>
      <w:bookmarkEnd w:id="136"/>
      <w:bookmarkStart w:id="137" w:name="_Toc184314464"/>
      <w:bookmarkEnd w:id="137"/>
      <w:bookmarkStart w:id="138" w:name="_Toc184312081"/>
      <w:bookmarkEnd w:id="138"/>
      <w:bookmarkStart w:id="139" w:name="_Toc184313239"/>
      <w:bookmarkEnd w:id="139"/>
      <w:bookmarkStart w:id="140" w:name="_Toc184308045"/>
      <w:bookmarkEnd w:id="140"/>
      <w:bookmarkStart w:id="141" w:name="_Toc184310323"/>
      <w:bookmarkEnd w:id="141"/>
      <w:bookmarkStart w:id="142" w:name="_Toc184313252"/>
      <w:bookmarkEnd w:id="142"/>
      <w:bookmarkStart w:id="143" w:name="_Toc184313265"/>
      <w:bookmarkEnd w:id="143"/>
      <w:bookmarkStart w:id="144" w:name="_Toc184313247"/>
      <w:bookmarkEnd w:id="144"/>
      <w:bookmarkStart w:id="145" w:name="_Toc184308083"/>
      <w:bookmarkEnd w:id="145"/>
      <w:bookmarkStart w:id="146" w:name="_Toc184312096"/>
      <w:bookmarkEnd w:id="146"/>
      <w:bookmarkStart w:id="147" w:name="_Toc184308092"/>
      <w:bookmarkEnd w:id="147"/>
      <w:bookmarkStart w:id="148" w:name="_Toc184314444"/>
      <w:bookmarkEnd w:id="148"/>
      <w:bookmarkStart w:id="149" w:name="_Toc184310272"/>
      <w:bookmarkEnd w:id="149"/>
      <w:bookmarkStart w:id="150" w:name="_Toc184308105"/>
      <w:bookmarkEnd w:id="150"/>
      <w:bookmarkStart w:id="151" w:name="_Toc184314428"/>
      <w:bookmarkEnd w:id="151"/>
      <w:bookmarkStart w:id="152" w:name="_Toc184310295"/>
      <w:bookmarkEnd w:id="152"/>
      <w:bookmarkStart w:id="153" w:name="_Toc184312099"/>
      <w:bookmarkEnd w:id="153"/>
      <w:bookmarkStart w:id="154" w:name="_Toc184310341"/>
      <w:bookmarkEnd w:id="154"/>
      <w:bookmarkStart w:id="155" w:name="_Toc184308070"/>
      <w:bookmarkEnd w:id="155"/>
      <w:bookmarkStart w:id="156" w:name="_Toc184313272"/>
      <w:bookmarkEnd w:id="156"/>
      <w:bookmarkStart w:id="157" w:name="_Toc184312089"/>
      <w:bookmarkEnd w:id="157"/>
      <w:bookmarkStart w:id="158" w:name="_Toc184313298"/>
      <w:bookmarkEnd w:id="158"/>
      <w:bookmarkStart w:id="159" w:name="_Toc184312130"/>
      <w:bookmarkEnd w:id="159"/>
      <w:bookmarkStart w:id="160" w:name="_Toc184310315"/>
      <w:bookmarkEnd w:id="160"/>
      <w:bookmarkStart w:id="161" w:name="_Toc184313276"/>
      <w:bookmarkEnd w:id="161"/>
      <w:bookmarkStart w:id="162" w:name="_Toc184312109"/>
      <w:bookmarkEnd w:id="162"/>
      <w:bookmarkStart w:id="163" w:name="_Toc184313273"/>
      <w:bookmarkEnd w:id="163"/>
      <w:bookmarkStart w:id="164" w:name="_Toc184313306"/>
      <w:bookmarkEnd w:id="164"/>
      <w:bookmarkStart w:id="165" w:name="_Toc184313238"/>
      <w:bookmarkEnd w:id="165"/>
      <w:bookmarkStart w:id="166" w:name="_Toc184308075"/>
      <w:bookmarkEnd w:id="166"/>
      <w:bookmarkStart w:id="167" w:name="_Toc184313242"/>
      <w:bookmarkEnd w:id="167"/>
      <w:bookmarkStart w:id="168" w:name="_Toc184308043"/>
      <w:bookmarkEnd w:id="168"/>
      <w:bookmarkStart w:id="169" w:name="_Toc184314431"/>
      <w:bookmarkEnd w:id="169"/>
      <w:bookmarkStart w:id="170" w:name="_Toc184310297"/>
      <w:bookmarkEnd w:id="170"/>
      <w:bookmarkStart w:id="171" w:name="_Toc184310327"/>
      <w:bookmarkEnd w:id="171"/>
      <w:bookmarkStart w:id="172" w:name="_Toc184313243"/>
      <w:bookmarkEnd w:id="172"/>
      <w:bookmarkStart w:id="173" w:name="_Toc184310277"/>
      <w:bookmarkEnd w:id="173"/>
      <w:bookmarkStart w:id="174" w:name="_Toc184312094"/>
      <w:bookmarkEnd w:id="174"/>
      <w:bookmarkStart w:id="175" w:name="_Toc184312086"/>
      <w:bookmarkEnd w:id="175"/>
      <w:bookmarkStart w:id="176" w:name="_Toc184308049"/>
      <w:bookmarkEnd w:id="176"/>
      <w:bookmarkStart w:id="177" w:name="_Toc184313248"/>
      <w:bookmarkEnd w:id="177"/>
      <w:bookmarkStart w:id="178" w:name="_Toc184313249"/>
      <w:bookmarkEnd w:id="178"/>
      <w:bookmarkStart w:id="179" w:name="_Toc184314432"/>
      <w:bookmarkEnd w:id="179"/>
      <w:bookmarkStart w:id="180" w:name="_Toc184312117"/>
      <w:bookmarkEnd w:id="180"/>
      <w:bookmarkStart w:id="181" w:name="_Toc184310280"/>
      <w:bookmarkEnd w:id="181"/>
      <w:bookmarkStart w:id="182" w:name="_Toc184314425"/>
      <w:bookmarkEnd w:id="182"/>
      <w:bookmarkStart w:id="183" w:name="_Toc184308108"/>
      <w:bookmarkEnd w:id="183"/>
      <w:bookmarkStart w:id="184" w:name="_Toc184308064"/>
      <w:bookmarkEnd w:id="184"/>
      <w:bookmarkStart w:id="185" w:name="_Toc184310339"/>
      <w:bookmarkEnd w:id="185"/>
      <w:bookmarkStart w:id="186" w:name="_Toc184310340"/>
      <w:bookmarkEnd w:id="186"/>
      <w:bookmarkStart w:id="187" w:name="_Toc184312102"/>
      <w:bookmarkEnd w:id="187"/>
      <w:bookmarkStart w:id="188" w:name="_Toc184310291"/>
      <w:bookmarkEnd w:id="188"/>
      <w:bookmarkStart w:id="189" w:name="_Toc184312083"/>
      <w:bookmarkEnd w:id="189"/>
      <w:bookmarkStart w:id="190" w:name="_Toc184314482"/>
      <w:bookmarkEnd w:id="190"/>
      <w:bookmarkStart w:id="191" w:name="_Toc184312074"/>
      <w:bookmarkEnd w:id="191"/>
      <w:bookmarkStart w:id="192" w:name="_Toc184313254"/>
      <w:bookmarkEnd w:id="192"/>
      <w:bookmarkStart w:id="193" w:name="_Toc184308106"/>
      <w:bookmarkEnd w:id="193"/>
      <w:bookmarkStart w:id="194" w:name="_Toc184313256"/>
      <w:bookmarkEnd w:id="194"/>
      <w:bookmarkStart w:id="195" w:name="_Toc184314434"/>
      <w:bookmarkEnd w:id="195"/>
      <w:bookmarkStart w:id="196" w:name="_Toc184312132"/>
      <w:bookmarkEnd w:id="196"/>
      <w:bookmarkStart w:id="197" w:name="_Toc184314438"/>
      <w:bookmarkEnd w:id="197"/>
      <w:bookmarkStart w:id="198" w:name="_Toc184313268"/>
      <w:bookmarkEnd w:id="198"/>
      <w:bookmarkStart w:id="199" w:name="_Toc184308048"/>
      <w:bookmarkEnd w:id="199"/>
      <w:bookmarkStart w:id="200" w:name="_Toc184312092"/>
      <w:bookmarkEnd w:id="200"/>
      <w:bookmarkStart w:id="201" w:name="_Toc184310304"/>
      <w:bookmarkEnd w:id="201"/>
      <w:bookmarkStart w:id="202" w:name="_Toc184308053"/>
      <w:bookmarkEnd w:id="202"/>
      <w:bookmarkStart w:id="203" w:name="_Toc184310282"/>
      <w:bookmarkEnd w:id="203"/>
      <w:bookmarkStart w:id="204" w:name="_Toc184312111"/>
      <w:bookmarkEnd w:id="204"/>
      <w:bookmarkStart w:id="205" w:name="_Toc184310318"/>
      <w:bookmarkEnd w:id="205"/>
      <w:bookmarkStart w:id="206" w:name="_Toc184314480"/>
      <w:bookmarkEnd w:id="206"/>
      <w:bookmarkStart w:id="207" w:name="_Toc184314459"/>
      <w:bookmarkEnd w:id="207"/>
      <w:bookmarkStart w:id="208" w:name="_Toc184310283"/>
      <w:bookmarkEnd w:id="208"/>
      <w:bookmarkStart w:id="209" w:name="_Toc184313263"/>
      <w:bookmarkEnd w:id="209"/>
      <w:bookmarkStart w:id="210" w:name="_Toc184312106"/>
      <w:bookmarkEnd w:id="210"/>
      <w:bookmarkStart w:id="211" w:name="_Toc184313282"/>
      <w:bookmarkEnd w:id="211"/>
      <w:bookmarkStart w:id="212" w:name="_Toc184310287"/>
      <w:bookmarkEnd w:id="212"/>
      <w:bookmarkStart w:id="213" w:name="_Toc184314479"/>
      <w:bookmarkEnd w:id="213"/>
      <w:bookmarkStart w:id="214" w:name="_Toc184310299"/>
      <w:bookmarkEnd w:id="214"/>
      <w:bookmarkStart w:id="215" w:name="_Toc184308093"/>
      <w:bookmarkEnd w:id="215"/>
      <w:bookmarkStart w:id="216" w:name="_Toc184314450"/>
      <w:bookmarkEnd w:id="216"/>
      <w:bookmarkStart w:id="217" w:name="_Toc184310335"/>
      <w:bookmarkEnd w:id="217"/>
      <w:bookmarkStart w:id="218" w:name="_Toc184312071"/>
      <w:bookmarkEnd w:id="218"/>
      <w:bookmarkStart w:id="219" w:name="_Toc184310324"/>
      <w:bookmarkEnd w:id="219"/>
      <w:bookmarkStart w:id="220" w:name="_Toc184312115"/>
      <w:bookmarkEnd w:id="220"/>
      <w:bookmarkStart w:id="221" w:name="_Toc184310274"/>
      <w:bookmarkEnd w:id="221"/>
      <w:bookmarkStart w:id="222" w:name="_Toc184312084"/>
      <w:bookmarkEnd w:id="222"/>
      <w:bookmarkStart w:id="223" w:name="_Toc184314453"/>
      <w:bookmarkEnd w:id="223"/>
      <w:bookmarkStart w:id="224" w:name="_Toc184313253"/>
      <w:bookmarkEnd w:id="224"/>
      <w:bookmarkStart w:id="225" w:name="_Toc184313279"/>
      <w:bookmarkEnd w:id="225"/>
      <w:bookmarkStart w:id="226" w:name="_Toc184310302"/>
      <w:bookmarkEnd w:id="226"/>
      <w:bookmarkStart w:id="227" w:name="_Toc184310290"/>
      <w:bookmarkEnd w:id="227"/>
      <w:bookmarkStart w:id="228" w:name="_Toc184310279"/>
      <w:bookmarkEnd w:id="228"/>
      <w:bookmarkStart w:id="229" w:name="_Toc184312087"/>
      <w:bookmarkEnd w:id="229"/>
      <w:bookmarkStart w:id="230" w:name="_Toc184312079"/>
      <w:bookmarkEnd w:id="230"/>
      <w:bookmarkStart w:id="231" w:name="_Toc184308076"/>
      <w:bookmarkEnd w:id="231"/>
      <w:bookmarkStart w:id="232" w:name="_Toc184310309"/>
      <w:bookmarkEnd w:id="232"/>
      <w:bookmarkStart w:id="233" w:name="_Toc184314430"/>
      <w:bookmarkEnd w:id="233"/>
      <w:bookmarkStart w:id="234" w:name="_Toc184310288"/>
      <w:bookmarkEnd w:id="234"/>
      <w:bookmarkStart w:id="235" w:name="_Toc184310301"/>
      <w:bookmarkEnd w:id="235"/>
      <w:bookmarkStart w:id="236" w:name="_Toc184313278"/>
      <w:bookmarkEnd w:id="236"/>
      <w:bookmarkStart w:id="237" w:name="_Toc184312091"/>
      <w:bookmarkEnd w:id="237"/>
      <w:bookmarkStart w:id="238" w:name="_Toc184312138"/>
      <w:bookmarkEnd w:id="238"/>
      <w:bookmarkStart w:id="239" w:name="_Toc184313302"/>
      <w:bookmarkEnd w:id="239"/>
      <w:bookmarkStart w:id="240" w:name="_Toc184308073"/>
      <w:bookmarkEnd w:id="240"/>
      <w:bookmarkStart w:id="241" w:name="_Toc184308091"/>
      <w:bookmarkEnd w:id="241"/>
      <w:bookmarkStart w:id="242" w:name="_Toc184310285"/>
      <w:bookmarkEnd w:id="242"/>
      <w:bookmarkStart w:id="243" w:name="_Toc184314467"/>
      <w:bookmarkEnd w:id="243"/>
      <w:bookmarkStart w:id="244" w:name="_Toc184308036"/>
      <w:bookmarkEnd w:id="244"/>
      <w:bookmarkStart w:id="245" w:name="_Toc184312085"/>
      <w:bookmarkEnd w:id="245"/>
      <w:bookmarkStart w:id="246" w:name="_Toc184313280"/>
      <w:bookmarkEnd w:id="246"/>
      <w:bookmarkStart w:id="247" w:name="_Toc184314418"/>
      <w:bookmarkEnd w:id="247"/>
      <w:bookmarkStart w:id="248" w:name="_Toc184313257"/>
      <w:bookmarkEnd w:id="248"/>
      <w:bookmarkStart w:id="249" w:name="_Toc184312124"/>
      <w:bookmarkEnd w:id="249"/>
      <w:bookmarkStart w:id="250" w:name="_Toc184308072"/>
      <w:bookmarkEnd w:id="250"/>
      <w:bookmarkStart w:id="251" w:name="_Toc184314460"/>
      <w:bookmarkEnd w:id="251"/>
      <w:bookmarkStart w:id="252" w:name="_Toc184313304"/>
      <w:bookmarkEnd w:id="252"/>
      <w:bookmarkStart w:id="253" w:name="_Toc184313308"/>
      <w:bookmarkEnd w:id="253"/>
      <w:bookmarkStart w:id="254" w:name="_Toc184313250"/>
      <w:bookmarkEnd w:id="254"/>
      <w:bookmarkStart w:id="255" w:name="_Toc184312114"/>
      <w:bookmarkEnd w:id="255"/>
      <w:bookmarkStart w:id="256" w:name="_Toc184310275"/>
      <w:bookmarkEnd w:id="256"/>
      <w:bookmarkStart w:id="257" w:name="_Toc184314429"/>
      <w:bookmarkEnd w:id="257"/>
      <w:bookmarkStart w:id="258" w:name="_Toc184308082"/>
      <w:bookmarkEnd w:id="258"/>
      <w:bookmarkStart w:id="259" w:name="_Toc184313245"/>
      <w:bookmarkEnd w:id="259"/>
      <w:bookmarkStart w:id="260" w:name="_Toc184308071"/>
      <w:bookmarkEnd w:id="260"/>
      <w:bookmarkStart w:id="261" w:name="_Toc184314419"/>
      <w:bookmarkEnd w:id="261"/>
      <w:bookmarkStart w:id="262" w:name="_Toc184310338"/>
      <w:bookmarkEnd w:id="262"/>
      <w:bookmarkStart w:id="263" w:name="_Toc184314414"/>
      <w:bookmarkEnd w:id="263"/>
      <w:bookmarkStart w:id="264" w:name="_Toc184312116"/>
      <w:bookmarkEnd w:id="264"/>
      <w:bookmarkStart w:id="265" w:name="_Toc184310337"/>
      <w:bookmarkEnd w:id="265"/>
      <w:bookmarkStart w:id="266" w:name="_Toc184310331"/>
      <w:bookmarkEnd w:id="266"/>
      <w:bookmarkStart w:id="267" w:name="_Toc184314462"/>
      <w:bookmarkEnd w:id="267"/>
      <w:bookmarkStart w:id="268" w:name="_Toc184310314"/>
      <w:bookmarkEnd w:id="268"/>
      <w:bookmarkStart w:id="269" w:name="_Toc184308069"/>
      <w:bookmarkEnd w:id="269"/>
      <w:bookmarkStart w:id="270" w:name="_Toc184308038"/>
      <w:bookmarkEnd w:id="270"/>
      <w:bookmarkStart w:id="271" w:name="_Toc184308044"/>
      <w:bookmarkEnd w:id="271"/>
      <w:bookmarkStart w:id="272" w:name="_Toc184308103"/>
      <w:bookmarkEnd w:id="272"/>
      <w:bookmarkStart w:id="273" w:name="_Toc184308042"/>
      <w:bookmarkEnd w:id="273"/>
      <w:bookmarkStart w:id="274" w:name="_Toc184308089"/>
      <w:bookmarkEnd w:id="274"/>
      <w:bookmarkStart w:id="275" w:name="_Toc184312103"/>
      <w:bookmarkEnd w:id="275"/>
      <w:bookmarkStart w:id="276" w:name="_Toc184314426"/>
      <w:bookmarkEnd w:id="276"/>
      <w:bookmarkStart w:id="277" w:name="_Toc184314413"/>
      <w:bookmarkEnd w:id="277"/>
      <w:bookmarkStart w:id="278" w:name="_Toc184308080"/>
      <w:bookmarkEnd w:id="278"/>
      <w:bookmarkStart w:id="279" w:name="_Toc184313271"/>
      <w:bookmarkEnd w:id="279"/>
      <w:bookmarkStart w:id="280" w:name="_Toc184310319"/>
      <w:bookmarkEnd w:id="280"/>
      <w:bookmarkStart w:id="281" w:name="_Toc184308102"/>
      <w:bookmarkEnd w:id="281"/>
      <w:bookmarkStart w:id="282" w:name="_Toc184314439"/>
      <w:bookmarkEnd w:id="282"/>
      <w:bookmarkStart w:id="283" w:name="_Toc184308058"/>
      <w:bookmarkEnd w:id="283"/>
      <w:bookmarkStart w:id="284" w:name="_Toc184308077"/>
      <w:bookmarkEnd w:id="284"/>
      <w:bookmarkStart w:id="285" w:name="_Toc184308086"/>
      <w:bookmarkEnd w:id="285"/>
      <w:bookmarkStart w:id="286" w:name="_Toc184313240"/>
      <w:bookmarkEnd w:id="286"/>
      <w:bookmarkStart w:id="287" w:name="_Toc184313274"/>
      <w:bookmarkEnd w:id="287"/>
      <w:bookmarkStart w:id="288" w:name="_Toc184308050"/>
      <w:bookmarkEnd w:id="288"/>
      <w:bookmarkStart w:id="289" w:name="_Toc184313285"/>
      <w:bookmarkEnd w:id="289"/>
      <w:bookmarkStart w:id="290" w:name="_Toc184314436"/>
      <w:bookmarkEnd w:id="290"/>
      <w:bookmarkStart w:id="291" w:name="_Toc184314456"/>
      <w:bookmarkEnd w:id="291"/>
      <w:bookmarkStart w:id="292" w:name="_Toc184314466"/>
      <w:bookmarkEnd w:id="292"/>
      <w:bookmarkStart w:id="293" w:name="_Toc184313310"/>
      <w:bookmarkEnd w:id="293"/>
      <w:bookmarkStart w:id="294" w:name="_Toc184310330"/>
      <w:bookmarkEnd w:id="294"/>
      <w:bookmarkStart w:id="295" w:name="_Toc184312136"/>
      <w:bookmarkEnd w:id="295"/>
      <w:bookmarkStart w:id="296" w:name="_Toc184308098"/>
      <w:bookmarkEnd w:id="296"/>
      <w:bookmarkStart w:id="297" w:name="_Toc184308067"/>
      <w:bookmarkEnd w:id="297"/>
      <w:bookmarkStart w:id="298" w:name="_Toc184310333"/>
      <w:bookmarkEnd w:id="298"/>
      <w:bookmarkStart w:id="299" w:name="_Toc184312127"/>
      <w:bookmarkEnd w:id="299"/>
      <w:bookmarkStart w:id="300" w:name="_Toc184314411"/>
      <w:bookmarkEnd w:id="300"/>
      <w:bookmarkStart w:id="301" w:name="_Toc184308107"/>
      <w:bookmarkEnd w:id="301"/>
      <w:bookmarkStart w:id="302" w:name="_Toc184313261"/>
      <w:bookmarkEnd w:id="302"/>
      <w:bookmarkStart w:id="303" w:name="_Toc184313266"/>
      <w:bookmarkEnd w:id="303"/>
      <w:bookmarkStart w:id="304" w:name="_Toc184308056"/>
      <w:bookmarkEnd w:id="304"/>
      <w:bookmarkStart w:id="305" w:name="_Toc184308063"/>
      <w:bookmarkEnd w:id="305"/>
      <w:bookmarkStart w:id="306" w:name="_Toc184310322"/>
      <w:bookmarkEnd w:id="306"/>
      <w:bookmarkStart w:id="307" w:name="_Toc184314477"/>
      <w:bookmarkEnd w:id="307"/>
      <w:bookmarkStart w:id="308" w:name="_Toc184312100"/>
      <w:bookmarkEnd w:id="308"/>
      <w:bookmarkStart w:id="309" w:name="_Toc184312134"/>
      <w:bookmarkEnd w:id="309"/>
      <w:bookmarkStart w:id="310" w:name="_Toc184314457"/>
      <w:bookmarkEnd w:id="310"/>
      <w:bookmarkStart w:id="311" w:name="_Toc184312133"/>
      <w:bookmarkEnd w:id="311"/>
      <w:bookmarkStart w:id="312" w:name="_Toc184314481"/>
      <w:bookmarkEnd w:id="312"/>
      <w:bookmarkStart w:id="313" w:name="_Toc184314441"/>
      <w:bookmarkEnd w:id="313"/>
      <w:bookmarkStart w:id="314" w:name="_Toc184308057"/>
      <w:bookmarkEnd w:id="314"/>
      <w:bookmarkStart w:id="315" w:name="_Toc184312128"/>
      <w:bookmarkEnd w:id="315"/>
      <w:bookmarkStart w:id="316" w:name="_Toc184310307"/>
      <w:bookmarkEnd w:id="316"/>
      <w:bookmarkStart w:id="317" w:name="_Toc184314440"/>
      <w:bookmarkEnd w:id="317"/>
      <w:bookmarkStart w:id="318" w:name="_Toc184308100"/>
      <w:bookmarkEnd w:id="318"/>
      <w:bookmarkStart w:id="319" w:name="_Toc184314445"/>
      <w:bookmarkEnd w:id="319"/>
      <w:bookmarkStart w:id="320" w:name="_Toc184310293"/>
      <w:bookmarkEnd w:id="320"/>
      <w:bookmarkStart w:id="321" w:name="_Toc184312090"/>
      <w:bookmarkEnd w:id="321"/>
      <w:bookmarkStart w:id="322" w:name="_Toc184314474"/>
      <w:bookmarkEnd w:id="322"/>
      <w:bookmarkStart w:id="323" w:name="_Toc184313264"/>
      <w:bookmarkEnd w:id="323"/>
      <w:bookmarkStart w:id="324" w:name="_Toc184314465"/>
      <w:bookmarkEnd w:id="324"/>
      <w:bookmarkStart w:id="325" w:name="_Toc184313299"/>
      <w:bookmarkEnd w:id="325"/>
      <w:bookmarkStart w:id="326" w:name="_Toc184314433"/>
      <w:bookmarkEnd w:id="326"/>
      <w:bookmarkStart w:id="327" w:name="_Toc184312107"/>
      <w:bookmarkEnd w:id="327"/>
      <w:bookmarkStart w:id="328" w:name="_Toc184312104"/>
      <w:bookmarkEnd w:id="328"/>
      <w:bookmarkStart w:id="329" w:name="_Toc184308068"/>
      <w:bookmarkEnd w:id="329"/>
      <w:bookmarkStart w:id="330" w:name="_Toc184308096"/>
      <w:bookmarkEnd w:id="330"/>
      <w:bookmarkStart w:id="331" w:name="_Toc184312108"/>
      <w:bookmarkEnd w:id="331"/>
      <w:bookmarkStart w:id="332" w:name="_Toc184314469"/>
      <w:bookmarkEnd w:id="332"/>
      <w:bookmarkStart w:id="333" w:name="_Toc184310303"/>
      <w:bookmarkEnd w:id="333"/>
      <w:bookmarkStart w:id="334" w:name="_Toc184314461"/>
      <w:bookmarkEnd w:id="334"/>
      <w:bookmarkStart w:id="335" w:name="_Toc184310316"/>
      <w:bookmarkEnd w:id="335"/>
      <w:bookmarkStart w:id="336" w:name="_Toc184313246"/>
      <w:bookmarkEnd w:id="336"/>
      <w:bookmarkStart w:id="337" w:name="_Toc184312078"/>
      <w:bookmarkEnd w:id="337"/>
      <w:bookmarkStart w:id="338" w:name="_Toc184310273"/>
      <w:bookmarkEnd w:id="338"/>
      <w:bookmarkStart w:id="339" w:name="_Toc184308051"/>
      <w:bookmarkEnd w:id="339"/>
      <w:bookmarkStart w:id="340" w:name="_Toc184314420"/>
      <w:bookmarkEnd w:id="340"/>
      <w:bookmarkStart w:id="341" w:name="_Toc184310310"/>
      <w:bookmarkEnd w:id="341"/>
      <w:bookmarkStart w:id="342" w:name="_Toc184312125"/>
      <w:bookmarkEnd w:id="342"/>
      <w:bookmarkStart w:id="343" w:name="_Toc184313297"/>
      <w:bookmarkEnd w:id="343"/>
      <w:bookmarkStart w:id="344" w:name="_Toc184308078"/>
      <w:bookmarkEnd w:id="344"/>
      <w:bookmarkStart w:id="345" w:name="_Toc184308087"/>
      <w:bookmarkEnd w:id="345"/>
      <w:bookmarkStart w:id="346" w:name="_Toc184312068"/>
      <w:bookmarkEnd w:id="346"/>
      <w:bookmarkStart w:id="347" w:name="_Toc184310294"/>
      <w:bookmarkEnd w:id="347"/>
      <w:bookmarkStart w:id="348" w:name="_Toc184310317"/>
      <w:bookmarkEnd w:id="348"/>
      <w:bookmarkStart w:id="349" w:name="_Toc184312121"/>
      <w:bookmarkEnd w:id="349"/>
      <w:bookmarkStart w:id="350" w:name="_Toc184308090"/>
      <w:bookmarkEnd w:id="350"/>
      <w:bookmarkStart w:id="351" w:name="_Toc184313287"/>
      <w:bookmarkEnd w:id="351"/>
      <w:bookmarkStart w:id="352" w:name="_Toc184314454"/>
      <w:bookmarkEnd w:id="352"/>
      <w:bookmarkStart w:id="353" w:name="_Toc184312126"/>
      <w:bookmarkEnd w:id="353"/>
      <w:bookmarkStart w:id="354" w:name="_Toc184308055"/>
      <w:bookmarkEnd w:id="354"/>
      <w:bookmarkStart w:id="355" w:name="_Toc184312073"/>
      <w:bookmarkEnd w:id="355"/>
      <w:bookmarkStart w:id="356" w:name="_Toc184313258"/>
      <w:bookmarkEnd w:id="356"/>
      <w:bookmarkStart w:id="357" w:name="_Toc184314471"/>
      <w:bookmarkEnd w:id="357"/>
      <w:bookmarkStart w:id="358" w:name="_Toc184310281"/>
      <w:bookmarkEnd w:id="358"/>
      <w:bookmarkStart w:id="359" w:name="_Toc184310332"/>
      <w:bookmarkEnd w:id="359"/>
      <w:bookmarkStart w:id="360" w:name="_Toc184312110"/>
      <w:bookmarkEnd w:id="360"/>
      <w:bookmarkStart w:id="361" w:name="_Toc184314422"/>
      <w:bookmarkEnd w:id="361"/>
      <w:bookmarkStart w:id="362" w:name="_Toc184310284"/>
      <w:bookmarkEnd w:id="362"/>
      <w:bookmarkStart w:id="363" w:name="_Toc184312076"/>
      <w:bookmarkEnd w:id="363"/>
      <w:bookmarkStart w:id="364" w:name="_Toc184313269"/>
      <w:bookmarkEnd w:id="364"/>
      <w:bookmarkStart w:id="365" w:name="_Toc184313255"/>
      <w:bookmarkEnd w:id="365"/>
      <w:bookmarkStart w:id="366" w:name="_Toc184314437"/>
      <w:bookmarkEnd w:id="366"/>
      <w:bookmarkStart w:id="367" w:name="_Toc184312088"/>
      <w:bookmarkEnd w:id="367"/>
      <w:bookmarkStart w:id="368" w:name="_Toc184310306"/>
      <w:bookmarkEnd w:id="368"/>
      <w:bookmarkStart w:id="369" w:name="_Toc184310298"/>
      <w:bookmarkEnd w:id="369"/>
      <w:bookmarkStart w:id="370" w:name="_Toc184310329"/>
      <w:bookmarkEnd w:id="370"/>
      <w:bookmarkStart w:id="371" w:name="_Toc184308081"/>
      <w:bookmarkEnd w:id="371"/>
      <w:bookmarkStart w:id="372" w:name="_Toc184313309"/>
      <w:bookmarkEnd w:id="372"/>
      <w:bookmarkStart w:id="373" w:name="_Toc184308060"/>
      <w:bookmarkEnd w:id="373"/>
      <w:bookmarkStart w:id="374" w:name="_Toc184314447"/>
      <w:bookmarkEnd w:id="374"/>
      <w:bookmarkStart w:id="375" w:name="_Toc184312118"/>
      <w:bookmarkEnd w:id="375"/>
      <w:bookmarkStart w:id="376" w:name="_Toc184314421"/>
      <w:bookmarkEnd w:id="376"/>
      <w:bookmarkStart w:id="377" w:name="_Toc184312070"/>
      <w:bookmarkEnd w:id="377"/>
      <w:bookmarkStart w:id="378" w:name="_Toc184310343"/>
      <w:bookmarkEnd w:id="378"/>
      <w:bookmarkStart w:id="379" w:name="_Toc184314427"/>
      <w:bookmarkEnd w:id="379"/>
      <w:bookmarkStart w:id="380" w:name="_Toc184314475"/>
      <w:bookmarkEnd w:id="380"/>
      <w:bookmarkStart w:id="381" w:name="_Toc184314452"/>
      <w:bookmarkEnd w:id="381"/>
      <w:r>
        <w:rPr>
          <w:rFonts w:hint="eastAsia" w:ascii="宋体" w:hAnsi="宋体" w:eastAsia="宋体" w:cs="宋体"/>
          <w:b/>
          <w:color w:val="000000" w:themeColor="text1"/>
          <w:sz w:val="36"/>
          <w:szCs w:val="36"/>
          <w:highlight w:val="none"/>
          <w14:textFill>
            <w14:solidFill>
              <w14:schemeClr w14:val="tx1"/>
            </w14:solidFill>
          </w14:textFill>
        </w:rPr>
        <w:t>评标办法</w:t>
      </w:r>
    </w:p>
    <w:p>
      <w:pPr>
        <w:pStyle w:val="4"/>
        <w:numPr>
          <w:ilvl w:val="0"/>
          <w:numId w:val="0"/>
        </w:numPr>
        <w:tabs>
          <w:tab w:val="clear" w:pos="900"/>
        </w:tabs>
        <w:spacing w:before="0" w:after="0" w:line="240" w:lineRule="auto"/>
        <w:ind w:left="180" w:leftChars="0"/>
        <w:jc w:val="center"/>
        <w:rPr>
          <w:rStyle w:val="967"/>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32"/>
          <w:szCs w:val="20"/>
          <w:highlight w:val="none"/>
          <w14:textFill>
            <w14:solidFill>
              <w14:schemeClr w14:val="tx1"/>
            </w14:solidFill>
          </w14:textFill>
        </w:rPr>
        <w:t>评标办法前附表</w:t>
      </w:r>
    </w:p>
    <w:p>
      <w:pPr>
        <w:pStyle w:val="4"/>
        <w:numPr>
          <w:ilvl w:val="0"/>
          <w:numId w:val="0"/>
        </w:numPr>
        <w:tabs>
          <w:tab w:val="clear" w:pos="900"/>
        </w:tabs>
        <w:spacing w:before="0" w:after="0" w:line="240" w:lineRule="auto"/>
        <w:ind w:left="180" w:leftChars="0"/>
        <w:rPr>
          <w:rFonts w:hint="eastAsia" w:ascii="宋体" w:hAnsi="宋体" w:eastAsia="宋体" w:cs="宋体"/>
          <w:b/>
          <w:bCs/>
          <w:color w:val="000000" w:themeColor="text1"/>
          <w:sz w:val="24"/>
          <w:szCs w:val="24"/>
          <w:highlight w:val="none"/>
          <w14:textFill>
            <w14:solidFill>
              <w14:schemeClr w14:val="tx1"/>
            </w14:solidFill>
          </w14:textFill>
        </w:rPr>
      </w:pPr>
      <w:r>
        <w:rPr>
          <w:rStyle w:val="967"/>
          <w:rFonts w:hint="eastAsia" w:ascii="宋体" w:hAnsi="宋体" w:eastAsia="宋体" w:cs="宋体"/>
          <w:b/>
          <w:bCs/>
          <w:color w:val="000000" w:themeColor="text1"/>
          <w:sz w:val="24"/>
          <w:szCs w:val="24"/>
          <w:highlight w:val="none"/>
          <w:lang w:val="en-US" w:eastAsia="zh-CN"/>
          <w14:textFill>
            <w14:solidFill>
              <w14:schemeClr w14:val="tx1"/>
            </w14:solidFill>
          </w14:textFill>
        </w:rPr>
        <w:t>1、</w:t>
      </w:r>
      <w:r>
        <w:rPr>
          <w:rStyle w:val="967"/>
          <w:rFonts w:hint="eastAsia" w:ascii="宋体" w:hAnsi="宋体" w:eastAsia="宋体" w:cs="宋体"/>
          <w:b/>
          <w:bCs/>
          <w:color w:val="000000" w:themeColor="text1"/>
          <w:sz w:val="24"/>
          <w:szCs w:val="24"/>
          <w:highlight w:val="none"/>
          <w14:textFill>
            <w14:solidFill>
              <w14:schemeClr w14:val="tx1"/>
            </w14:solidFill>
          </w14:textFill>
        </w:rPr>
        <w:t>商务资信（</w:t>
      </w:r>
      <w:r>
        <w:rPr>
          <w:rStyle w:val="967"/>
          <w:rFonts w:hint="eastAsia" w:ascii="宋体" w:hAnsi="宋体" w:eastAsia="宋体" w:cs="宋体"/>
          <w:b/>
          <w:bCs/>
          <w:color w:val="000000" w:themeColor="text1"/>
          <w:sz w:val="24"/>
          <w:szCs w:val="24"/>
          <w:highlight w:val="none"/>
          <w:lang w:val="en-US" w:eastAsia="zh-CN"/>
          <w14:textFill>
            <w14:solidFill>
              <w14:schemeClr w14:val="tx1"/>
            </w14:solidFill>
          </w14:textFill>
        </w:rPr>
        <w:t>16</w:t>
      </w:r>
      <w:r>
        <w:rPr>
          <w:rStyle w:val="967"/>
          <w:rFonts w:hint="eastAsia" w:ascii="宋体" w:hAnsi="宋体" w:eastAsia="宋体" w:cs="宋体"/>
          <w:b/>
          <w:bCs/>
          <w:color w:val="000000" w:themeColor="text1"/>
          <w:sz w:val="24"/>
          <w:szCs w:val="24"/>
          <w:highlight w:val="none"/>
          <w14:textFill>
            <w14:solidFill>
              <w14:schemeClr w14:val="tx1"/>
            </w14:solidFill>
          </w14:textFill>
        </w:rPr>
        <w:t>分）</w:t>
      </w:r>
    </w:p>
    <w:tbl>
      <w:tblPr>
        <w:tblStyle w:val="62"/>
        <w:tblW w:w="9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900"/>
        <w:gridCol w:w="5861"/>
        <w:gridCol w:w="1107"/>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4" w:hRule="atLeast"/>
          <w:jc w:val="center"/>
        </w:trPr>
        <w:tc>
          <w:tcPr>
            <w:tcW w:w="640" w:type="dxa"/>
            <w:noWrap w:val="0"/>
            <w:vAlign w:val="center"/>
          </w:tcPr>
          <w:p>
            <w:pPr>
              <w:widowControl/>
              <w:ind w:firstLine="0" w:firstLineChars="0"/>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序号</w:t>
            </w:r>
          </w:p>
        </w:tc>
        <w:tc>
          <w:tcPr>
            <w:tcW w:w="900" w:type="dxa"/>
            <w:noWrap w:val="0"/>
            <w:vAlign w:val="center"/>
          </w:tcPr>
          <w:p>
            <w:pPr>
              <w:widowControl/>
              <w:ind w:firstLine="0" w:firstLineChars="0"/>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评分因素</w:t>
            </w:r>
          </w:p>
        </w:tc>
        <w:tc>
          <w:tcPr>
            <w:tcW w:w="5861" w:type="dxa"/>
            <w:noWrap w:val="0"/>
            <w:vAlign w:val="center"/>
          </w:tcPr>
          <w:p>
            <w:pPr>
              <w:widowControl/>
              <w:ind w:firstLine="0" w:firstLineChars="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评分内容和标准</w:t>
            </w:r>
          </w:p>
        </w:tc>
        <w:tc>
          <w:tcPr>
            <w:tcW w:w="1107" w:type="dxa"/>
            <w:noWrap w:val="0"/>
            <w:vAlign w:val="center"/>
          </w:tcPr>
          <w:p>
            <w:pPr>
              <w:widowControl/>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分值区间</w:t>
            </w:r>
          </w:p>
        </w:tc>
        <w:tc>
          <w:tcPr>
            <w:tcW w:w="1066" w:type="dxa"/>
            <w:noWrap w:val="0"/>
            <w:vAlign w:val="center"/>
          </w:tcPr>
          <w:p>
            <w:pPr>
              <w:widowControl/>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主</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客</w:t>
            </w:r>
          </w:p>
          <w:p>
            <w:pPr>
              <w:widowControl/>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0" w:type="dxa"/>
            <w:noWrap w:val="0"/>
            <w:vAlign w:val="center"/>
          </w:tcPr>
          <w:p>
            <w:pPr>
              <w:widowControl/>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900" w:type="dxa"/>
            <w:noWrap w:val="0"/>
            <w:vAlign w:val="center"/>
          </w:tcPr>
          <w:p>
            <w:pPr>
              <w:widowControl/>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投标人类似项目业绩</w:t>
            </w:r>
          </w:p>
        </w:tc>
        <w:tc>
          <w:tcPr>
            <w:tcW w:w="5861" w:type="dxa"/>
            <w:noWrap w:val="0"/>
            <w:vAlign w:val="center"/>
          </w:tcPr>
          <w:p>
            <w:pPr>
              <w:numPr>
                <w:ilvl w:val="0"/>
                <w:numId w:val="0"/>
              </w:numP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1.投标人2016年至今</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具有相关</w:t>
            </w:r>
            <w:r>
              <w:rPr>
                <w:rFonts w:hint="eastAsia" w:ascii="宋体" w:hAnsi="宋体" w:eastAsia="宋体" w:cs="宋体"/>
                <w:color w:val="000000" w:themeColor="text1"/>
                <w:sz w:val="24"/>
                <w:highlight w:val="none"/>
                <w14:textFill>
                  <w14:solidFill>
                    <w14:schemeClr w14:val="tx1"/>
                  </w14:solidFill>
                </w14:textFill>
              </w:rPr>
              <w:t>体育场馆、体育综合体项目</w:t>
            </w:r>
            <w:r>
              <w:rPr>
                <w:rFonts w:hint="eastAsia" w:ascii="宋体" w:hAnsi="宋体" w:eastAsia="宋体" w:cs="宋体"/>
                <w:color w:val="000000" w:themeColor="text1"/>
                <w:sz w:val="24"/>
                <w:highlight w:val="none"/>
                <w:lang w:val="en-US" w:eastAsia="zh-CN"/>
                <w14:textFill>
                  <w14:solidFill>
                    <w14:schemeClr w14:val="tx1"/>
                  </w14:solidFill>
                </w14:textFill>
              </w:rPr>
              <w:t>技术咨询服务的业绩，每1个得2分，最高得4分。</w:t>
            </w:r>
          </w:p>
          <w:p>
            <w:pPr>
              <w:numPr>
                <w:ilvl w:val="0"/>
                <w:numId w:val="0"/>
              </w:numPr>
              <w:spacing w:line="240" w:lineRule="auto"/>
              <w:ind w:leftChars="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2.投标人2016年至今</w:t>
            </w:r>
            <w:r>
              <w:rPr>
                <w:rFonts w:hint="eastAsia" w:ascii="宋体" w:hAnsi="宋体" w:eastAsia="宋体" w:cs="宋体"/>
                <w:color w:val="000000" w:themeColor="text1"/>
                <w:sz w:val="24"/>
                <w:highlight w:val="none"/>
                <w14:textFill>
                  <w14:solidFill>
                    <w14:schemeClr w14:val="tx1"/>
                  </w14:solidFill>
                </w14:textFill>
              </w:rPr>
              <w:t>，具有与政府机构或国企单位合作的</w:t>
            </w:r>
            <w:r>
              <w:rPr>
                <w:rFonts w:hint="eastAsia" w:ascii="宋体" w:hAnsi="宋体" w:eastAsia="宋体" w:cs="宋体"/>
                <w:color w:val="000000" w:themeColor="text1"/>
                <w:sz w:val="24"/>
                <w:highlight w:val="none"/>
                <w:lang w:val="en-US" w:eastAsia="zh-CN"/>
                <w14:textFill>
                  <w14:solidFill>
                    <w14:schemeClr w14:val="tx1"/>
                  </w14:solidFill>
                </w14:textFill>
              </w:rPr>
              <w:t>经营建筑面积</w:t>
            </w:r>
            <w:r>
              <w:rPr>
                <w:rFonts w:hint="eastAsia" w:ascii="宋体" w:hAnsi="宋体" w:eastAsia="宋体" w:cs="宋体"/>
                <w:color w:val="000000" w:themeColor="text1"/>
                <w:sz w:val="24"/>
                <w:highlight w:val="none"/>
                <w14:textFill>
                  <w14:solidFill>
                    <w14:schemeClr w14:val="tx1"/>
                  </w14:solidFill>
                </w14:textFill>
              </w:rPr>
              <w:t>超过</w:t>
            </w:r>
            <w:r>
              <w:rPr>
                <w:rFonts w:hint="eastAsia" w:ascii="宋体" w:hAnsi="宋体" w:eastAsia="宋体" w:cs="宋体"/>
                <w:color w:val="000000" w:themeColor="text1"/>
                <w:sz w:val="24"/>
                <w:highlight w:val="none"/>
                <w:lang w:val="en-US" w:eastAsia="zh-CN"/>
                <w14:textFill>
                  <w14:solidFill>
                    <w14:schemeClr w14:val="tx1"/>
                  </w14:solidFill>
                </w14:textFill>
              </w:rPr>
              <w:t>10</w:t>
            </w:r>
            <w:r>
              <w:rPr>
                <w:rFonts w:hint="eastAsia" w:ascii="宋体" w:hAnsi="宋体" w:eastAsia="宋体" w:cs="宋体"/>
                <w:color w:val="000000" w:themeColor="text1"/>
                <w:sz w:val="24"/>
                <w:highlight w:val="none"/>
                <w14:textFill>
                  <w14:solidFill>
                    <w14:schemeClr w14:val="tx1"/>
                  </w14:solidFill>
                </w14:textFill>
              </w:rPr>
              <w:t>000平方米以上的体育场馆、体育综合体运营管理项目</w:t>
            </w:r>
            <w:r>
              <w:rPr>
                <w:rFonts w:hint="eastAsia" w:ascii="宋体" w:hAnsi="宋体" w:eastAsia="宋体" w:cs="宋体"/>
                <w:color w:val="000000" w:themeColor="text1"/>
                <w:sz w:val="24"/>
                <w:highlight w:val="none"/>
                <w:lang w:val="en-US" w:eastAsia="zh-CN"/>
                <w14:textFill>
                  <w14:solidFill>
                    <w14:schemeClr w14:val="tx1"/>
                  </w14:solidFill>
                </w14:textFill>
              </w:rPr>
              <w:t>的业绩</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每1个得2分，本项最高得6分</w:t>
            </w:r>
            <w:r>
              <w:rPr>
                <w:rFonts w:hint="eastAsia" w:ascii="宋体" w:hAnsi="宋体" w:eastAsia="宋体" w:cs="宋体"/>
                <w:color w:val="000000" w:themeColor="text1"/>
                <w:sz w:val="24"/>
                <w:highlight w:val="none"/>
                <w14:textFill>
                  <w14:solidFill>
                    <w14:schemeClr w14:val="tx1"/>
                  </w14:solidFill>
                </w14:textFill>
              </w:rPr>
              <w:t>；</w:t>
            </w:r>
          </w:p>
          <w:p>
            <w:pPr>
              <w:numPr>
                <w:ilvl w:val="0"/>
                <w:numId w:val="0"/>
              </w:num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（以上均需提供相关项目合同或协议书复印件）</w:t>
            </w:r>
          </w:p>
        </w:tc>
        <w:tc>
          <w:tcPr>
            <w:tcW w:w="1107" w:type="dxa"/>
            <w:noWrap w:val="0"/>
            <w:vAlign w:val="center"/>
          </w:tcPr>
          <w:p>
            <w:pPr>
              <w:widowControl/>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0-10</w:t>
            </w:r>
            <w:r>
              <w:rPr>
                <w:rFonts w:hint="eastAsia" w:ascii="宋体" w:hAnsi="宋体" w:eastAsia="宋体" w:cs="宋体"/>
                <w:color w:val="000000" w:themeColor="text1"/>
                <w:sz w:val="24"/>
                <w:highlight w:val="none"/>
                <w14:textFill>
                  <w14:solidFill>
                    <w14:schemeClr w14:val="tx1"/>
                  </w14:solidFill>
                </w14:textFill>
              </w:rPr>
              <w:t>分</w:t>
            </w:r>
          </w:p>
        </w:tc>
        <w:tc>
          <w:tcPr>
            <w:tcW w:w="1066" w:type="dxa"/>
            <w:noWrap w:val="0"/>
            <w:vAlign w:val="center"/>
          </w:tcPr>
          <w:p>
            <w:pPr>
              <w:widowControl/>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640" w:type="dxa"/>
            <w:noWrap w:val="0"/>
            <w:vAlign w:val="center"/>
          </w:tcPr>
          <w:p>
            <w:pPr>
              <w:pStyle w:val="4"/>
              <w:numPr>
                <w:ilvl w:val="0"/>
                <w:numId w:val="0"/>
              </w:numPr>
              <w:tabs>
                <w:tab w:val="clear" w:pos="900"/>
              </w:tabs>
              <w:spacing w:before="0" w:after="0" w:line="240" w:lineRule="auto"/>
              <w:ind w:leftChars="0"/>
              <w:jc w:val="center"/>
              <w:rPr>
                <w:rStyle w:val="967"/>
                <w:rFonts w:hint="eastAsia" w:ascii="宋体" w:hAnsi="宋体" w:eastAsia="宋体" w:cs="宋体"/>
                <w:b w:val="0"/>
                <w:bCs w:val="0"/>
                <w:color w:val="000000" w:themeColor="text1"/>
                <w:sz w:val="24"/>
                <w:szCs w:val="24"/>
                <w:highlight w:val="none"/>
                <w14:textFill>
                  <w14:solidFill>
                    <w14:schemeClr w14:val="tx1"/>
                  </w14:solidFill>
                </w14:textFill>
              </w:rPr>
            </w:pPr>
            <w:r>
              <w:rPr>
                <w:rStyle w:val="967"/>
                <w:rFonts w:hint="eastAsia" w:ascii="宋体" w:hAnsi="宋体" w:eastAsia="宋体" w:cs="宋体"/>
                <w:b w:val="0"/>
                <w:bCs w:val="0"/>
                <w:color w:val="000000" w:themeColor="text1"/>
                <w:sz w:val="24"/>
                <w:szCs w:val="24"/>
                <w:highlight w:val="none"/>
                <w:lang w:val="en-US"/>
                <w14:textFill>
                  <w14:solidFill>
                    <w14:schemeClr w14:val="tx1"/>
                  </w14:solidFill>
                </w14:textFill>
              </w:rPr>
              <w:t>2</w:t>
            </w:r>
          </w:p>
        </w:tc>
        <w:tc>
          <w:tcPr>
            <w:tcW w:w="900" w:type="dxa"/>
            <w:noWrap w:val="0"/>
            <w:vAlign w:val="center"/>
          </w:tcPr>
          <w:p>
            <w:pPr>
              <w:pStyle w:val="4"/>
              <w:numPr>
                <w:ilvl w:val="0"/>
                <w:numId w:val="0"/>
              </w:numPr>
              <w:tabs>
                <w:tab w:val="clear" w:pos="900"/>
              </w:tabs>
              <w:spacing w:before="0" w:after="0" w:line="240" w:lineRule="auto"/>
              <w:ind w:leftChars="0"/>
              <w:jc w:val="center"/>
              <w:rPr>
                <w:rFonts w:hint="eastAsia" w:ascii="宋体" w:hAnsi="宋体" w:eastAsia="宋体" w:cs="宋体"/>
                <w:b w:val="0"/>
                <w:bCs w:val="0"/>
                <w:color w:val="000000" w:themeColor="text1"/>
                <w:sz w:val="24"/>
                <w:szCs w:val="24"/>
                <w:highlight w:val="none"/>
                <w:lang w:val="en-US"/>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投标人荣誉</w:t>
            </w:r>
          </w:p>
        </w:tc>
        <w:tc>
          <w:tcPr>
            <w:tcW w:w="5861" w:type="dxa"/>
            <w:noWrap w:val="0"/>
            <w:vAlign w:val="center"/>
          </w:tcPr>
          <w:p>
            <w:pPr>
              <w:numPr>
                <w:ilvl w:val="0"/>
                <w:numId w:val="0"/>
              </w:numPr>
              <w:spacing w:line="24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获得国家级</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国家体育总局或副部级单位以上</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颁布的体育产业</w:t>
            </w:r>
            <w:r>
              <w:rPr>
                <w:rFonts w:hint="eastAsia" w:ascii="宋体" w:hAnsi="宋体" w:eastAsia="宋体" w:cs="宋体"/>
                <w:color w:val="000000" w:themeColor="text1"/>
                <w:sz w:val="24"/>
                <w:szCs w:val="24"/>
                <w:highlight w:val="none"/>
                <w:lang w:val="en-US" w:eastAsia="zh-CN"/>
                <w14:textFill>
                  <w14:solidFill>
                    <w14:schemeClr w14:val="tx1"/>
                  </w14:solidFill>
                </w14:textFill>
              </w:rPr>
              <w:t>类</w:t>
            </w:r>
            <w:r>
              <w:rPr>
                <w:rFonts w:hint="eastAsia" w:ascii="宋体" w:hAnsi="宋体" w:eastAsia="宋体" w:cs="宋体"/>
                <w:color w:val="000000" w:themeColor="text1"/>
                <w:sz w:val="24"/>
                <w:szCs w:val="24"/>
                <w:highlight w:val="none"/>
                <w14:textFill>
                  <w14:solidFill>
                    <w14:schemeClr w14:val="tx1"/>
                  </w14:solidFill>
                </w14:textFill>
              </w:rPr>
              <w:t>荣誉</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每提供1个得2分，本项最高得4分</w:t>
            </w:r>
            <w:r>
              <w:rPr>
                <w:rFonts w:hint="eastAsia" w:ascii="宋体" w:hAnsi="宋体" w:eastAsia="宋体" w:cs="宋体"/>
                <w:color w:val="000000" w:themeColor="text1"/>
                <w:sz w:val="24"/>
                <w:szCs w:val="24"/>
                <w:highlight w:val="none"/>
                <w14:textFill>
                  <w14:solidFill>
                    <w14:schemeClr w14:val="tx1"/>
                  </w14:solidFill>
                </w14:textFill>
              </w:rPr>
              <w:t>；</w:t>
            </w:r>
          </w:p>
          <w:p>
            <w:pPr>
              <w:numPr>
                <w:ilvl w:val="0"/>
                <w:numId w:val="0"/>
              </w:numPr>
              <w:spacing w:line="24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获得省</w:t>
            </w:r>
            <w:r>
              <w:rPr>
                <w:rFonts w:hint="eastAsia" w:ascii="宋体" w:hAnsi="宋体" w:eastAsia="宋体" w:cs="宋体"/>
                <w:color w:val="000000" w:themeColor="text1"/>
                <w:sz w:val="24"/>
                <w:szCs w:val="24"/>
                <w:highlight w:val="none"/>
                <w:lang w:val="en-US" w:eastAsia="zh-CN"/>
                <w14:textFill>
                  <w14:solidFill>
                    <w14:schemeClr w14:val="tx1"/>
                  </w14:solidFill>
                </w14:textFill>
              </w:rPr>
              <w:t>市</w:t>
            </w:r>
            <w:r>
              <w:rPr>
                <w:rFonts w:hint="eastAsia" w:ascii="宋体" w:hAnsi="宋体" w:eastAsia="宋体" w:cs="宋体"/>
                <w:color w:val="000000" w:themeColor="text1"/>
                <w:sz w:val="24"/>
                <w:szCs w:val="24"/>
                <w:highlight w:val="none"/>
                <w14:textFill>
                  <w14:solidFill>
                    <w14:schemeClr w14:val="tx1"/>
                  </w14:solidFill>
                </w14:textFill>
              </w:rPr>
              <w:t>级</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省</w:t>
            </w:r>
            <w:r>
              <w:rPr>
                <w:rFonts w:hint="eastAsia" w:ascii="宋体" w:hAnsi="宋体" w:eastAsia="宋体" w:cs="宋体"/>
                <w:color w:val="000000" w:themeColor="text1"/>
                <w:sz w:val="24"/>
                <w:szCs w:val="24"/>
                <w:highlight w:val="none"/>
                <w:lang w:val="en-US" w:eastAsia="zh-CN"/>
                <w14:textFill>
                  <w14:solidFill>
                    <w14:schemeClr w14:val="tx1"/>
                  </w14:solidFill>
                </w14:textFill>
              </w:rPr>
              <w:t>市级</w:t>
            </w:r>
            <w:r>
              <w:rPr>
                <w:rFonts w:hint="eastAsia" w:ascii="宋体" w:hAnsi="宋体" w:eastAsia="宋体" w:cs="宋体"/>
                <w:color w:val="000000" w:themeColor="text1"/>
                <w:sz w:val="24"/>
                <w:szCs w:val="24"/>
                <w:highlight w:val="none"/>
                <w14:textFill>
                  <w14:solidFill>
                    <w14:schemeClr w14:val="tx1"/>
                  </w14:solidFill>
                </w14:textFill>
              </w:rPr>
              <w:t>体育局</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颁布的体育产业</w:t>
            </w:r>
            <w:r>
              <w:rPr>
                <w:rFonts w:hint="eastAsia" w:ascii="宋体" w:hAnsi="宋体" w:eastAsia="宋体" w:cs="宋体"/>
                <w:color w:val="000000" w:themeColor="text1"/>
                <w:sz w:val="24"/>
                <w:szCs w:val="24"/>
                <w:highlight w:val="none"/>
                <w:lang w:val="en-US" w:eastAsia="zh-CN"/>
                <w14:textFill>
                  <w14:solidFill>
                    <w14:schemeClr w14:val="tx1"/>
                  </w14:solidFill>
                </w14:textFill>
              </w:rPr>
              <w:t>类</w:t>
            </w:r>
            <w:r>
              <w:rPr>
                <w:rFonts w:hint="eastAsia" w:ascii="宋体" w:hAnsi="宋体" w:eastAsia="宋体" w:cs="宋体"/>
                <w:color w:val="000000" w:themeColor="text1"/>
                <w:sz w:val="24"/>
                <w:szCs w:val="24"/>
                <w:highlight w:val="none"/>
                <w14:textFill>
                  <w14:solidFill>
                    <w14:schemeClr w14:val="tx1"/>
                  </w14:solidFill>
                </w14:textFill>
              </w:rPr>
              <w:t>荣誉，</w:t>
            </w:r>
            <w:r>
              <w:rPr>
                <w:rFonts w:hint="eastAsia" w:ascii="宋体" w:hAnsi="宋体" w:eastAsia="宋体" w:cs="宋体"/>
                <w:color w:val="000000" w:themeColor="text1"/>
                <w:sz w:val="24"/>
                <w:szCs w:val="24"/>
                <w:highlight w:val="none"/>
                <w:lang w:val="en-US" w:eastAsia="zh-CN"/>
                <w14:textFill>
                  <w14:solidFill>
                    <w14:schemeClr w14:val="tx1"/>
                  </w14:solidFill>
                </w14:textFill>
              </w:rPr>
              <w:t>每提供1个得1分，本项最高得2分</w:t>
            </w:r>
            <w:r>
              <w:rPr>
                <w:rFonts w:hint="eastAsia" w:ascii="宋体" w:hAnsi="宋体" w:eastAsia="宋体" w:cs="宋体"/>
                <w:color w:val="000000" w:themeColor="text1"/>
                <w:sz w:val="24"/>
                <w:szCs w:val="24"/>
                <w:highlight w:val="none"/>
                <w14:textFill>
                  <w14:solidFill>
                    <w14:schemeClr w14:val="tx1"/>
                  </w14:solidFill>
                </w14:textFill>
              </w:rPr>
              <w:t>。</w:t>
            </w:r>
          </w:p>
          <w:p>
            <w:pPr>
              <w:numPr>
                <w:ilvl w:val="0"/>
                <w:numId w:val="0"/>
              </w:numPr>
              <w:spacing w:line="240" w:lineRule="auto"/>
              <w:ind w:left="0" w:leftChars="0" w:firstLine="0" w:firstLineChars="0"/>
              <w:rPr>
                <w:rStyle w:val="967"/>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（需提供相关佐证材料）</w:t>
            </w:r>
          </w:p>
        </w:tc>
        <w:tc>
          <w:tcPr>
            <w:tcW w:w="1107" w:type="dxa"/>
            <w:noWrap w:val="0"/>
            <w:vAlign w:val="center"/>
          </w:tcPr>
          <w:p>
            <w:pPr>
              <w:pStyle w:val="4"/>
              <w:numPr>
                <w:ilvl w:val="0"/>
                <w:numId w:val="0"/>
              </w:numPr>
              <w:spacing w:before="0" w:after="0" w:line="240" w:lineRule="auto"/>
              <w:ind w:left="0" w:firstLine="0"/>
              <w:jc w:val="center"/>
              <w:rPr>
                <w:rStyle w:val="967"/>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Style w:val="967"/>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0-6分</w:t>
            </w:r>
          </w:p>
        </w:tc>
        <w:tc>
          <w:tcPr>
            <w:tcW w:w="1066" w:type="dxa"/>
            <w:noWrap w:val="0"/>
            <w:vAlign w:val="center"/>
          </w:tcPr>
          <w:p>
            <w:pPr>
              <w:pStyle w:val="4"/>
              <w:numPr>
                <w:ilvl w:val="0"/>
                <w:numId w:val="0"/>
              </w:numPr>
              <w:spacing w:before="0" w:after="0" w:line="240" w:lineRule="auto"/>
              <w:ind w:left="0" w:firstLine="0"/>
              <w:jc w:val="center"/>
              <w:rPr>
                <w:rStyle w:val="967"/>
                <w:rFonts w:hint="eastAsia" w:ascii="宋体" w:hAnsi="宋体" w:eastAsia="宋体" w:cs="宋体"/>
                <w:b w:val="0"/>
                <w:bCs w:val="0"/>
                <w:color w:val="000000" w:themeColor="text1"/>
                <w:sz w:val="24"/>
                <w:szCs w:val="24"/>
                <w:highlight w:val="none"/>
                <w14:textFill>
                  <w14:solidFill>
                    <w14:schemeClr w14:val="tx1"/>
                  </w14:solidFill>
                </w14:textFill>
              </w:rPr>
            </w:pPr>
            <w:r>
              <w:rPr>
                <w:rStyle w:val="967"/>
                <w:rFonts w:hint="eastAsia" w:ascii="宋体" w:hAnsi="宋体" w:eastAsia="宋体" w:cs="宋体"/>
                <w:b w:val="0"/>
                <w:bCs w:val="0"/>
                <w:color w:val="000000" w:themeColor="text1"/>
                <w:sz w:val="24"/>
                <w:szCs w:val="24"/>
                <w:highlight w:val="none"/>
                <w14:textFill>
                  <w14:solidFill>
                    <w14:schemeClr w14:val="tx1"/>
                  </w14:solidFill>
                </w14:textFill>
              </w:rPr>
              <w:t>客观分</w:t>
            </w:r>
          </w:p>
        </w:tc>
      </w:tr>
    </w:tbl>
    <w:p>
      <w:pPr>
        <w:widowControl/>
        <w:spacing w:line="240" w:lineRule="auto"/>
        <w:rPr>
          <w:rFonts w:hint="eastAsia" w:ascii="宋体" w:hAnsi="宋体" w:eastAsia="宋体" w:cs="宋体"/>
          <w:b/>
          <w:bCs/>
          <w:color w:val="000000" w:themeColor="text1"/>
          <w:sz w:val="24"/>
          <w:highlight w:val="none"/>
          <w14:textFill>
            <w14:solidFill>
              <w14:schemeClr w14:val="tx1"/>
            </w14:solidFill>
          </w14:textFill>
        </w:rPr>
      </w:pPr>
    </w:p>
    <w:p>
      <w:pPr>
        <w:widowControl/>
        <w:spacing w:line="240" w:lineRule="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2</w:t>
      </w:r>
      <w:r>
        <w:rPr>
          <w:rFonts w:hint="eastAsia" w:ascii="宋体" w:hAnsi="宋体" w:eastAsia="宋体" w:cs="宋体"/>
          <w:b/>
          <w:bCs/>
          <w:color w:val="000000" w:themeColor="text1"/>
          <w:sz w:val="24"/>
          <w:highlight w:val="none"/>
          <w:lang w:val="en-US" w:eastAsia="zh-CN"/>
          <w14:textFill>
            <w14:solidFill>
              <w14:schemeClr w14:val="tx1"/>
            </w14:solidFill>
          </w14:textFill>
        </w:rPr>
        <w:t>、</w:t>
      </w:r>
      <w:r>
        <w:rPr>
          <w:rStyle w:val="967"/>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技术和服务方案（64分）</w:t>
      </w:r>
    </w:p>
    <w:tbl>
      <w:tblPr>
        <w:tblStyle w:val="62"/>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855"/>
        <w:gridCol w:w="5718"/>
        <w:gridCol w:w="111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序号</w:t>
            </w:r>
          </w:p>
        </w:tc>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评分因素</w:t>
            </w:r>
          </w:p>
        </w:tc>
        <w:tc>
          <w:tcPr>
            <w:tcW w:w="57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评分内容和标准</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分值区间</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主</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客</w:t>
            </w:r>
          </w:p>
          <w:p>
            <w:pPr>
              <w:widowControl/>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tcBorders>
              <w:top w:val="single" w:color="auto" w:sz="4" w:space="0"/>
              <w:left w:val="single" w:color="auto" w:sz="4" w:space="0"/>
              <w:right w:val="single" w:color="auto" w:sz="4" w:space="0"/>
            </w:tcBorders>
            <w:noWrap w:val="0"/>
            <w:vAlign w:val="center"/>
          </w:tcPr>
          <w:p>
            <w:pPr>
              <w:pStyle w:val="5"/>
              <w:numPr>
                <w:ilvl w:val="3"/>
                <w:numId w:val="0"/>
              </w:numPr>
              <w:tabs>
                <w:tab w:val="clear" w:pos="864"/>
              </w:tabs>
              <w:spacing w:before="0" w:after="0" w:line="240" w:lineRule="auto"/>
              <w:ind w:firstLine="0" w:firstLineChars="0"/>
              <w:jc w:val="center"/>
              <w:rPr>
                <w:rFonts w:hint="eastAsia" w:ascii="宋体" w:hAnsi="宋体" w:eastAsia="宋体" w:cs="宋体"/>
                <w:b w:val="0"/>
                <w:bCs w:val="0"/>
                <w:color w:val="000000" w:themeColor="text1"/>
                <w:sz w:val="24"/>
                <w:szCs w:val="24"/>
                <w:highlight w:val="none"/>
                <w:lang w:val="en-US"/>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14:textFill>
                  <w14:solidFill>
                    <w14:schemeClr w14:val="tx1"/>
                  </w14:solidFill>
                </w14:textFill>
              </w:rPr>
              <w:t>1</w:t>
            </w:r>
          </w:p>
        </w:tc>
        <w:tc>
          <w:tcPr>
            <w:tcW w:w="855" w:type="dxa"/>
            <w:tcBorders>
              <w:top w:val="single" w:color="auto" w:sz="4" w:space="0"/>
              <w:left w:val="single" w:color="auto" w:sz="4" w:space="0"/>
              <w:right w:val="single" w:color="auto" w:sz="4" w:space="0"/>
            </w:tcBorders>
            <w:noWrap w:val="0"/>
            <w:vAlign w:val="center"/>
          </w:tcPr>
          <w:p>
            <w:pPr>
              <w:numPr>
                <w:ilvl w:val="0"/>
                <w:numId w:val="0"/>
              </w:numPr>
              <w:adjustRightInd w:val="0"/>
              <w:snapToGrid w:val="0"/>
              <w:jc w:val="center"/>
              <w:rPr>
                <w:rFonts w:hint="eastAsia" w:ascii="宋体" w:hAnsi="宋体" w:eastAsia="宋体" w:cs="宋体"/>
                <w:b w:val="0"/>
                <w:bCs w:val="0"/>
                <w:color w:val="000000" w:themeColor="text1"/>
                <w:sz w:val="24"/>
                <w:szCs w:val="24"/>
                <w:highlight w:val="none"/>
                <w:lang w:val="en-US"/>
                <w14:textFill>
                  <w14:solidFill>
                    <w14:schemeClr w14:val="tx1"/>
                  </w14:solidFill>
                </w14:textFill>
              </w:rPr>
            </w:pPr>
            <w:r>
              <w:rPr>
                <w:rStyle w:val="967"/>
                <w:rFonts w:hint="eastAsia" w:ascii="宋体" w:hAnsi="宋体" w:eastAsia="宋体" w:cs="宋体"/>
                <w:b w:val="0"/>
                <w:bCs w:val="0"/>
                <w:color w:val="000000" w:themeColor="text1"/>
                <w:sz w:val="24"/>
                <w:szCs w:val="24"/>
                <w:highlight w:val="none"/>
                <w:lang w:val="en-US"/>
                <w14:textFill>
                  <w14:solidFill>
                    <w14:schemeClr w14:val="tx1"/>
                  </w14:solidFill>
                </w14:textFill>
              </w:rPr>
              <w:t>项目的市场分析与客群定位</w:t>
            </w:r>
          </w:p>
        </w:tc>
        <w:tc>
          <w:tcPr>
            <w:tcW w:w="5718" w:type="dxa"/>
            <w:tcBorders>
              <w:top w:val="single" w:color="auto" w:sz="4" w:space="0"/>
              <w:left w:val="single" w:color="auto" w:sz="4" w:space="0"/>
              <w:right w:val="single" w:color="auto" w:sz="4" w:space="0"/>
            </w:tcBorders>
            <w:noWrap w:val="0"/>
            <w:vAlign w:val="center"/>
          </w:tcPr>
          <w:p>
            <w:pPr>
              <w:numPr>
                <w:ilvl w:val="0"/>
                <w:numId w:val="0"/>
              </w:numPr>
              <w:adjustRightInd w:val="0"/>
              <w:snapToGrid w:val="0"/>
              <w:jc w:val="lef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包含项目背景和现状、项目定位分析、潜在用户分析、项目优劣势分析等</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numPr>
                <w:ilvl w:val="0"/>
                <w:numId w:val="0"/>
              </w:numPr>
              <w:adjustRightInd w:val="0"/>
              <w:snapToGrid w:val="0"/>
              <w:jc w:val="lef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对项目理解等把握透彻的得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6-4.1</w:t>
            </w:r>
            <w:r>
              <w:rPr>
                <w:rFonts w:hint="eastAsia" w:ascii="宋体" w:hAnsi="宋体" w:eastAsia="宋体" w:cs="宋体"/>
                <w:color w:val="000000" w:themeColor="text1"/>
                <w:sz w:val="24"/>
                <w:szCs w:val="24"/>
                <w:highlight w:val="none"/>
                <w14:textFill>
                  <w14:solidFill>
                    <w14:schemeClr w14:val="tx1"/>
                  </w14:solidFill>
                </w14:textFill>
              </w:rPr>
              <w:t>分，认识度一般的得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4-2.1</w:t>
            </w:r>
            <w:r>
              <w:rPr>
                <w:rFonts w:hint="eastAsia" w:ascii="宋体" w:hAnsi="宋体" w:eastAsia="宋体" w:cs="宋体"/>
                <w:color w:val="000000" w:themeColor="text1"/>
                <w:sz w:val="24"/>
                <w:szCs w:val="24"/>
                <w:highlight w:val="none"/>
                <w14:textFill>
                  <w14:solidFill>
                    <w14:schemeClr w14:val="tx1"/>
                  </w14:solidFill>
                </w14:textFill>
              </w:rPr>
              <w:t>分，分析不到位、无充分认识的得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2-0</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1110" w:type="dxa"/>
            <w:tcBorders>
              <w:top w:val="single" w:color="auto" w:sz="4" w:space="0"/>
              <w:left w:val="single" w:color="auto" w:sz="4" w:space="0"/>
              <w:right w:val="single" w:color="auto" w:sz="4" w:space="0"/>
            </w:tcBorders>
            <w:noWrap w:val="0"/>
            <w:vAlign w:val="center"/>
          </w:tcPr>
          <w:p>
            <w:pPr>
              <w:widowControl/>
              <w:spacing w:line="240" w:lineRule="auto"/>
              <w:jc w:val="center"/>
              <w:rPr>
                <w:rStyle w:val="967"/>
                <w:rFonts w:hint="eastAsia" w:ascii="宋体" w:hAnsi="宋体" w:eastAsia="宋体" w:cs="宋体"/>
                <w:color w:val="000000" w:themeColor="text1"/>
                <w:sz w:val="24"/>
                <w:szCs w:val="24"/>
                <w:highlight w:val="none"/>
                <w14:textFill>
                  <w14:solidFill>
                    <w14:schemeClr w14:val="tx1"/>
                  </w14:solidFill>
                </w14:textFill>
              </w:rPr>
            </w:pPr>
            <w:r>
              <w:rPr>
                <w:rStyle w:val="967"/>
                <w:rFonts w:hint="eastAsia" w:ascii="宋体" w:hAnsi="宋体" w:eastAsia="宋体" w:cs="宋体"/>
                <w:color w:val="000000" w:themeColor="text1"/>
                <w:sz w:val="24"/>
                <w:szCs w:val="24"/>
                <w:highlight w:val="none"/>
                <w:lang w:val="en-US" w:eastAsia="zh-CN"/>
                <w14:textFill>
                  <w14:solidFill>
                    <w14:schemeClr w14:val="tx1"/>
                  </w14:solidFill>
                </w14:textFill>
              </w:rPr>
              <w:t>0-6</w:t>
            </w:r>
            <w:r>
              <w:rPr>
                <w:rStyle w:val="967"/>
                <w:rFonts w:hint="eastAsia" w:ascii="宋体" w:hAnsi="宋体" w:eastAsia="宋体" w:cs="宋体"/>
                <w:color w:val="000000" w:themeColor="text1"/>
                <w:sz w:val="24"/>
                <w:szCs w:val="24"/>
                <w:highlight w:val="none"/>
                <w14:textFill>
                  <w14:solidFill>
                    <w14:schemeClr w14:val="tx1"/>
                  </w14:solidFill>
                </w14:textFill>
              </w:rPr>
              <w:t>分</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Style w:val="967"/>
                <w:rFonts w:hint="eastAsia" w:ascii="宋体" w:hAnsi="宋体" w:eastAsia="宋体" w:cs="宋体"/>
                <w:color w:val="000000" w:themeColor="text1"/>
                <w:sz w:val="24"/>
                <w:szCs w:val="24"/>
                <w:highlight w:val="none"/>
                <w14:textFill>
                  <w14:solidFill>
                    <w14:schemeClr w14:val="tx1"/>
                  </w14:solidFill>
                </w14:textFill>
              </w:rPr>
            </w:pPr>
            <w:r>
              <w:rPr>
                <w:rStyle w:val="967"/>
                <w:rFonts w:hint="eastAsia" w:ascii="宋体" w:hAnsi="宋体" w:eastAsia="宋体" w:cs="宋体"/>
                <w:color w:val="000000" w:themeColor="text1"/>
                <w:sz w:val="24"/>
                <w:szCs w:val="24"/>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690"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855"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Style w:val="967"/>
                <w:rFonts w:hint="eastAsia" w:ascii="宋体" w:hAnsi="宋体" w:eastAsia="宋体" w:cs="宋体"/>
                <w:b w:val="0"/>
                <w:bCs w:val="0"/>
                <w:color w:val="000000" w:themeColor="text1"/>
                <w:sz w:val="24"/>
                <w:szCs w:val="24"/>
                <w:highlight w:val="none"/>
                <w:lang w:val="en-US"/>
                <w14:textFill>
                  <w14:solidFill>
                    <w14:schemeClr w14:val="tx1"/>
                  </w14:solidFill>
                </w14:textFill>
              </w:rPr>
              <w:t>人员配置情况</w:t>
            </w:r>
          </w:p>
        </w:tc>
        <w:tc>
          <w:tcPr>
            <w:tcW w:w="5718" w:type="dxa"/>
            <w:tcBorders>
              <w:top w:val="single" w:color="auto" w:sz="4" w:space="0"/>
              <w:left w:val="single" w:color="auto" w:sz="4" w:space="0"/>
              <w:right w:val="single" w:color="auto" w:sz="4" w:space="0"/>
            </w:tcBorders>
            <w:noWrap w:val="0"/>
            <w:vAlign w:val="center"/>
          </w:tcPr>
          <w:p>
            <w:pPr>
              <w:numPr>
                <w:ilvl w:val="0"/>
                <w:numId w:val="0"/>
              </w:numPr>
              <w:spacing w:before="0" w:after="0"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项目负责人具有在</w:t>
            </w:r>
            <w:r>
              <w:rPr>
                <w:rFonts w:hint="eastAsia" w:ascii="宋体" w:hAnsi="宋体" w:eastAsia="宋体" w:cs="宋体"/>
                <w:color w:val="000000" w:themeColor="text1"/>
                <w:sz w:val="24"/>
                <w:szCs w:val="24"/>
                <w:highlight w:val="none"/>
                <w:lang w:val="en-US" w:eastAsia="zh-CN"/>
                <w14:textFill>
                  <w14:solidFill>
                    <w14:schemeClr w14:val="tx1"/>
                  </w14:solidFill>
                </w14:textFill>
              </w:rPr>
              <w:t>10000平方米以上</w:t>
            </w:r>
            <w:r>
              <w:rPr>
                <w:rFonts w:hint="eastAsia" w:ascii="宋体" w:hAnsi="宋体" w:eastAsia="宋体" w:cs="宋体"/>
                <w:color w:val="000000" w:themeColor="text1"/>
                <w:sz w:val="24"/>
                <w:szCs w:val="24"/>
                <w:highlight w:val="none"/>
                <w14:textFill>
                  <w14:solidFill>
                    <w14:schemeClr w14:val="tx1"/>
                  </w14:solidFill>
                </w14:textFill>
              </w:rPr>
              <w:t>体育场馆、体育综合体运营管理项目中担任项目负责人</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年及以上</w:t>
            </w:r>
            <w:r>
              <w:rPr>
                <w:rFonts w:hint="eastAsia" w:ascii="宋体" w:hAnsi="宋体" w:eastAsia="宋体" w:cs="宋体"/>
                <w:color w:val="000000" w:themeColor="text1"/>
                <w:sz w:val="24"/>
                <w:szCs w:val="24"/>
                <w:highlight w:val="none"/>
                <w:lang w:val="en-US" w:eastAsia="zh-CN"/>
                <w14:textFill>
                  <w14:solidFill>
                    <w14:schemeClr w14:val="tx1"/>
                  </w14:solidFill>
                </w14:textFill>
              </w:rPr>
              <w:t>工作经验</w:t>
            </w:r>
            <w:r>
              <w:rPr>
                <w:rFonts w:hint="eastAsia" w:ascii="宋体" w:hAnsi="宋体" w:eastAsia="宋体" w:cs="宋体"/>
                <w:color w:val="000000" w:themeColor="text1"/>
                <w:sz w:val="24"/>
                <w:szCs w:val="24"/>
                <w:highlight w:val="none"/>
                <w14:textFill>
                  <w14:solidFill>
                    <w14:schemeClr w14:val="tx1"/>
                  </w14:solidFill>
                </w14:textFill>
              </w:rPr>
              <w:t>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5年及以上的得4分，8年及以上的得6分。（若为联合投标的，可为联合体成员）</w:t>
            </w:r>
          </w:p>
          <w:p>
            <w:pPr>
              <w:numPr>
                <w:ilvl w:val="0"/>
                <w:numId w:val="0"/>
              </w:numPr>
              <w:spacing w:before="0" w:after="0" w:line="3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需提供公司任命文件及项目负责人社保连续缴纳6个月</w:t>
            </w:r>
            <w:r>
              <w:rPr>
                <w:rFonts w:hint="eastAsia" w:ascii="宋体" w:hAnsi="宋体" w:eastAsia="宋体" w:cs="宋体"/>
                <w:color w:val="000000" w:themeColor="text1"/>
                <w:sz w:val="24"/>
                <w:szCs w:val="24"/>
                <w:highlight w:val="none"/>
                <w14:textFill>
                  <w14:solidFill>
                    <w14:schemeClr w14:val="tx1"/>
                  </w14:solidFill>
                </w14:textFill>
              </w:rPr>
              <w:t>投标单位近六个月连续缴纳社会保险参保证明（以开标前20天内社保局出具的单位或个人社保缴纳证明为准</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p>
          <w:p>
            <w:pPr>
              <w:numPr>
                <w:ilvl w:val="0"/>
                <w:numId w:val="0"/>
              </w:numPr>
              <w:spacing w:before="0" w:after="0" w:line="240" w:lineRule="auto"/>
              <w:jc w:val="lef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核心运营管理人员有以下三类证书体育经理人三级及以上职业资格证、体育经纪人三级及以上职业资格证、国家体育总局社会体育指导员证）的，每一证得3分，最高得6分。可一人多证，或多人同一种证。（若为联合投标的，可为联合体成员）</w:t>
            </w:r>
          </w:p>
          <w:p>
            <w:pPr>
              <w:numPr>
                <w:ilvl w:val="0"/>
                <w:numId w:val="0"/>
              </w:numPr>
              <w:spacing w:line="240" w:lineRule="auto"/>
              <w:rPr>
                <w:rFonts w:hint="eastAsia" w:ascii="宋体" w:hAnsi="宋体" w:eastAsia="宋体" w:cs="宋体"/>
                <w:b w:val="0"/>
                <w:bCs w:val="0"/>
                <w:color w:val="000000" w:themeColor="text1"/>
                <w:sz w:val="24"/>
                <w:szCs w:val="24"/>
                <w:highlight w:val="none"/>
                <w:lang w:val="en-US"/>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（需提供职业资格证书及</w:t>
            </w:r>
            <w:r>
              <w:rPr>
                <w:rFonts w:hint="eastAsia" w:ascii="宋体" w:hAnsi="宋体" w:eastAsia="宋体" w:cs="宋体"/>
                <w:color w:val="000000" w:themeColor="text1"/>
                <w:sz w:val="24"/>
                <w:szCs w:val="24"/>
                <w:highlight w:val="none"/>
                <w14:textFill>
                  <w14:solidFill>
                    <w14:schemeClr w14:val="tx1"/>
                  </w14:solidFill>
                </w14:textFill>
              </w:rPr>
              <w:t>投标单位近六个月连续缴纳社会保险参保证明（以开标前20天内社保局出具的单位或个人社保缴纳证明为准）</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w:t>
            </w:r>
          </w:p>
        </w:tc>
        <w:tc>
          <w:tcPr>
            <w:tcW w:w="1110" w:type="dxa"/>
            <w:tcBorders>
              <w:top w:val="single" w:color="auto" w:sz="4" w:space="0"/>
              <w:left w:val="single" w:color="auto" w:sz="4" w:space="0"/>
              <w:right w:val="single" w:color="auto" w:sz="4" w:space="0"/>
            </w:tcBorders>
            <w:noWrap w:val="0"/>
            <w:vAlign w:val="center"/>
          </w:tcPr>
          <w:p>
            <w:pPr>
              <w:widowControl/>
              <w:spacing w:line="240" w:lineRule="auto"/>
              <w:jc w:val="center"/>
              <w:rPr>
                <w:rStyle w:val="967"/>
                <w:rFonts w:hint="eastAsia" w:ascii="宋体" w:hAnsi="宋体" w:eastAsia="宋体" w:cs="宋体"/>
                <w:color w:val="000000" w:themeColor="text1"/>
                <w:sz w:val="24"/>
                <w:szCs w:val="24"/>
                <w:highlight w:val="none"/>
                <w14:textFill>
                  <w14:solidFill>
                    <w14:schemeClr w14:val="tx1"/>
                  </w14:solidFill>
                </w14:textFill>
              </w:rPr>
            </w:pPr>
            <w:r>
              <w:rPr>
                <w:rStyle w:val="967"/>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Style w:val="967"/>
                <w:rFonts w:hint="eastAsia" w:ascii="宋体" w:hAnsi="宋体" w:eastAsia="宋体" w:cs="宋体"/>
                <w:color w:val="000000" w:themeColor="text1"/>
                <w:sz w:val="24"/>
                <w:szCs w:val="24"/>
                <w:highlight w:val="none"/>
                <w:lang w:val="en-US"/>
                <w14:textFill>
                  <w14:solidFill>
                    <w14:schemeClr w14:val="tx1"/>
                  </w14:solidFill>
                </w14:textFill>
              </w:rPr>
              <w:t>1</w:t>
            </w:r>
            <w:r>
              <w:rPr>
                <w:rStyle w:val="967"/>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Style w:val="967"/>
                <w:rFonts w:hint="eastAsia" w:ascii="宋体" w:hAnsi="宋体" w:eastAsia="宋体" w:cs="宋体"/>
                <w:color w:val="000000" w:themeColor="text1"/>
                <w:sz w:val="24"/>
                <w:szCs w:val="24"/>
                <w:highlight w:val="none"/>
                <w14:textFill>
                  <w14:solidFill>
                    <w14:schemeClr w14:val="tx1"/>
                  </w14:solidFill>
                </w14:textFill>
              </w:rPr>
              <w:t>分</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Style w:val="967"/>
                <w:rFonts w:hint="eastAsia" w:ascii="宋体" w:hAnsi="宋体" w:eastAsia="宋体" w:cs="宋体"/>
                <w:color w:val="000000" w:themeColor="text1"/>
                <w:sz w:val="24"/>
                <w:szCs w:val="24"/>
                <w:highlight w:val="none"/>
                <w14:textFill>
                  <w14:solidFill>
                    <w14:schemeClr w14:val="tx1"/>
                  </w14:solidFill>
                </w14:textFill>
              </w:rPr>
            </w:pPr>
            <w:r>
              <w:rPr>
                <w:rStyle w:val="967"/>
                <w:rFonts w:hint="eastAsia" w:ascii="宋体" w:hAnsi="宋体" w:eastAsia="宋体" w:cs="宋体"/>
                <w:color w:val="000000" w:themeColor="text1"/>
                <w:sz w:val="24"/>
                <w:szCs w:val="24"/>
                <w:highlight w:val="none"/>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690"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855"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场馆经营业态布局规划方案</w:t>
            </w:r>
          </w:p>
        </w:tc>
        <w:tc>
          <w:tcPr>
            <w:tcW w:w="5718" w:type="dxa"/>
            <w:tcBorders>
              <w:top w:val="single" w:color="auto" w:sz="4" w:space="0"/>
              <w:left w:val="single" w:color="auto" w:sz="4" w:space="0"/>
              <w:right w:val="single" w:color="auto" w:sz="4" w:space="0"/>
            </w:tcBorders>
            <w:noWrap w:val="0"/>
            <w:vAlign w:val="center"/>
          </w:tcPr>
          <w:p>
            <w:pPr>
              <w:numPr>
                <w:ilvl w:val="0"/>
                <w:numId w:val="0"/>
              </w:numPr>
              <w:adjustRightInd w:val="0"/>
              <w:snapToGrid w:val="0"/>
              <w:spacing w:line="240" w:lineRule="auto"/>
              <w:ind w:left="0" w:lef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14:textFill>
                  <w14:solidFill>
                    <w14:schemeClr w14:val="tx1"/>
                  </w14:solidFill>
                </w14:textFill>
              </w:rPr>
              <w:t>投标人</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对文体中心及全部附属设施进行梳理，结合项目功能定位及实际空间，从专业文体运营商的角度</w:t>
            </w:r>
            <w:r>
              <w:rPr>
                <w:rStyle w:val="967"/>
                <w:rFonts w:hint="eastAsia" w:ascii="宋体" w:hAnsi="宋体" w:eastAsia="宋体" w:cs="宋体"/>
                <w:color w:val="000000" w:themeColor="text1"/>
                <w:sz w:val="24"/>
                <w:szCs w:val="24"/>
                <w:highlight w:val="none"/>
                <w14:textFill>
                  <w14:solidFill>
                    <w14:schemeClr w14:val="tx1"/>
                  </w14:solidFill>
                </w14:textFill>
              </w:rPr>
              <w:t>提供</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业态规划布局方案。</w:t>
            </w:r>
          </w:p>
          <w:p>
            <w:pPr>
              <w:numPr>
                <w:ilvl w:val="0"/>
                <w:numId w:val="0"/>
              </w:numPr>
              <w:adjustRightInd w:val="0"/>
              <w:snapToGrid w:val="0"/>
              <w:spacing w:line="240" w:lineRule="auto"/>
              <w:ind w:left="0" w:leftChars="0" w:firstLine="0" w:firstLineChars="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内容全面、具有很强的可行性、高效性、符合采购需求的得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6-4.1</w:t>
            </w:r>
            <w:r>
              <w:rPr>
                <w:rFonts w:hint="eastAsia" w:ascii="宋体" w:hAnsi="宋体" w:eastAsia="宋体" w:cs="宋体"/>
                <w:color w:val="000000" w:themeColor="text1"/>
                <w:sz w:val="24"/>
                <w:szCs w:val="24"/>
                <w:highlight w:val="none"/>
                <w14:textFill>
                  <w14:solidFill>
                    <w14:schemeClr w14:val="tx1"/>
                  </w14:solidFill>
                </w14:textFill>
              </w:rPr>
              <w:t>分，内容基本齐全、可行或高效的得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4-2.1</w:t>
            </w:r>
            <w:r>
              <w:rPr>
                <w:rFonts w:hint="eastAsia" w:ascii="宋体" w:hAnsi="宋体" w:eastAsia="宋体" w:cs="宋体"/>
                <w:color w:val="000000" w:themeColor="text1"/>
                <w:sz w:val="24"/>
                <w:szCs w:val="24"/>
                <w:highlight w:val="none"/>
                <w14:textFill>
                  <w14:solidFill>
                    <w14:schemeClr w14:val="tx1"/>
                  </w14:solidFill>
                </w14:textFill>
              </w:rPr>
              <w:t>分，内容不全、可行性差和高效性差的得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2-0</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1110" w:type="dxa"/>
            <w:tcBorders>
              <w:top w:val="single" w:color="auto" w:sz="4" w:space="0"/>
              <w:left w:val="single" w:color="auto" w:sz="4" w:space="0"/>
              <w:right w:val="single" w:color="auto" w:sz="4" w:space="0"/>
            </w:tcBorders>
            <w:noWrap w:val="0"/>
            <w:vAlign w:val="center"/>
          </w:tcPr>
          <w:p>
            <w:pPr>
              <w:widowControl/>
              <w:spacing w:line="240" w:lineRule="auto"/>
              <w:jc w:val="center"/>
              <w:rPr>
                <w:rStyle w:val="967"/>
                <w:rFonts w:hint="eastAsia" w:ascii="宋体" w:hAnsi="宋体" w:eastAsia="宋体" w:cs="宋体"/>
                <w:color w:val="000000" w:themeColor="text1"/>
                <w:sz w:val="24"/>
                <w:szCs w:val="24"/>
                <w:highlight w:val="none"/>
                <w14:textFill>
                  <w14:solidFill>
                    <w14:schemeClr w14:val="tx1"/>
                  </w14:solidFill>
                </w14:textFill>
              </w:rPr>
            </w:pPr>
            <w:r>
              <w:rPr>
                <w:rStyle w:val="967"/>
                <w:rFonts w:hint="eastAsia" w:ascii="宋体" w:hAnsi="宋体" w:eastAsia="宋体" w:cs="宋体"/>
                <w:color w:val="000000" w:themeColor="text1"/>
                <w:sz w:val="24"/>
                <w:szCs w:val="24"/>
                <w:highlight w:val="none"/>
                <w:lang w:val="en-US" w:eastAsia="zh-CN"/>
                <w14:textFill>
                  <w14:solidFill>
                    <w14:schemeClr w14:val="tx1"/>
                  </w14:solidFill>
                </w14:textFill>
              </w:rPr>
              <w:t>0-6</w:t>
            </w:r>
            <w:r>
              <w:rPr>
                <w:rStyle w:val="967"/>
                <w:rFonts w:hint="eastAsia" w:ascii="宋体" w:hAnsi="宋体" w:eastAsia="宋体" w:cs="宋体"/>
                <w:color w:val="000000" w:themeColor="text1"/>
                <w:sz w:val="24"/>
                <w:szCs w:val="24"/>
                <w:highlight w:val="none"/>
                <w14:textFill>
                  <w14:solidFill>
                    <w14:schemeClr w14:val="tx1"/>
                  </w14:solidFill>
                </w14:textFill>
              </w:rPr>
              <w:t>分</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Style w:val="967"/>
                <w:rFonts w:hint="eastAsia" w:ascii="宋体" w:hAnsi="宋体" w:eastAsia="宋体" w:cs="宋体"/>
                <w:color w:val="000000" w:themeColor="text1"/>
                <w:sz w:val="24"/>
                <w:szCs w:val="24"/>
                <w:highlight w:val="none"/>
                <w14:textFill>
                  <w14:solidFill>
                    <w14:schemeClr w14:val="tx1"/>
                  </w14:solidFill>
                </w14:textFill>
              </w:rPr>
            </w:pPr>
            <w:r>
              <w:rPr>
                <w:rStyle w:val="967"/>
                <w:rFonts w:hint="eastAsia" w:ascii="宋体" w:hAnsi="宋体" w:eastAsia="宋体" w:cs="宋体"/>
                <w:color w:val="000000" w:themeColor="text1"/>
                <w:sz w:val="24"/>
                <w:szCs w:val="24"/>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90" w:type="dxa"/>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智慧化场馆方案</w:t>
            </w:r>
          </w:p>
        </w:tc>
        <w:tc>
          <w:tcPr>
            <w:tcW w:w="5718"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djustRightInd w:val="0"/>
              <w:snapToGrid w:val="0"/>
              <w:spacing w:line="240" w:lineRule="auto"/>
              <w:ind w:left="0" w:leftChars="0" w:firstLine="0" w:firstLineChars="0"/>
              <w:jc w:val="lef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14:textFill>
                  <w14:solidFill>
                    <w14:schemeClr w14:val="tx1"/>
                  </w14:solidFill>
                </w14:textFill>
              </w:rPr>
              <w:t>投标人</w:t>
            </w:r>
            <w:r>
              <w:rPr>
                <w:rFonts w:hint="eastAsia" w:ascii="宋体" w:hAnsi="宋体" w:eastAsia="宋体" w:cs="宋体"/>
                <w:color w:val="000000" w:themeColor="text1"/>
                <w:sz w:val="24"/>
                <w:szCs w:val="24"/>
                <w:highlight w:val="none"/>
                <w:lang w:val="en-US" w:eastAsia="zh-CN"/>
                <w14:textFill>
                  <w14:solidFill>
                    <w14:schemeClr w14:val="tx1"/>
                  </w14:solidFill>
                </w14:textFill>
              </w:rPr>
              <w:t>提供</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智慧化场馆解决方案。</w:t>
            </w:r>
          </w:p>
          <w:p>
            <w:pPr>
              <w:numPr>
                <w:ilvl w:val="0"/>
                <w:numId w:val="0"/>
              </w:numPr>
              <w:adjustRightInd w:val="0"/>
              <w:snapToGrid w:val="0"/>
              <w:spacing w:line="240" w:lineRule="auto"/>
              <w:ind w:left="0" w:leftChars="0" w:firstLine="0" w:firstLineChars="0"/>
              <w:jc w:val="left"/>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内容全面、具有很强的可行性、高效性、符合采购需求的得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5-4.1</w:t>
            </w:r>
            <w:r>
              <w:rPr>
                <w:rFonts w:hint="eastAsia" w:ascii="宋体" w:hAnsi="宋体" w:eastAsia="宋体" w:cs="宋体"/>
                <w:color w:val="000000" w:themeColor="text1"/>
                <w:sz w:val="24"/>
                <w:szCs w:val="24"/>
                <w:highlight w:val="none"/>
                <w14:textFill>
                  <w14:solidFill>
                    <w14:schemeClr w14:val="tx1"/>
                  </w14:solidFill>
                </w14:textFill>
              </w:rPr>
              <w:t>分，内容基本齐全、可行或高效的得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4-2.1</w:t>
            </w:r>
            <w:r>
              <w:rPr>
                <w:rFonts w:hint="eastAsia" w:ascii="宋体" w:hAnsi="宋体" w:eastAsia="宋体" w:cs="宋体"/>
                <w:color w:val="000000" w:themeColor="text1"/>
                <w:sz w:val="24"/>
                <w:szCs w:val="24"/>
                <w:highlight w:val="none"/>
                <w14:textFill>
                  <w14:solidFill>
                    <w14:schemeClr w14:val="tx1"/>
                  </w14:solidFill>
                </w14:textFill>
              </w:rPr>
              <w:t>分，内容不全、可行性差和高效性差的得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2-0</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967"/>
                <w:rFonts w:hint="eastAsia" w:ascii="宋体" w:hAnsi="宋体" w:eastAsia="宋体" w:cs="宋体"/>
                <w:color w:val="000000" w:themeColor="text1"/>
                <w:sz w:val="24"/>
                <w:szCs w:val="24"/>
                <w:highlight w:val="none"/>
                <w:lang w:val="en-US" w:eastAsia="zh-CN"/>
                <w14:textFill>
                  <w14:solidFill>
                    <w14:schemeClr w14:val="tx1"/>
                  </w14:solidFill>
                </w14:textFill>
              </w:rPr>
              <w:t>0-5</w:t>
            </w:r>
            <w:r>
              <w:rPr>
                <w:rStyle w:val="967"/>
                <w:rFonts w:hint="eastAsia" w:ascii="宋体" w:hAnsi="宋体" w:eastAsia="宋体" w:cs="宋体"/>
                <w:color w:val="000000" w:themeColor="text1"/>
                <w:sz w:val="24"/>
                <w:szCs w:val="24"/>
                <w:highlight w:val="none"/>
                <w14:textFill>
                  <w14:solidFill>
                    <w14:schemeClr w14:val="tx1"/>
                  </w14:solidFill>
                </w14:textFill>
              </w:rPr>
              <w:t>分</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Style w:val="967"/>
                <w:rFonts w:hint="eastAsia" w:ascii="宋体" w:hAnsi="宋体" w:eastAsia="宋体" w:cs="宋体"/>
                <w:color w:val="000000" w:themeColor="text1"/>
                <w:sz w:val="24"/>
                <w:szCs w:val="24"/>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90" w:type="dxa"/>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场馆整体装修规划方案</w:t>
            </w:r>
          </w:p>
        </w:tc>
        <w:tc>
          <w:tcPr>
            <w:tcW w:w="5718"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djustRightInd w:val="0"/>
              <w:snapToGrid w:val="0"/>
              <w:spacing w:line="240" w:lineRule="auto"/>
              <w:ind w:left="0" w:leftChars="0" w:firstLine="0" w:firstLineChars="0"/>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14:textFill>
                  <w14:solidFill>
                    <w14:schemeClr w14:val="tx1"/>
                  </w14:solidFill>
                </w14:textFill>
              </w:rPr>
              <w:t>投标人</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结合该项目设计和实地考察，提供</w:t>
            </w:r>
            <w:r>
              <w:rPr>
                <w:rFonts w:hint="eastAsia" w:ascii="宋体" w:hAnsi="宋体" w:eastAsia="宋体" w:cs="宋体"/>
                <w:color w:val="000000" w:themeColor="text1"/>
                <w:sz w:val="24"/>
                <w:szCs w:val="24"/>
                <w:highlight w:val="none"/>
                <w14:textFill>
                  <w14:solidFill>
                    <w14:schemeClr w14:val="tx1"/>
                  </w14:solidFill>
                </w14:textFill>
              </w:rPr>
              <w:t>场馆整体装修规划方案</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numPr>
                <w:ilvl w:val="0"/>
                <w:numId w:val="0"/>
              </w:numPr>
              <w:adjustRightInd w:val="0"/>
              <w:snapToGrid w:val="0"/>
              <w:spacing w:line="240" w:lineRule="auto"/>
              <w:ind w:left="0" w:leftChars="0" w:firstLine="0" w:firstLineChars="0"/>
              <w:jc w:val="left"/>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（内容全面、具有很强的可行性、高效性、符合采购需求的得10-7.1分，内容基本齐全、可行或高效的得7-3.1分，内容不全、可行性差和高效性差或超过预算标准的得3-0分。）</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Style w:val="967"/>
                <w:rFonts w:hint="eastAsia" w:ascii="宋体" w:hAnsi="宋体" w:eastAsia="宋体" w:cs="宋体"/>
                <w:color w:val="000000" w:themeColor="text1"/>
                <w:sz w:val="24"/>
                <w:szCs w:val="24"/>
                <w:highlight w:val="none"/>
                <w14:textFill>
                  <w14:solidFill>
                    <w14:schemeClr w14:val="tx1"/>
                  </w14:solidFill>
                </w14:textFill>
              </w:rPr>
            </w:pPr>
            <w:r>
              <w:rPr>
                <w:rStyle w:val="967"/>
                <w:rFonts w:hint="eastAsia" w:ascii="宋体" w:hAnsi="宋体" w:eastAsia="宋体" w:cs="宋体"/>
                <w:color w:val="000000" w:themeColor="text1"/>
                <w:sz w:val="24"/>
                <w:szCs w:val="24"/>
                <w:highlight w:val="none"/>
                <w:lang w:val="en-US" w:eastAsia="zh-CN"/>
                <w14:textFill>
                  <w14:solidFill>
                    <w14:schemeClr w14:val="tx1"/>
                  </w14:solidFill>
                </w14:textFill>
              </w:rPr>
              <w:t>0-10</w:t>
            </w:r>
            <w:r>
              <w:rPr>
                <w:rStyle w:val="967"/>
                <w:rFonts w:hint="eastAsia" w:ascii="宋体" w:hAnsi="宋体" w:eastAsia="宋体" w:cs="宋体"/>
                <w:color w:val="000000" w:themeColor="text1"/>
                <w:sz w:val="24"/>
                <w:szCs w:val="24"/>
                <w:highlight w:val="none"/>
                <w14:textFill>
                  <w14:solidFill>
                    <w14:schemeClr w14:val="tx1"/>
                  </w14:solidFill>
                </w14:textFill>
              </w:rPr>
              <w:t>分</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Style w:val="967"/>
                <w:rFonts w:hint="eastAsia" w:ascii="宋体" w:hAnsi="宋体" w:eastAsia="宋体" w:cs="宋体"/>
                <w:color w:val="000000" w:themeColor="text1"/>
                <w:sz w:val="24"/>
                <w:szCs w:val="24"/>
                <w:highlight w:val="none"/>
                <w14:textFill>
                  <w14:solidFill>
                    <w14:schemeClr w14:val="tx1"/>
                  </w14:solidFill>
                </w14:textFill>
              </w:rPr>
            </w:pPr>
            <w:r>
              <w:rPr>
                <w:rStyle w:val="967"/>
                <w:rFonts w:hint="eastAsia" w:ascii="宋体" w:hAnsi="宋体" w:eastAsia="宋体" w:cs="宋体"/>
                <w:color w:val="000000" w:themeColor="text1"/>
                <w:sz w:val="24"/>
                <w:szCs w:val="24"/>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场馆运营管理方案</w:t>
            </w:r>
          </w:p>
        </w:tc>
        <w:tc>
          <w:tcPr>
            <w:tcW w:w="5718"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djustRightInd w:val="0"/>
              <w:snapToGrid w:val="0"/>
              <w:spacing w:line="240" w:lineRule="auto"/>
              <w:ind w:left="0" w:leftChars="0" w:firstLine="0" w:firstLineChars="0"/>
              <w:jc w:val="left"/>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14:textFill>
                  <w14:solidFill>
                    <w14:schemeClr w14:val="tx1"/>
                  </w14:solidFill>
                </w14:textFill>
              </w:rPr>
              <w:t>投标人</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提供场馆运营管理方案，包括各业态运营办法、赛事活动保障方案、运营组织架构及人员岗位明细、场馆宣传、流量赋能方案与营收结算方案。</w:t>
            </w:r>
          </w:p>
          <w:p>
            <w:pPr>
              <w:bidi w:val="0"/>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内容全面、具有很强的可行性、高效性、符合采购需求的得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15-10.1</w:t>
            </w:r>
            <w:r>
              <w:rPr>
                <w:rFonts w:hint="eastAsia" w:ascii="宋体" w:hAnsi="宋体" w:eastAsia="宋体" w:cs="宋体"/>
                <w:color w:val="000000" w:themeColor="text1"/>
                <w:sz w:val="24"/>
                <w:szCs w:val="24"/>
                <w:highlight w:val="none"/>
                <w14:textFill>
                  <w14:solidFill>
                    <w14:schemeClr w14:val="tx1"/>
                  </w14:solidFill>
                </w14:textFill>
              </w:rPr>
              <w:t>分，内容基本齐全、可行或高效的得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10-5.1</w:t>
            </w:r>
            <w:r>
              <w:rPr>
                <w:rFonts w:hint="eastAsia" w:ascii="宋体" w:hAnsi="宋体" w:eastAsia="宋体" w:cs="宋体"/>
                <w:color w:val="000000" w:themeColor="text1"/>
                <w:sz w:val="24"/>
                <w:szCs w:val="24"/>
                <w:highlight w:val="none"/>
                <w14:textFill>
                  <w14:solidFill>
                    <w14:schemeClr w14:val="tx1"/>
                  </w14:solidFill>
                </w14:textFill>
              </w:rPr>
              <w:t>分，内容不全、可行性差和高效性差的得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5-0</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Style w:val="967"/>
                <w:rFonts w:hint="eastAsia" w:ascii="宋体" w:hAnsi="宋体" w:eastAsia="宋体" w:cs="宋体"/>
                <w:color w:val="000000" w:themeColor="text1"/>
                <w:sz w:val="24"/>
                <w:szCs w:val="24"/>
                <w:highlight w:val="none"/>
                <w:lang w:val="en-US" w:eastAsia="zh-CN"/>
                <w14:textFill>
                  <w14:solidFill>
                    <w14:schemeClr w14:val="tx1"/>
                  </w14:solidFill>
                </w14:textFill>
              </w:rPr>
            </w:pPr>
            <w:r>
              <w:rPr>
                <w:rStyle w:val="967"/>
                <w:rFonts w:hint="eastAsia" w:ascii="宋体" w:hAnsi="宋体" w:eastAsia="宋体" w:cs="宋体"/>
                <w:color w:val="000000" w:themeColor="text1"/>
                <w:sz w:val="24"/>
                <w:szCs w:val="24"/>
                <w:highlight w:val="none"/>
                <w:lang w:val="en-US" w:eastAsia="zh-CN"/>
                <w14:textFill>
                  <w14:solidFill>
                    <w14:schemeClr w14:val="tx1"/>
                  </w14:solidFill>
                </w14:textFill>
              </w:rPr>
              <w:t>0-15</w:t>
            </w:r>
            <w:r>
              <w:rPr>
                <w:rStyle w:val="967"/>
                <w:rFonts w:hint="eastAsia" w:ascii="宋体" w:hAnsi="宋体" w:eastAsia="宋体" w:cs="宋体"/>
                <w:color w:val="000000" w:themeColor="text1"/>
                <w:sz w:val="24"/>
                <w:szCs w:val="24"/>
                <w:highlight w:val="none"/>
                <w14:textFill>
                  <w14:solidFill>
                    <w14:schemeClr w14:val="tx1"/>
                  </w14:solidFill>
                </w14:textFill>
              </w:rPr>
              <w:t>分</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Style w:val="967"/>
                <w:rFonts w:hint="eastAsia" w:ascii="宋体" w:hAnsi="宋体" w:eastAsia="宋体" w:cs="宋体"/>
                <w:color w:val="000000" w:themeColor="text1"/>
                <w:sz w:val="24"/>
                <w:szCs w:val="24"/>
                <w:highlight w:val="none"/>
                <w14:textFill>
                  <w14:solidFill>
                    <w14:schemeClr w14:val="tx1"/>
                  </w14:solidFill>
                </w14:textFill>
              </w:rPr>
            </w:pPr>
            <w:r>
              <w:rPr>
                <w:rStyle w:val="967"/>
                <w:rFonts w:hint="eastAsia" w:ascii="宋体" w:hAnsi="宋体" w:eastAsia="宋体" w:cs="宋体"/>
                <w:color w:val="000000" w:themeColor="text1"/>
                <w:sz w:val="24"/>
                <w:szCs w:val="24"/>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690" w:type="dxa"/>
            <w:tcBorders>
              <w:left w:val="single" w:color="auto" w:sz="4" w:space="0"/>
              <w:right w:val="single" w:color="auto" w:sz="4" w:space="0"/>
            </w:tcBorders>
            <w:noWrap w:val="0"/>
            <w:vAlign w:val="center"/>
          </w:tcPr>
          <w:p>
            <w:pPr>
              <w:pStyle w:val="5"/>
              <w:numPr>
                <w:ilvl w:val="3"/>
                <w:numId w:val="0"/>
              </w:numPr>
              <w:tabs>
                <w:tab w:val="clear" w:pos="864"/>
              </w:tabs>
              <w:spacing w:before="0" w:after="0" w:line="240" w:lineRule="auto"/>
              <w:jc w:val="center"/>
              <w:rPr>
                <w:rStyle w:val="967"/>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Style w:val="967"/>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7</w:t>
            </w:r>
          </w:p>
        </w:tc>
        <w:tc>
          <w:tcPr>
            <w:tcW w:w="855" w:type="dxa"/>
            <w:tcBorders>
              <w:top w:val="single" w:color="auto" w:sz="4" w:space="0"/>
              <w:left w:val="single" w:color="auto" w:sz="4" w:space="0"/>
              <w:right w:val="single" w:color="auto" w:sz="4" w:space="0"/>
            </w:tcBorders>
            <w:noWrap w:val="0"/>
            <w:vAlign w:val="center"/>
          </w:tcPr>
          <w:p>
            <w:pPr>
              <w:pStyle w:val="5"/>
              <w:numPr>
                <w:ilvl w:val="3"/>
                <w:numId w:val="0"/>
              </w:numPr>
              <w:tabs>
                <w:tab w:val="clear" w:pos="864"/>
              </w:tabs>
              <w:spacing w:before="0" w:after="0" w:line="240" w:lineRule="auto"/>
              <w:jc w:val="center"/>
              <w:rPr>
                <w:rStyle w:val="967"/>
                <w:rFonts w:hint="eastAsia" w:ascii="宋体" w:hAnsi="宋体" w:eastAsia="宋体" w:cs="宋体"/>
                <w:b w:val="0"/>
                <w:bCs w:val="0"/>
                <w:color w:val="000000" w:themeColor="text1"/>
                <w:sz w:val="24"/>
                <w:szCs w:val="24"/>
                <w:highlight w:val="none"/>
                <w:lang w:val="en-US"/>
                <w14:textFill>
                  <w14:solidFill>
                    <w14:schemeClr w14:val="tx1"/>
                  </w14:solidFill>
                </w14:textFill>
              </w:rPr>
            </w:pPr>
            <w:r>
              <w:rPr>
                <w:rStyle w:val="967"/>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安全管理服务方案</w:t>
            </w:r>
          </w:p>
        </w:tc>
        <w:tc>
          <w:tcPr>
            <w:tcW w:w="5718" w:type="dxa"/>
            <w:tcBorders>
              <w:top w:val="single" w:color="auto" w:sz="4" w:space="0"/>
              <w:left w:val="single" w:color="auto" w:sz="4" w:space="0"/>
              <w:right w:val="single" w:color="auto" w:sz="4" w:space="0"/>
            </w:tcBorders>
            <w:noWrap w:val="0"/>
            <w:vAlign w:val="center"/>
          </w:tcPr>
          <w:p>
            <w:pPr>
              <w:numPr>
                <w:ilvl w:val="0"/>
                <w:numId w:val="0"/>
              </w:numPr>
              <w:adjustRightInd w:val="0"/>
              <w:snapToGrid w:val="0"/>
              <w:spacing w:line="240" w:lineRule="auto"/>
              <w:jc w:val="left"/>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14:textFill>
                  <w14:solidFill>
                    <w14:schemeClr w14:val="tx1"/>
                  </w14:solidFill>
                </w14:textFill>
              </w:rPr>
              <w:t>投标人</w:t>
            </w:r>
            <w:r>
              <w:rPr>
                <w:rStyle w:val="967"/>
                <w:rFonts w:hint="eastAsia" w:ascii="宋体" w:hAnsi="宋体" w:eastAsia="宋体" w:cs="宋体"/>
                <w:color w:val="000000" w:themeColor="text1"/>
                <w:sz w:val="24"/>
                <w:szCs w:val="24"/>
                <w:highlight w:val="none"/>
                <w14:textFill>
                  <w14:solidFill>
                    <w14:schemeClr w14:val="tx1"/>
                  </w14:solidFill>
                </w14:textFill>
              </w:rPr>
              <w:t>提供</w:t>
            </w:r>
            <w:r>
              <w:rPr>
                <w:rStyle w:val="967"/>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安全管理服务方案，包括</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设施设备管理方案、安全生产方案、应急处置方案。</w:t>
            </w:r>
          </w:p>
          <w:p>
            <w:pPr>
              <w:numPr>
                <w:ilvl w:val="0"/>
                <w:numId w:val="0"/>
              </w:numPr>
              <w:adjustRightInd w:val="0"/>
              <w:snapToGrid w:val="0"/>
              <w:spacing w:line="240" w:lineRule="auto"/>
              <w:ind w:left="0" w:leftChars="0" w:firstLine="0" w:firstLineChars="0"/>
              <w:jc w:val="left"/>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内容全面、具有很强的可行性、高效性、符合采购需求的得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5-4.1</w:t>
            </w:r>
            <w:r>
              <w:rPr>
                <w:rFonts w:hint="eastAsia" w:ascii="宋体" w:hAnsi="宋体" w:eastAsia="宋体" w:cs="宋体"/>
                <w:color w:val="000000" w:themeColor="text1"/>
                <w:sz w:val="24"/>
                <w:szCs w:val="24"/>
                <w:highlight w:val="none"/>
                <w14:textFill>
                  <w14:solidFill>
                    <w14:schemeClr w14:val="tx1"/>
                  </w14:solidFill>
                </w14:textFill>
              </w:rPr>
              <w:t>分，内容基本齐全、可行或高效的得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4-2.1</w:t>
            </w:r>
            <w:r>
              <w:rPr>
                <w:rFonts w:hint="eastAsia" w:ascii="宋体" w:hAnsi="宋体" w:eastAsia="宋体" w:cs="宋体"/>
                <w:color w:val="000000" w:themeColor="text1"/>
                <w:sz w:val="24"/>
                <w:szCs w:val="24"/>
                <w:highlight w:val="none"/>
                <w14:textFill>
                  <w14:solidFill>
                    <w14:schemeClr w14:val="tx1"/>
                  </w14:solidFill>
                </w14:textFill>
              </w:rPr>
              <w:t>分，内容不全、可行性差和高效性差的得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2-0</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1110" w:type="dxa"/>
            <w:tcBorders>
              <w:top w:val="single" w:color="auto" w:sz="4" w:space="0"/>
              <w:left w:val="single" w:color="auto" w:sz="4" w:space="0"/>
              <w:right w:val="single" w:color="auto" w:sz="4" w:space="0"/>
            </w:tcBorders>
            <w:noWrap w:val="0"/>
            <w:vAlign w:val="center"/>
          </w:tcPr>
          <w:p>
            <w:pPr>
              <w:pStyle w:val="5"/>
              <w:numPr>
                <w:ilvl w:val="3"/>
                <w:numId w:val="0"/>
              </w:numPr>
              <w:tabs>
                <w:tab w:val="clear" w:pos="864"/>
              </w:tabs>
              <w:spacing w:before="0" w:after="0" w:line="240" w:lineRule="auto"/>
              <w:jc w:val="center"/>
              <w:rPr>
                <w:rStyle w:val="967"/>
                <w:rFonts w:hint="eastAsia" w:ascii="宋体" w:hAnsi="宋体" w:eastAsia="宋体" w:cs="宋体"/>
                <w:b w:val="0"/>
                <w:bCs w:val="0"/>
                <w:color w:val="000000" w:themeColor="text1"/>
                <w:sz w:val="24"/>
                <w:szCs w:val="24"/>
                <w:highlight w:val="none"/>
                <w:lang w:val="en-US"/>
                <w14:textFill>
                  <w14:solidFill>
                    <w14:schemeClr w14:val="tx1"/>
                  </w14:solidFill>
                </w14:textFill>
              </w:rPr>
            </w:pPr>
            <w:r>
              <w:rPr>
                <w:rStyle w:val="967"/>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0-5</w:t>
            </w:r>
            <w:r>
              <w:rPr>
                <w:rStyle w:val="967"/>
                <w:rFonts w:hint="eastAsia" w:ascii="宋体" w:hAnsi="宋体" w:eastAsia="宋体" w:cs="宋体"/>
                <w:b w:val="0"/>
                <w:bCs w:val="0"/>
                <w:color w:val="000000" w:themeColor="text1"/>
                <w:sz w:val="24"/>
                <w:szCs w:val="24"/>
                <w:highlight w:val="none"/>
                <w:lang w:val="en-US"/>
                <w14:textFill>
                  <w14:solidFill>
                    <w14:schemeClr w14:val="tx1"/>
                  </w14:solidFill>
                </w14:textFill>
              </w:rPr>
              <w:t>分</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pStyle w:val="5"/>
              <w:numPr>
                <w:ilvl w:val="3"/>
                <w:numId w:val="0"/>
              </w:numPr>
              <w:tabs>
                <w:tab w:val="clear" w:pos="864"/>
              </w:tabs>
              <w:spacing w:before="0" w:after="0" w:line="240" w:lineRule="auto"/>
              <w:jc w:val="center"/>
              <w:rPr>
                <w:rStyle w:val="967"/>
                <w:rFonts w:hint="eastAsia" w:ascii="宋体" w:hAnsi="宋体" w:eastAsia="宋体" w:cs="宋体"/>
                <w:b w:val="0"/>
                <w:bCs w:val="0"/>
                <w:color w:val="000000" w:themeColor="text1"/>
                <w:sz w:val="24"/>
                <w:szCs w:val="24"/>
                <w:highlight w:val="none"/>
                <w:lang w:val="en-US"/>
                <w14:textFill>
                  <w14:solidFill>
                    <w14:schemeClr w14:val="tx1"/>
                  </w14:solidFill>
                </w14:textFill>
              </w:rPr>
            </w:pPr>
            <w:r>
              <w:rPr>
                <w:rStyle w:val="967"/>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主</w:t>
            </w:r>
            <w:r>
              <w:rPr>
                <w:rStyle w:val="967"/>
                <w:rFonts w:hint="eastAsia" w:ascii="宋体" w:hAnsi="宋体" w:eastAsia="宋体" w:cs="宋体"/>
                <w:b w:val="0"/>
                <w:bCs w:val="0"/>
                <w:color w:val="000000" w:themeColor="text1"/>
                <w:sz w:val="24"/>
                <w:szCs w:val="24"/>
                <w:highlight w:val="none"/>
                <w:lang w:val="en-US"/>
                <w14:textFill>
                  <w14:solidFill>
                    <w14:schemeClr w14:val="tx1"/>
                  </w14:solidFill>
                </w14:textFill>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690" w:type="dxa"/>
            <w:tcBorders>
              <w:left w:val="single" w:color="auto" w:sz="4" w:space="0"/>
              <w:right w:val="single" w:color="auto" w:sz="4" w:space="0"/>
            </w:tcBorders>
            <w:noWrap w:val="0"/>
            <w:vAlign w:val="center"/>
          </w:tcPr>
          <w:p>
            <w:pPr>
              <w:pStyle w:val="5"/>
              <w:numPr>
                <w:ilvl w:val="3"/>
                <w:numId w:val="0"/>
              </w:numPr>
              <w:tabs>
                <w:tab w:val="clear" w:pos="864"/>
              </w:tabs>
              <w:spacing w:before="0" w:after="0" w:line="240" w:lineRule="auto"/>
              <w:ind w:left="0" w:leftChars="0" w:firstLine="0" w:firstLineChars="0"/>
              <w:jc w:val="center"/>
              <w:rPr>
                <w:rStyle w:val="967"/>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Style w:val="967"/>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8</w:t>
            </w:r>
          </w:p>
        </w:tc>
        <w:tc>
          <w:tcPr>
            <w:tcW w:w="855" w:type="dxa"/>
            <w:tcBorders>
              <w:top w:val="single" w:color="auto" w:sz="4" w:space="0"/>
              <w:left w:val="single" w:color="auto" w:sz="4" w:space="0"/>
              <w:bottom w:val="single" w:color="auto" w:sz="4" w:space="0"/>
              <w:right w:val="single" w:color="auto" w:sz="4" w:space="0"/>
            </w:tcBorders>
            <w:noWrap w:val="0"/>
            <w:vAlign w:val="center"/>
          </w:tcPr>
          <w:p>
            <w:pPr>
              <w:pStyle w:val="5"/>
              <w:numPr>
                <w:ilvl w:val="3"/>
                <w:numId w:val="0"/>
              </w:numPr>
              <w:tabs>
                <w:tab w:val="clear" w:pos="864"/>
              </w:tabs>
              <w:spacing w:before="0" w:after="0" w:line="240" w:lineRule="auto"/>
              <w:ind w:left="0" w:leftChars="0" w:firstLine="0" w:firstLineChars="0"/>
              <w:jc w:val="center"/>
              <w:rPr>
                <w:rStyle w:val="967"/>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物业管理方案</w:t>
            </w:r>
          </w:p>
        </w:tc>
        <w:tc>
          <w:tcPr>
            <w:tcW w:w="5718"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djustRightInd w:val="0"/>
              <w:snapToGrid w:val="0"/>
              <w:spacing w:line="240" w:lineRule="auto"/>
              <w:jc w:val="left"/>
              <w:rPr>
                <w:rStyle w:val="967"/>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14:textFill>
                  <w14:solidFill>
                    <w14:schemeClr w14:val="tx1"/>
                  </w14:solidFill>
                </w14:textFill>
              </w:rPr>
              <w:t>投标人</w:t>
            </w:r>
            <w:r>
              <w:rPr>
                <w:rStyle w:val="967"/>
                <w:rFonts w:hint="eastAsia" w:ascii="宋体" w:hAnsi="宋体" w:eastAsia="宋体" w:cs="宋体"/>
                <w:color w:val="000000" w:themeColor="text1"/>
                <w:sz w:val="24"/>
                <w:szCs w:val="24"/>
                <w:highlight w:val="none"/>
                <w14:textFill>
                  <w14:solidFill>
                    <w14:schemeClr w14:val="tx1"/>
                  </w14:solidFill>
                </w14:textFill>
              </w:rPr>
              <w:t>提供招标范围内的物业管理方案，包括保安、保洁、保修及设备维护保养等。</w:t>
            </w:r>
          </w:p>
          <w:p>
            <w:pPr>
              <w:pStyle w:val="61"/>
              <w:numPr>
                <w:ilvl w:val="0"/>
                <w:numId w:val="0"/>
              </w:numPr>
              <w:spacing w:after="0"/>
              <w:ind w:left="0" w:leftChars="0" w:firstLine="0" w:firstLineChars="0"/>
              <w:rPr>
                <w:rFonts w:hint="eastAsia" w:ascii="宋体" w:hAnsi="宋体" w:eastAsia="宋体" w:cs="宋体"/>
                <w:color w:val="000000" w:themeColor="text1"/>
                <w:spacing w:val="-4"/>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内容全面、具有很强的可行性、高效性、符合采购需求的得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5-4.1</w:t>
            </w:r>
            <w:r>
              <w:rPr>
                <w:rFonts w:hint="eastAsia" w:ascii="宋体" w:hAnsi="宋体" w:eastAsia="宋体" w:cs="宋体"/>
                <w:color w:val="000000" w:themeColor="text1"/>
                <w:sz w:val="24"/>
                <w:szCs w:val="24"/>
                <w:highlight w:val="none"/>
                <w14:textFill>
                  <w14:solidFill>
                    <w14:schemeClr w14:val="tx1"/>
                  </w14:solidFill>
                </w14:textFill>
              </w:rPr>
              <w:t>分，内容基本齐全、可行或高效的得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4-2.1</w:t>
            </w:r>
            <w:r>
              <w:rPr>
                <w:rFonts w:hint="eastAsia" w:ascii="宋体" w:hAnsi="宋体" w:eastAsia="宋体" w:cs="宋体"/>
                <w:color w:val="000000" w:themeColor="text1"/>
                <w:sz w:val="24"/>
                <w:szCs w:val="24"/>
                <w:highlight w:val="none"/>
                <w14:textFill>
                  <w14:solidFill>
                    <w14:schemeClr w14:val="tx1"/>
                  </w14:solidFill>
                </w14:textFill>
              </w:rPr>
              <w:t>分，内容不全、可行性差和高效性差的得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2-0</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numPr>
                <w:ilvl w:val="3"/>
                <w:numId w:val="0"/>
              </w:numPr>
              <w:tabs>
                <w:tab w:val="clear" w:pos="864"/>
              </w:tabs>
              <w:spacing w:before="0" w:after="0" w:line="240" w:lineRule="auto"/>
              <w:ind w:left="0" w:leftChars="0" w:firstLine="0" w:firstLineChars="0"/>
              <w:jc w:val="center"/>
              <w:rPr>
                <w:rStyle w:val="967"/>
                <w:rFonts w:hint="eastAsia" w:ascii="宋体" w:hAnsi="宋体" w:eastAsia="宋体" w:cs="宋体"/>
                <w:b w:val="0"/>
                <w:bCs w:val="0"/>
                <w:color w:val="000000" w:themeColor="text1"/>
                <w:sz w:val="24"/>
                <w:szCs w:val="24"/>
                <w:highlight w:val="none"/>
                <w:lang w:val="en-US"/>
                <w14:textFill>
                  <w14:solidFill>
                    <w14:schemeClr w14:val="tx1"/>
                  </w14:solidFill>
                </w14:textFill>
              </w:rPr>
            </w:pPr>
            <w:r>
              <w:rPr>
                <w:rStyle w:val="967"/>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0-5</w:t>
            </w:r>
            <w:r>
              <w:rPr>
                <w:rStyle w:val="967"/>
                <w:rFonts w:hint="eastAsia" w:ascii="宋体" w:hAnsi="宋体" w:eastAsia="宋体" w:cs="宋体"/>
                <w:b w:val="0"/>
                <w:bCs w:val="0"/>
                <w:color w:val="000000" w:themeColor="text1"/>
                <w:sz w:val="24"/>
                <w:szCs w:val="24"/>
                <w:highlight w:val="none"/>
                <w:lang w:val="en-US"/>
                <w14:textFill>
                  <w14:solidFill>
                    <w14:schemeClr w14:val="tx1"/>
                  </w14:solidFill>
                </w14:textFill>
              </w:rPr>
              <w:t>分</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pStyle w:val="5"/>
              <w:numPr>
                <w:ilvl w:val="3"/>
                <w:numId w:val="0"/>
              </w:numPr>
              <w:tabs>
                <w:tab w:val="clear" w:pos="864"/>
              </w:tabs>
              <w:spacing w:before="0" w:after="0" w:line="240" w:lineRule="auto"/>
              <w:ind w:left="0" w:leftChars="0" w:firstLine="0" w:firstLineChars="0"/>
              <w:jc w:val="center"/>
              <w:rPr>
                <w:rStyle w:val="967"/>
                <w:rFonts w:hint="eastAsia" w:ascii="宋体" w:hAnsi="宋体" w:eastAsia="宋体" w:cs="宋体"/>
                <w:b w:val="0"/>
                <w:bCs w:val="0"/>
                <w:color w:val="000000" w:themeColor="text1"/>
                <w:sz w:val="24"/>
                <w:szCs w:val="24"/>
                <w:highlight w:val="none"/>
                <w:lang w:val="en-US"/>
                <w14:textFill>
                  <w14:solidFill>
                    <w14:schemeClr w14:val="tx1"/>
                  </w14:solidFill>
                </w14:textFill>
              </w:rPr>
            </w:pPr>
            <w:r>
              <w:rPr>
                <w:rStyle w:val="967"/>
                <w:rFonts w:hint="eastAsia" w:ascii="宋体" w:hAnsi="宋体" w:eastAsia="宋体" w:cs="宋体"/>
                <w:b w:val="0"/>
                <w:bCs w:val="0"/>
                <w:color w:val="000000" w:themeColor="text1"/>
                <w:sz w:val="24"/>
                <w:szCs w:val="24"/>
                <w:highlight w:val="none"/>
                <w:lang w:val="en-US"/>
                <w14:textFill>
                  <w14:solidFill>
                    <w14:schemeClr w14:val="tx1"/>
                  </w14:solidFill>
                </w14:textFill>
              </w:rPr>
              <w:t>主观分</w:t>
            </w:r>
          </w:p>
        </w:tc>
      </w:tr>
    </w:tbl>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w:t>
      </w:r>
      <w:r>
        <w:rPr>
          <w:rFonts w:hint="eastAsia" w:ascii="宋体" w:hAnsi="宋体" w:eastAsia="宋体" w:cs="宋体"/>
          <w:b/>
          <w:color w:val="000000" w:themeColor="text1"/>
          <w:sz w:val="24"/>
          <w:szCs w:val="24"/>
          <w:highlight w:val="none"/>
          <w14:textFill>
            <w14:solidFill>
              <w14:schemeClr w14:val="tx1"/>
            </w14:solidFill>
          </w14:textFill>
        </w:rPr>
        <w:t>备注：</w:t>
      </w:r>
      <w:r>
        <w:rPr>
          <w:rFonts w:hint="eastAsia" w:ascii="宋体" w:hAnsi="宋体" w:eastAsia="宋体" w:cs="宋体"/>
          <w:color w:val="000000" w:themeColor="text1"/>
          <w:sz w:val="24"/>
          <w:szCs w:val="24"/>
          <w:highlight w:val="none"/>
          <w14:textFill>
            <w14:solidFill>
              <w14:schemeClr w14:val="tx1"/>
            </w14:solidFill>
          </w14:textFill>
        </w:rPr>
        <w:t xml:space="preserve">1、投标人编制投标文件（商务技术文件部分）时，建议按此目录（序号和内容）提供评标标准相应的商务技术资料。 </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2、评分条款中涉及的业绩、荣誉、人员、社保等分公司均有效。涉及社保、劳动关系证明关系的，如人员为法人代表，则无需提供相关证明，提供营业执照及身份证即可。</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3、投标文件中如附有外文资料，必须逐一对应翻译成中文并加盖投标人公章后附在相关外文资料后面，否则外文资料不予认可。</w:t>
      </w:r>
    </w:p>
    <w:p>
      <w:pPr>
        <w:widowControl/>
        <w:rPr>
          <w:rFonts w:hint="eastAsia" w:ascii="仿宋" w:hAnsi="仿宋" w:eastAsia="仿宋" w:cs="仿宋"/>
          <w:color w:val="000000" w:themeColor="text1"/>
          <w:sz w:val="24"/>
          <w:highlight w:val="none"/>
          <w:lang w:val="en-US" w:eastAsia="zh-CN"/>
          <w14:textFill>
            <w14:solidFill>
              <w14:schemeClr w14:val="tx1"/>
            </w14:solidFill>
          </w14:textFill>
        </w:rPr>
      </w:pPr>
    </w:p>
    <w:p>
      <w:pPr>
        <w:widowControl/>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价格分（</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
          <w:bCs/>
          <w:color w:val="000000" w:themeColor="text1"/>
          <w:sz w:val="24"/>
          <w:szCs w:val="24"/>
          <w:highlight w:val="none"/>
          <w14:textFill>
            <w14:solidFill>
              <w14:schemeClr w14:val="tx1"/>
            </w14:solidFill>
          </w14:textFill>
        </w:rPr>
        <w:t>0分）</w:t>
      </w:r>
    </w:p>
    <w:tbl>
      <w:tblPr>
        <w:tblStyle w:val="62"/>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1515"/>
        <w:gridCol w:w="5742"/>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jc w:val="center"/>
        </w:trPr>
        <w:tc>
          <w:tcPr>
            <w:tcW w:w="58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序号</w:t>
            </w:r>
          </w:p>
        </w:tc>
        <w:tc>
          <w:tcPr>
            <w:tcW w:w="151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firstLine="0" w:firstLineChars="0"/>
              <w:jc w:val="center"/>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评分因素</w:t>
            </w:r>
          </w:p>
        </w:tc>
        <w:tc>
          <w:tcPr>
            <w:tcW w:w="5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计算方法</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3" w:hRule="atLeast"/>
          <w:jc w:val="center"/>
        </w:trPr>
        <w:tc>
          <w:tcPr>
            <w:tcW w:w="58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1</w:t>
            </w:r>
          </w:p>
        </w:tc>
        <w:tc>
          <w:tcPr>
            <w:tcW w:w="151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价格权值=0.</w:t>
            </w:r>
            <w:r>
              <w:rPr>
                <w:rFonts w:hint="eastAsia" w:ascii="宋体" w:hAnsi="宋体" w:cs="宋体"/>
                <w:color w:val="000000" w:themeColor="text1"/>
                <w:sz w:val="24"/>
                <w:highlight w:val="none"/>
                <w:lang w:val="en-US" w:eastAsia="zh-CN"/>
                <w14:textFill>
                  <w14:solidFill>
                    <w14:schemeClr w14:val="tx1"/>
                  </w14:solidFill>
                </w14:textFill>
              </w:rPr>
              <w:t>10</w:t>
            </w:r>
          </w:p>
          <w:p>
            <w:pPr>
              <w:keepNext w:val="0"/>
              <w:keepLines w:val="0"/>
              <w:pageBreakBefore w:val="0"/>
              <w:widowControl/>
              <w:numPr>
                <w:ilvl w:val="0"/>
                <w:numId w:val="0"/>
              </w:numPr>
              <w:kinsoku/>
              <w:wordWrap/>
              <w:overflowPunct/>
              <w:topLinePunct w:val="0"/>
              <w:autoSpaceDE/>
              <w:autoSpaceDN/>
              <w:bidi w:val="0"/>
              <w:adjustRightInd/>
              <w:spacing w:line="400" w:lineRule="exact"/>
              <w:jc w:val="center"/>
              <w:textAlignment w:val="auto"/>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（基础营收服务费）</w:t>
            </w:r>
          </w:p>
        </w:tc>
        <w:tc>
          <w:tcPr>
            <w:tcW w:w="5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pacing w:line="400" w:lineRule="exact"/>
              <w:jc w:val="left"/>
              <w:textAlignment w:val="auto"/>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14:textFill>
                  <w14:solidFill>
                    <w14:schemeClr w14:val="tx1"/>
                  </w14:solidFill>
                </w14:textFill>
              </w:rPr>
              <w:t>最低有效投标</w:t>
            </w:r>
            <w:r>
              <w:rPr>
                <w:rFonts w:hint="eastAsia" w:ascii="宋体" w:hAnsi="宋体" w:eastAsia="宋体" w:cs="宋体"/>
                <w:color w:val="000000" w:themeColor="text1"/>
                <w:sz w:val="24"/>
                <w:szCs w:val="24"/>
                <w:highlight w:val="none"/>
                <w:lang w:val="en-US" w:eastAsia="zh-CN"/>
                <w14:textFill>
                  <w14:solidFill>
                    <w14:schemeClr w14:val="tx1"/>
                  </w14:solidFill>
                </w14:textFill>
              </w:rPr>
              <w:t>基础营收服务费</w:t>
            </w:r>
            <w:r>
              <w:rPr>
                <w:rFonts w:hint="eastAsia" w:ascii="宋体" w:hAnsi="宋体" w:eastAsia="宋体" w:cs="宋体"/>
                <w:color w:val="000000" w:themeColor="text1"/>
                <w:kern w:val="2"/>
                <w:sz w:val="24"/>
                <w:szCs w:val="24"/>
                <w:highlight w:val="none"/>
                <w14:textFill>
                  <w14:solidFill>
                    <w14:schemeClr w14:val="tx1"/>
                  </w14:solidFill>
                </w14:textFill>
              </w:rPr>
              <w:t>为评标基准价，其最低报价为满分；</w:t>
            </w:r>
          </w:p>
          <w:p>
            <w:pPr>
              <w:keepNext w:val="0"/>
              <w:keepLines w:val="0"/>
              <w:pageBreakBefore w:val="0"/>
              <w:widowControl/>
              <w:numPr>
                <w:ilvl w:val="0"/>
                <w:numId w:val="0"/>
              </w:numPr>
              <w:kinsoku/>
              <w:wordWrap/>
              <w:overflowPunct/>
              <w:topLinePunct w:val="0"/>
              <w:autoSpaceDE/>
              <w:autoSpaceDN/>
              <w:bidi w:val="0"/>
              <w:adjustRightInd/>
              <w:spacing w:line="400" w:lineRule="exact"/>
              <w:jc w:val="lef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2"/>
                <w:sz w:val="24"/>
                <w:szCs w:val="24"/>
                <w:highlight w:val="none"/>
                <w14:textFill>
                  <w14:solidFill>
                    <w14:schemeClr w14:val="tx1"/>
                  </w14:solidFill>
                </w14:textFill>
              </w:rPr>
              <w:t>投标</w:t>
            </w:r>
            <w:r>
              <w:rPr>
                <w:rFonts w:hint="eastAsia" w:ascii="宋体" w:hAnsi="宋体" w:eastAsia="宋体" w:cs="宋体"/>
                <w:color w:val="000000" w:themeColor="text1"/>
                <w:sz w:val="24"/>
                <w:szCs w:val="24"/>
                <w:highlight w:val="none"/>
                <w:lang w:val="en-US" w:eastAsia="zh-CN"/>
                <w14:textFill>
                  <w14:solidFill>
                    <w14:schemeClr w14:val="tx1"/>
                  </w14:solidFill>
                </w14:textFill>
              </w:rPr>
              <w:t>基础营收服务费</w:t>
            </w:r>
            <w:r>
              <w:rPr>
                <w:rFonts w:hint="eastAsia" w:ascii="宋体" w:hAnsi="宋体" w:eastAsia="宋体" w:cs="宋体"/>
                <w:color w:val="000000" w:themeColor="text1"/>
                <w:kern w:val="2"/>
                <w:sz w:val="24"/>
                <w:szCs w:val="24"/>
                <w:highlight w:val="none"/>
                <w14:textFill>
                  <w14:solidFill>
                    <w14:schemeClr w14:val="tx1"/>
                  </w14:solidFill>
                </w14:textFill>
              </w:rPr>
              <w:t>得分=(评标基准价／投标</w:t>
            </w:r>
            <w:r>
              <w:rPr>
                <w:rFonts w:hint="eastAsia" w:ascii="宋体" w:hAnsi="宋体" w:eastAsia="宋体" w:cs="宋体"/>
                <w:color w:val="000000" w:themeColor="text1"/>
                <w:sz w:val="24"/>
                <w:szCs w:val="24"/>
                <w:highlight w:val="none"/>
                <w:lang w:val="en-US" w:eastAsia="zh-CN"/>
                <w14:textFill>
                  <w14:solidFill>
                    <w14:schemeClr w14:val="tx1"/>
                  </w14:solidFill>
                </w14:textFill>
              </w:rPr>
              <w:t>基础营收服务费</w:t>
            </w:r>
            <w:r>
              <w:rPr>
                <w:rFonts w:hint="eastAsia" w:ascii="宋体" w:hAnsi="宋体" w:eastAsia="宋体" w:cs="宋体"/>
                <w:color w:val="000000" w:themeColor="text1"/>
                <w:kern w:val="2"/>
                <w:sz w:val="24"/>
                <w:szCs w:val="24"/>
                <w:highlight w:val="none"/>
                <w14:textFill>
                  <w14:solidFill>
                    <w14:schemeClr w14:val="tx1"/>
                  </w14:solidFill>
                </w14:textFill>
              </w:rPr>
              <w:t>)×价格权值×100</w:t>
            </w:r>
            <w:r>
              <w:rPr>
                <w:rFonts w:hint="eastAsia" w:ascii="宋体" w:hAnsi="宋体" w:eastAsia="宋体" w:cs="宋体"/>
                <w:color w:val="000000" w:themeColor="text1"/>
                <w:kern w:val="2"/>
                <w:sz w:val="24"/>
                <w:szCs w:val="24"/>
                <w:highlight w:val="none"/>
                <w:lang w:val="en-US"/>
                <w14:textFill>
                  <w14:solidFill>
                    <w14:schemeClr w14:val="tx1"/>
                  </w14:solidFill>
                </w14:textFill>
              </w:rPr>
              <w:t xml:space="preserve"> </w:t>
            </w:r>
            <w:r>
              <w:rPr>
                <w:rFonts w:hint="eastAsia" w:ascii="宋体" w:hAnsi="宋体" w:eastAsia="宋体" w:cs="宋体"/>
                <w:color w:val="000000" w:themeColor="text1"/>
                <w:kern w:val="2"/>
                <w:sz w:val="24"/>
                <w:szCs w:val="24"/>
                <w:highlight w:val="none"/>
                <w14:textFill>
                  <w14:solidFill>
                    <w14:schemeClr w14:val="tx1"/>
                  </w14:solidFill>
                </w14:textFill>
              </w:rPr>
              <w:t>（计算得分保留小数点后2位）</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pacing w:line="400" w:lineRule="exact"/>
              <w:jc w:val="center"/>
              <w:textAlignment w:val="auto"/>
              <w:rPr>
                <w:rFonts w:hint="default" w:ascii="宋体" w:hAnsi="宋体" w:eastAsia="宋体" w:cs="宋体"/>
                <w:color w:val="000000" w:themeColor="text1"/>
                <w:kern w:val="2"/>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5" w:hRule="atLeast"/>
          <w:jc w:val="center"/>
        </w:trPr>
        <w:tc>
          <w:tcPr>
            <w:tcW w:w="58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2</w:t>
            </w:r>
          </w:p>
        </w:tc>
        <w:tc>
          <w:tcPr>
            <w:tcW w:w="151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价格权值=0.</w:t>
            </w:r>
            <w:r>
              <w:rPr>
                <w:rFonts w:hint="eastAsia" w:ascii="宋体" w:hAnsi="宋体" w:cs="宋体"/>
                <w:color w:val="000000" w:themeColor="text1"/>
                <w:sz w:val="24"/>
                <w:highlight w:val="none"/>
                <w:lang w:val="en-US" w:eastAsia="zh-CN"/>
                <w14:textFill>
                  <w14:solidFill>
                    <w14:schemeClr w14:val="tx1"/>
                  </w14:solidFill>
                </w14:textFill>
              </w:rPr>
              <w:t>10</w:t>
            </w:r>
          </w:p>
          <w:p>
            <w:pPr>
              <w:keepNext w:val="0"/>
              <w:keepLines w:val="0"/>
              <w:pageBreakBefore w:val="0"/>
              <w:widowControl/>
              <w:numPr>
                <w:ilvl w:val="0"/>
                <w:numId w:val="0"/>
              </w:numPr>
              <w:kinsoku/>
              <w:wordWrap/>
              <w:overflowPunct/>
              <w:topLinePunct w:val="0"/>
              <w:autoSpaceDE/>
              <w:autoSpaceDN/>
              <w:bidi w:val="0"/>
              <w:adjustRightInd/>
              <w:spacing w:line="400" w:lineRule="exact"/>
              <w:jc w:val="center"/>
              <w:textAlignment w:val="auto"/>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（超额奖励服务费率）</w:t>
            </w:r>
          </w:p>
        </w:tc>
        <w:tc>
          <w:tcPr>
            <w:tcW w:w="5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pacing w:line="400" w:lineRule="exact"/>
              <w:jc w:val="left"/>
              <w:textAlignment w:val="auto"/>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14:textFill>
                  <w14:solidFill>
                    <w14:schemeClr w14:val="tx1"/>
                  </w14:solidFill>
                </w14:textFill>
              </w:rPr>
              <w:t>最低有效投标</w:t>
            </w:r>
            <w:r>
              <w:rPr>
                <w:rFonts w:hint="eastAsia" w:ascii="宋体" w:hAnsi="宋体" w:eastAsia="宋体" w:cs="宋体"/>
                <w:color w:val="000000" w:themeColor="text1"/>
                <w:kern w:val="2"/>
                <w:sz w:val="24"/>
                <w:szCs w:val="24"/>
                <w:highlight w:val="none"/>
                <w:lang w:val="en-US" w:eastAsia="zh-CN"/>
                <w14:textFill>
                  <w14:solidFill>
                    <w14:schemeClr w14:val="tx1"/>
                  </w14:solidFill>
                </w14:textFill>
              </w:rPr>
              <w:t>超额奖励服务费率</w:t>
            </w:r>
            <w:r>
              <w:rPr>
                <w:rFonts w:hint="eastAsia" w:ascii="宋体" w:hAnsi="宋体" w:eastAsia="宋体" w:cs="宋体"/>
                <w:color w:val="000000" w:themeColor="text1"/>
                <w:kern w:val="2"/>
                <w:sz w:val="24"/>
                <w:szCs w:val="24"/>
                <w:highlight w:val="none"/>
                <w14:textFill>
                  <w14:solidFill>
                    <w14:schemeClr w14:val="tx1"/>
                  </w14:solidFill>
                </w14:textFill>
              </w:rPr>
              <w:t>为评标基准价，其最低报价为满分；</w:t>
            </w:r>
          </w:p>
          <w:p>
            <w:pPr>
              <w:keepNext w:val="0"/>
              <w:keepLines w:val="0"/>
              <w:pageBreakBefore w:val="0"/>
              <w:widowControl/>
              <w:numPr>
                <w:ilvl w:val="0"/>
                <w:numId w:val="0"/>
              </w:numPr>
              <w:kinsoku/>
              <w:wordWrap/>
              <w:overflowPunct/>
              <w:topLinePunct w:val="0"/>
              <w:autoSpaceDE/>
              <w:autoSpaceDN/>
              <w:bidi w:val="0"/>
              <w:adjustRightInd/>
              <w:spacing w:line="400" w:lineRule="exact"/>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14:textFill>
                  <w14:solidFill>
                    <w14:schemeClr w14:val="tx1"/>
                  </w14:solidFill>
                </w14:textFill>
              </w:rPr>
              <w:t>投标</w:t>
            </w:r>
            <w:r>
              <w:rPr>
                <w:rFonts w:hint="eastAsia" w:ascii="宋体" w:hAnsi="宋体" w:eastAsia="宋体" w:cs="宋体"/>
                <w:color w:val="000000" w:themeColor="text1"/>
                <w:kern w:val="2"/>
                <w:sz w:val="24"/>
                <w:szCs w:val="24"/>
                <w:highlight w:val="none"/>
                <w:lang w:val="en-US" w:eastAsia="zh-CN"/>
                <w14:textFill>
                  <w14:solidFill>
                    <w14:schemeClr w14:val="tx1"/>
                  </w14:solidFill>
                </w14:textFill>
              </w:rPr>
              <w:t>超额奖励服务费率</w:t>
            </w:r>
            <w:r>
              <w:rPr>
                <w:rFonts w:hint="eastAsia" w:ascii="宋体" w:hAnsi="宋体" w:eastAsia="宋体" w:cs="宋体"/>
                <w:color w:val="000000" w:themeColor="text1"/>
                <w:kern w:val="2"/>
                <w:sz w:val="24"/>
                <w:szCs w:val="24"/>
                <w:highlight w:val="none"/>
                <w14:textFill>
                  <w14:solidFill>
                    <w14:schemeClr w14:val="tx1"/>
                  </w14:solidFill>
                </w14:textFill>
              </w:rPr>
              <w:t>得分=(评标基准价／投标</w:t>
            </w:r>
            <w:r>
              <w:rPr>
                <w:rFonts w:hint="eastAsia" w:ascii="宋体" w:hAnsi="宋体" w:eastAsia="宋体" w:cs="宋体"/>
                <w:color w:val="000000" w:themeColor="text1"/>
                <w:kern w:val="2"/>
                <w:sz w:val="24"/>
                <w:szCs w:val="24"/>
                <w:highlight w:val="none"/>
                <w:lang w:val="en-US" w:eastAsia="zh-CN"/>
                <w14:textFill>
                  <w14:solidFill>
                    <w14:schemeClr w14:val="tx1"/>
                  </w14:solidFill>
                </w14:textFill>
              </w:rPr>
              <w:t>超额奖励服务费率</w:t>
            </w:r>
            <w:r>
              <w:rPr>
                <w:rFonts w:hint="eastAsia" w:ascii="宋体" w:hAnsi="宋体" w:eastAsia="宋体" w:cs="宋体"/>
                <w:color w:val="000000" w:themeColor="text1"/>
                <w:kern w:val="2"/>
                <w:sz w:val="24"/>
                <w:szCs w:val="24"/>
                <w:highlight w:val="none"/>
                <w14:textFill>
                  <w14:solidFill>
                    <w14:schemeClr w14:val="tx1"/>
                  </w14:solidFill>
                </w14:textFill>
              </w:rPr>
              <w:t>)×价格权值×100</w:t>
            </w:r>
            <w:r>
              <w:rPr>
                <w:rFonts w:hint="eastAsia" w:ascii="宋体" w:hAnsi="宋体" w:eastAsia="宋体" w:cs="宋体"/>
                <w:color w:val="000000" w:themeColor="text1"/>
                <w:kern w:val="2"/>
                <w:sz w:val="24"/>
                <w:szCs w:val="24"/>
                <w:highlight w:val="none"/>
                <w:lang w:val="en-US"/>
                <w14:textFill>
                  <w14:solidFill>
                    <w14:schemeClr w14:val="tx1"/>
                  </w14:solidFill>
                </w14:textFill>
              </w:rPr>
              <w:t xml:space="preserve"> </w:t>
            </w:r>
            <w:r>
              <w:rPr>
                <w:rFonts w:hint="eastAsia" w:ascii="宋体" w:hAnsi="宋体" w:eastAsia="宋体" w:cs="宋体"/>
                <w:color w:val="000000" w:themeColor="text1"/>
                <w:kern w:val="2"/>
                <w:sz w:val="24"/>
                <w:szCs w:val="24"/>
                <w:highlight w:val="none"/>
                <w14:textFill>
                  <w14:solidFill>
                    <w14:schemeClr w14:val="tx1"/>
                  </w14:solidFill>
                </w14:textFill>
              </w:rPr>
              <w:t>（计算得分保留小数点后2位）</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宋体" w:hAnsi="宋体" w:eastAsia="宋体" w:cs="宋体"/>
                <w:color w:val="000000" w:themeColor="text1"/>
                <w:kern w:val="2"/>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10分</w:t>
            </w:r>
          </w:p>
        </w:tc>
      </w:tr>
    </w:tbl>
    <w:p>
      <w:pPr>
        <w:spacing w:line="360" w:lineRule="auto"/>
        <w:ind w:firstLine="480" w:firstLineChars="200"/>
        <w:rPr>
          <w:rFonts w:hint="eastAsia" w:ascii="宋体" w:hAnsi="宋体" w:eastAsia="宋体" w:cs="宋体"/>
          <w:color w:val="000000" w:themeColor="text1"/>
          <w:sz w:val="24"/>
          <w:szCs w:val="24"/>
          <w:highlight w:val="none"/>
          <w:shd w:val="clear" w:color="auto" w:fill="FFFFFF"/>
          <w14:textFill>
            <w14:solidFill>
              <w14:schemeClr w14:val="tx1"/>
            </w14:solidFill>
          </w14:textFill>
        </w:rPr>
      </w:pP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注：</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w:t>
      </w:r>
    </w:p>
    <w:p>
      <w:pP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br w:type="page"/>
      </w:r>
    </w:p>
    <w:p>
      <w:pPr>
        <w:snapToGrid w:val="0"/>
        <w:spacing w:line="360" w:lineRule="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一、评标方法</w:t>
      </w:r>
    </w:p>
    <w:p>
      <w:pPr>
        <w:adjustRightInd/>
        <w:spacing w:line="360" w:lineRule="auto"/>
        <w:ind w:firstLine="472"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1.本项目采用综合评分法。</w:t>
      </w:r>
      <w:r>
        <w:rPr>
          <w:rFonts w:hint="eastAsia" w:ascii="宋体" w:hAnsi="宋体" w:eastAsia="宋体" w:cs="宋体"/>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二、评标标准</w:t>
      </w:r>
    </w:p>
    <w:p>
      <w:pPr>
        <w:spacing w:line="360" w:lineRule="auto"/>
        <w:ind w:firstLine="472" w:firstLineChars="196"/>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 xml:space="preserve"> </w:t>
      </w:r>
      <w:r>
        <w:rPr>
          <w:rFonts w:hint="eastAsia" w:ascii="宋体" w:hAnsi="宋体" w:eastAsia="宋体" w:cs="宋体"/>
          <w:b/>
          <w:color w:val="000000" w:themeColor="text1"/>
          <w:sz w:val="24"/>
          <w:highlight w:val="none"/>
          <w14:textFill>
            <w14:solidFill>
              <w14:schemeClr w14:val="tx1"/>
            </w14:solidFill>
          </w14:textFill>
        </w:rPr>
        <w:t>评标标准：</w:t>
      </w:r>
      <w:r>
        <w:rPr>
          <w:rFonts w:hint="eastAsia" w:ascii="宋体" w:hAnsi="宋体" w:eastAsia="宋体" w:cs="宋体"/>
          <w:color w:val="000000" w:themeColor="text1"/>
          <w:kern w:val="0"/>
          <w:sz w:val="24"/>
          <w:highlight w:val="none"/>
          <w14:textFill>
            <w14:solidFill>
              <w14:schemeClr w14:val="tx1"/>
            </w14:solidFill>
          </w14:textFill>
        </w:rPr>
        <w:t>见评标办法前附表。</w:t>
      </w:r>
    </w:p>
    <w:p>
      <w:pPr>
        <w:spacing w:line="360" w:lineRule="auto"/>
        <w:outlineLvl w:val="0"/>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三、评标程序</w:t>
      </w:r>
    </w:p>
    <w:p>
      <w:pPr>
        <w:spacing w:line="360" w:lineRule="auto"/>
        <w:ind w:firstLine="472"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3.1符合性审查。</w:t>
      </w:r>
      <w:r>
        <w:rPr>
          <w:rFonts w:hint="eastAsia" w:ascii="宋体" w:hAnsi="宋体" w:eastAsia="宋体" w:cs="宋体"/>
          <w:color w:val="000000" w:themeColor="text1"/>
          <w:kern w:val="0"/>
          <w:sz w:val="24"/>
          <w:highlight w:val="none"/>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3.2 比较与评价。</w:t>
      </w:r>
      <w:r>
        <w:rPr>
          <w:rFonts w:hint="eastAsia" w:ascii="宋体" w:hAnsi="宋体" w:eastAsia="宋体" w:cs="宋体"/>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3.3汇总商务技术得分。</w:t>
      </w:r>
      <w:r>
        <w:rPr>
          <w:rFonts w:hint="eastAsia" w:ascii="宋体" w:hAnsi="宋体" w:eastAsia="宋体" w:cs="宋体"/>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3.4报价评审。</w:t>
      </w:r>
    </w:p>
    <w:p>
      <w:pPr>
        <w:pStyle w:val="128"/>
        <w:spacing w:before="0"/>
        <w:ind w:firstLine="508" w:firstLineChars="212"/>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3.4.1投标文件报价出现前后不一致的，按照下列规定修正：</w:t>
      </w:r>
    </w:p>
    <w:p>
      <w:pPr>
        <w:pStyle w:val="128"/>
        <w:spacing w:before="0"/>
        <w:ind w:firstLine="480"/>
        <w:rPr>
          <w:rFonts w:hint="eastAsia" w:ascii="宋体" w:hAnsi="宋体" w:eastAsia="宋体" w:cs="宋体"/>
          <w:color w:val="000000" w:themeColor="text1"/>
          <w:kern w:val="0"/>
          <w:szCs w:val="24"/>
          <w:highlight w:val="none"/>
          <w:lang w:eastAsia="zh-CN"/>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r>
        <w:rPr>
          <w:rFonts w:hint="eastAsia" w:ascii="宋体" w:hAnsi="宋体" w:cs="宋体"/>
          <w:color w:val="000000" w:themeColor="text1"/>
          <w:kern w:val="0"/>
          <w:szCs w:val="24"/>
          <w:highlight w:val="none"/>
          <w:lang w:eastAsia="zh-CN"/>
          <w14:textFill>
            <w14:solidFill>
              <w14:schemeClr w14:val="tx1"/>
            </w14:solidFill>
          </w14:textFill>
        </w:rPr>
        <w:t>；</w:t>
      </w:r>
    </w:p>
    <w:p>
      <w:pPr>
        <w:pStyle w:val="128"/>
        <w:spacing w:before="0"/>
        <w:ind w:firstLine="480"/>
        <w:rPr>
          <w:rFonts w:hint="eastAsia" w:ascii="宋体" w:hAnsi="宋体" w:cs="宋体"/>
          <w:color w:val="000000" w:themeColor="text1"/>
          <w:kern w:val="0"/>
          <w:szCs w:val="24"/>
          <w:highlight w:val="none"/>
          <w:lang w:eastAsia="zh-CN"/>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3.4.1.2大写金额和小写金额不一致的，以大写金额为准</w:t>
      </w:r>
      <w:r>
        <w:rPr>
          <w:rFonts w:hint="eastAsia" w:ascii="宋体" w:hAnsi="宋体" w:cs="宋体"/>
          <w:color w:val="000000" w:themeColor="text1"/>
          <w:kern w:val="0"/>
          <w:szCs w:val="24"/>
          <w:highlight w:val="none"/>
          <w:lang w:eastAsia="zh-CN"/>
          <w14:textFill>
            <w14:solidFill>
              <w14:schemeClr w14:val="tx1"/>
            </w14:solidFill>
          </w14:textFill>
        </w:rPr>
        <w:t>；</w:t>
      </w:r>
    </w:p>
    <w:p>
      <w:pPr>
        <w:pStyle w:val="128"/>
        <w:spacing w:before="0"/>
        <w:ind w:firstLine="480"/>
        <w:rPr>
          <w:rFonts w:hint="eastAsia" w:ascii="宋体" w:hAnsi="宋体" w:eastAsia="宋体" w:cs="宋体"/>
          <w:color w:val="000000" w:themeColor="text1"/>
          <w:kern w:val="0"/>
          <w:szCs w:val="24"/>
          <w:highlight w:val="none"/>
          <w:lang w:eastAsia="zh-CN"/>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3.4.1.3单价金额小数点或者百分比有明显错位的，以开标一览表的总价为准，并修改单价</w:t>
      </w:r>
      <w:r>
        <w:rPr>
          <w:rFonts w:hint="eastAsia" w:ascii="宋体" w:hAnsi="宋体" w:cs="宋体"/>
          <w:color w:val="000000" w:themeColor="text1"/>
          <w:kern w:val="0"/>
          <w:szCs w:val="24"/>
          <w:highlight w:val="none"/>
          <w:lang w:eastAsia="zh-CN"/>
          <w14:textFill>
            <w14:solidFill>
              <w14:schemeClr w14:val="tx1"/>
            </w14:solidFill>
          </w14:textFill>
        </w:rPr>
        <w:t>；</w:t>
      </w:r>
    </w:p>
    <w:p>
      <w:pPr>
        <w:pStyle w:val="128"/>
        <w:spacing w:before="0"/>
        <w:ind w:firstLine="480"/>
        <w:rPr>
          <w:rFonts w:hint="eastAsia" w:ascii="宋体" w:hAnsi="宋体" w:eastAsia="宋体" w:cs="宋体"/>
          <w:color w:val="000000" w:themeColor="text1"/>
          <w:kern w:val="0"/>
          <w:szCs w:val="24"/>
          <w:highlight w:val="none"/>
          <w:lang w:eastAsia="zh-CN"/>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3.4.1.4总价金额与按单价汇总金额不一致的，以单价金额计算结果为准</w:t>
      </w:r>
      <w:r>
        <w:rPr>
          <w:rFonts w:hint="eastAsia" w:ascii="宋体" w:hAnsi="宋体" w:cs="宋体"/>
          <w:color w:val="000000" w:themeColor="text1"/>
          <w:kern w:val="0"/>
          <w:szCs w:val="24"/>
          <w:highlight w:val="none"/>
          <w:lang w:eastAsia="zh-CN"/>
          <w14:textFill>
            <w14:solidFill>
              <w14:schemeClr w14:val="tx1"/>
            </w14:solidFill>
          </w14:textFill>
        </w:rPr>
        <w:t>；</w:t>
      </w:r>
    </w:p>
    <w:p>
      <w:pPr>
        <w:pStyle w:val="128"/>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3.4.1.5同时出现两种以上不一致的，按照3.4.1规定的顺序修正。修正后的报价</w:t>
      </w:r>
      <w:r>
        <w:rPr>
          <w:rFonts w:hint="eastAsia" w:ascii="宋体" w:hAnsi="宋体" w:cs="宋体"/>
          <w:color w:val="000000" w:themeColor="text1"/>
          <w:kern w:val="0"/>
          <w:szCs w:val="24"/>
          <w:highlight w:val="none"/>
          <w:lang w:eastAsia="zh-CN"/>
          <w14:textFill>
            <w14:solidFill>
              <w14:schemeClr w14:val="tx1"/>
            </w14:solidFill>
          </w14:textFill>
        </w:rPr>
        <w:t>参照</w:t>
      </w:r>
      <w:r>
        <w:rPr>
          <w:rFonts w:hint="eastAsia" w:ascii="宋体" w:hAnsi="宋体" w:eastAsia="宋体" w:cs="宋体"/>
          <w:color w:val="000000" w:themeColor="text1"/>
          <w:kern w:val="0"/>
          <w:szCs w:val="24"/>
          <w:highlight w:val="none"/>
          <w14:textFill>
            <w14:solidFill>
              <w14:schemeClr w14:val="tx1"/>
            </w14:solidFill>
          </w14:textFill>
        </w:rPr>
        <w:t>财政部第87号令《政府采购货物和服务招标投标管理办法》第五十一条第二款的规定经投标人确认后产生约束力。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3.4.3投标报价超过招标文件中规定的预算金额或者最高限价的，投标无效。</w:t>
      </w:r>
    </w:p>
    <w:p>
      <w:pPr>
        <w:pStyle w:val="128"/>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color w:val="000000" w:themeColor="text1"/>
          <w:kern w:val="0"/>
          <w:szCs w:val="24"/>
          <w:highlight w:val="none"/>
          <w:lang w:eastAsia="zh-CN"/>
          <w14:textFill>
            <w14:solidFill>
              <w14:schemeClr w14:val="tx1"/>
            </w14:solidFill>
          </w14:textFill>
        </w:rPr>
        <w:t>；</w:t>
      </w:r>
      <w:r>
        <w:rPr>
          <w:rFonts w:hint="eastAsia" w:ascii="宋体" w:hAnsi="宋体" w:eastAsia="宋体" w:cs="宋体"/>
          <w:color w:val="000000" w:themeColor="text1"/>
          <w:kern w:val="0"/>
          <w:szCs w:val="24"/>
          <w:highlight w:val="none"/>
          <w14:textFill>
            <w14:solidFill>
              <w14:schemeClr w14:val="tx1"/>
            </w14:solidFill>
          </w14:textFill>
        </w:rPr>
        <w:t>投标人不能证明其报价合理性的，评标委员会应当将其作为无效投标处理。</w:t>
      </w:r>
    </w:p>
    <w:p>
      <w:pPr>
        <w:pStyle w:val="128"/>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3.4.5对于未预留份额专门面向中小企业的政府采购货物或服务项目，以及预留份额政府采购货物或服务项目中的非预留部分标项，对小型和微型企业的投标报价给予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000000" w:themeColor="text1"/>
          <w:kern w:val="0"/>
          <w:szCs w:val="24"/>
          <w:highlight w:val="none"/>
          <w:lang w:val="en-US" w:eastAsia="zh-CN"/>
          <w14:textFill>
            <w14:solidFill>
              <w14:schemeClr w14:val="tx1"/>
            </w14:solidFill>
          </w14:textFill>
        </w:rPr>
        <w:t>10</w:t>
      </w:r>
      <w:r>
        <w:rPr>
          <w:rFonts w:hint="eastAsia" w:ascii="宋体" w:hAnsi="宋体" w:eastAsia="宋体" w:cs="宋体"/>
          <w:color w:val="000000" w:themeColor="text1"/>
          <w:kern w:val="0"/>
          <w:szCs w:val="24"/>
          <w:highlight w:val="none"/>
          <w14:textFill>
            <w14:solidFill>
              <w14:schemeClr w14:val="tx1"/>
            </w14:solidFill>
          </w14:textFill>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color w:val="000000" w:themeColor="text1"/>
          <w:kern w:val="0"/>
          <w:szCs w:val="24"/>
          <w:highlight w:val="none"/>
          <w:lang w:val="en-US" w:eastAsia="zh-CN"/>
          <w14:textFill>
            <w14:solidFill>
              <w14:schemeClr w14:val="tx1"/>
            </w14:solidFill>
          </w14:textFill>
        </w:rPr>
        <w:t>4</w:t>
      </w:r>
      <w:r>
        <w:rPr>
          <w:rFonts w:hint="eastAsia" w:ascii="宋体" w:hAnsi="宋体" w:eastAsia="宋体" w:cs="宋体"/>
          <w:color w:val="000000" w:themeColor="text1"/>
          <w:kern w:val="0"/>
          <w:szCs w:val="24"/>
          <w:highlight w:val="none"/>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3.5排序与推荐。</w:t>
      </w:r>
      <w:r>
        <w:rPr>
          <w:rFonts w:hint="eastAsia" w:ascii="宋体" w:hAnsi="宋体" w:eastAsia="宋体" w:cs="宋体"/>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72"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3.6编写评标报告。</w:t>
      </w:r>
      <w:r>
        <w:rPr>
          <w:rFonts w:hint="eastAsia" w:ascii="宋体" w:hAnsi="宋体" w:eastAsia="宋体" w:cs="宋体"/>
          <w:color w:val="000000" w:themeColor="text1"/>
          <w:kern w:val="0"/>
          <w:sz w:val="24"/>
          <w:highlight w:val="none"/>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四、评标中的其他事项</w:t>
      </w:r>
    </w:p>
    <w:p>
      <w:pPr>
        <w:pStyle w:val="128"/>
        <w:spacing w:before="0"/>
        <w:ind w:firstLine="472" w:firstLineChars="196"/>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b/>
          <w:color w:val="000000" w:themeColor="text1"/>
          <w:kern w:val="0"/>
          <w:szCs w:val="24"/>
          <w:highlight w:val="none"/>
          <w14:textFill>
            <w14:solidFill>
              <w14:schemeClr w14:val="tx1"/>
            </w14:solidFill>
          </w14:textFill>
        </w:rPr>
        <w:t>4.1投标人澄清、说明或者补正。</w:t>
      </w:r>
      <w:r>
        <w:rPr>
          <w:rFonts w:hint="eastAsia" w:ascii="宋体" w:hAnsi="宋体" w:eastAsia="宋体" w:cs="宋体"/>
          <w:color w:val="000000" w:themeColor="text1"/>
          <w:kern w:val="0"/>
          <w:szCs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kern w:val="0"/>
          <w:highlight w:val="none"/>
          <w14:textFill>
            <w14:solidFill>
              <w14:schemeClr w14:val="tx1"/>
            </w14:solidFill>
          </w14:textFill>
        </w:rPr>
        <w:t>4.2投标无效。</w:t>
      </w:r>
      <w:r>
        <w:rPr>
          <w:rFonts w:hint="eastAsia" w:ascii="宋体" w:hAnsi="宋体" w:eastAsia="宋体" w:cs="宋体"/>
          <w:color w:val="000000" w:themeColor="text1"/>
          <w:szCs w:val="21"/>
          <w:highlight w:val="none"/>
          <w14:textFill>
            <w14:solidFill>
              <w14:schemeClr w14:val="tx1"/>
            </w14:solidFill>
          </w14:textFill>
        </w:rPr>
        <w:t>有下列情形之一的，投标无效：</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4.2.2投标文件未按照招标文件要求签署、盖章的；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w:t>
      </w:r>
      <w:r>
        <w:rPr>
          <w:rFonts w:hint="eastAsia" w:ascii="宋体" w:hAnsi="宋体" w:cs="宋体"/>
          <w:color w:val="000000" w:themeColor="text1"/>
          <w:kern w:val="0"/>
          <w:sz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highlight w:val="none"/>
          <w14:textFill>
            <w14:solidFill>
              <w14:schemeClr w14:val="tx1"/>
            </w14:solidFill>
          </w14:textFill>
        </w:rPr>
        <w:t>投标文件含有采购人不能接受的附加条件的；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w:t>
      </w:r>
      <w:r>
        <w:rPr>
          <w:rFonts w:hint="eastAsia" w:ascii="宋体" w:hAnsi="宋体" w:cs="宋体"/>
          <w:color w:val="000000" w:themeColor="text1"/>
          <w:kern w:val="0"/>
          <w:sz w:val="24"/>
          <w:highlight w:val="none"/>
          <w:lang w:val="en-US" w:eastAsia="zh-CN"/>
          <w14:textFill>
            <w14:solidFill>
              <w14:schemeClr w14:val="tx1"/>
            </w14:solidFill>
          </w14:textFill>
        </w:rPr>
        <w:t>4</w:t>
      </w:r>
      <w:r>
        <w:rPr>
          <w:rFonts w:hint="eastAsia" w:ascii="宋体" w:hAnsi="宋体" w:eastAsia="宋体" w:cs="宋体"/>
          <w:color w:val="000000" w:themeColor="text1"/>
          <w:kern w:val="0"/>
          <w:sz w:val="24"/>
          <w:highlight w:val="none"/>
          <w14:textFill>
            <w14:solidFill>
              <w14:schemeClr w14:val="tx1"/>
            </w14:solidFill>
          </w14:textFill>
        </w:rPr>
        <w:t>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4.2.</w:t>
      </w:r>
      <w:r>
        <w:rPr>
          <w:rFonts w:hint="eastAsia" w:ascii="宋体" w:hAnsi="宋体" w:cs="宋体"/>
          <w:color w:val="000000" w:themeColor="text1"/>
          <w:kern w:val="0"/>
          <w:sz w:val="24"/>
          <w:highlight w:val="none"/>
          <w:lang w:val="en-US" w:eastAsia="zh-CN"/>
          <w14:textFill>
            <w14:solidFill>
              <w14:schemeClr w14:val="tx1"/>
            </w14:solidFill>
          </w14:textFill>
        </w:rPr>
        <w:t>5</w:t>
      </w:r>
      <w:r>
        <w:rPr>
          <w:rFonts w:hint="eastAsia" w:ascii="宋体" w:hAnsi="宋体" w:eastAsia="宋体" w:cs="宋体"/>
          <w:color w:val="000000" w:themeColor="text1"/>
          <w:kern w:val="0"/>
          <w:sz w:val="24"/>
          <w:highlight w:val="none"/>
          <w14:textFill>
            <w14:solidFill>
              <w14:schemeClr w14:val="tx1"/>
            </w14:solidFill>
          </w14:textFill>
        </w:rPr>
        <w:t>投标文件出现不是唯一的、有选择性投标报价的</w:t>
      </w:r>
      <w:r>
        <w:rPr>
          <w:rFonts w:hint="eastAsia" w:ascii="宋体" w:hAnsi="宋体" w:eastAsia="宋体" w:cs="宋体"/>
          <w:color w:val="000000" w:themeColor="text1"/>
          <w:kern w:val="0"/>
          <w:sz w:val="24"/>
          <w:highlight w:val="none"/>
          <w:lang w:eastAsia="zh-CN"/>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w:t>
      </w:r>
      <w:r>
        <w:rPr>
          <w:rFonts w:hint="eastAsia" w:ascii="宋体" w:hAnsi="宋体" w:cs="宋体"/>
          <w:color w:val="000000" w:themeColor="text1"/>
          <w:kern w:val="0"/>
          <w:sz w:val="24"/>
          <w:highlight w:val="none"/>
          <w:lang w:val="en-US" w:eastAsia="zh-CN"/>
          <w14:textFill>
            <w14:solidFill>
              <w14:schemeClr w14:val="tx1"/>
            </w14:solidFill>
          </w14:textFill>
        </w:rPr>
        <w:t>6</w:t>
      </w:r>
      <w:r>
        <w:rPr>
          <w:rFonts w:hint="eastAsia" w:ascii="宋体" w:hAnsi="宋体" w:eastAsia="宋体" w:cs="宋体"/>
          <w:color w:val="000000" w:themeColor="text1"/>
          <w:kern w:val="0"/>
          <w:sz w:val="24"/>
          <w:highlight w:val="none"/>
          <w14:textFill>
            <w14:solidFill>
              <w14:schemeClr w14:val="tx1"/>
            </w14:solidFill>
          </w14:textFill>
        </w:rPr>
        <w:t>投标报价超过招标文件中规定的预算金额或者最高限价的</w:t>
      </w:r>
      <w:r>
        <w:rPr>
          <w:rFonts w:hint="eastAsia" w:ascii="宋体" w:hAnsi="宋体" w:eastAsia="宋体" w:cs="宋体"/>
          <w:color w:val="000000" w:themeColor="text1"/>
          <w:kern w:val="0"/>
          <w:sz w:val="24"/>
          <w:highlight w:val="none"/>
          <w:lang w:eastAsia="zh-CN"/>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w:t>
      </w:r>
      <w:r>
        <w:rPr>
          <w:rFonts w:hint="eastAsia" w:ascii="宋体" w:hAnsi="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报价明显低于其他通过符合性审查投标人的报价，有可能影响产品质量或者不能诚信履约的，未能按要求提供书面说明或者提交相关证明材料，不能证明其报价合理性的</w:t>
      </w:r>
      <w:r>
        <w:rPr>
          <w:rFonts w:hint="eastAsia" w:ascii="宋体" w:hAnsi="宋体" w:eastAsia="宋体" w:cs="宋体"/>
          <w:color w:val="000000" w:themeColor="text1"/>
          <w:kern w:val="0"/>
          <w:sz w:val="24"/>
          <w:highlight w:val="none"/>
          <w:lang w:eastAsia="zh-CN"/>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w:t>
      </w:r>
      <w:r>
        <w:rPr>
          <w:rFonts w:hint="eastAsia" w:ascii="宋体" w:hAnsi="宋体" w:cs="宋体"/>
          <w:color w:val="000000" w:themeColor="text1"/>
          <w:kern w:val="0"/>
          <w:sz w:val="24"/>
          <w:highlight w:val="none"/>
          <w:lang w:val="en-US" w:eastAsia="zh-CN"/>
          <w14:textFill>
            <w14:solidFill>
              <w14:schemeClr w14:val="tx1"/>
            </w14:solidFill>
          </w14:textFill>
        </w:rPr>
        <w:t>8</w:t>
      </w:r>
      <w:r>
        <w:rPr>
          <w:rFonts w:hint="eastAsia" w:ascii="宋体" w:hAnsi="宋体" w:eastAsia="宋体" w:cs="宋体"/>
          <w:color w:val="000000" w:themeColor="text1"/>
          <w:kern w:val="0"/>
          <w:sz w:val="24"/>
          <w:highlight w:val="none"/>
          <w14:textFill>
            <w14:solidFill>
              <w14:schemeClr w14:val="tx1"/>
            </w14:solidFill>
          </w14:textFill>
        </w:rPr>
        <w:t>投标人对根据修正原则修正后的报价不确认的；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w:t>
      </w:r>
      <w:r>
        <w:rPr>
          <w:rFonts w:hint="eastAsia" w:ascii="宋体" w:hAnsi="宋体" w:cs="宋体"/>
          <w:color w:val="000000" w:themeColor="text1"/>
          <w:kern w:val="0"/>
          <w:sz w:val="24"/>
          <w:highlight w:val="none"/>
          <w:lang w:val="en-US" w:eastAsia="zh-CN"/>
          <w14:textFill>
            <w14:solidFill>
              <w14:schemeClr w14:val="tx1"/>
            </w14:solidFill>
          </w14:textFill>
        </w:rPr>
        <w:t>9</w:t>
      </w:r>
      <w:r>
        <w:rPr>
          <w:rFonts w:hint="eastAsia" w:ascii="宋体" w:hAnsi="宋体" w:eastAsia="宋体" w:cs="宋体"/>
          <w:color w:val="000000" w:themeColor="text1"/>
          <w:kern w:val="0"/>
          <w:sz w:val="24"/>
          <w:highlight w:val="none"/>
          <w14:textFill>
            <w14:solidFill>
              <w14:schemeClr w14:val="tx1"/>
            </w14:solidFill>
          </w14:textFill>
        </w:rPr>
        <w:t>投标人提供虚假材料投标的；</w:t>
      </w:r>
    </w:p>
    <w:p>
      <w:pPr>
        <w:spacing w:line="360" w:lineRule="auto"/>
        <w:ind w:firstLine="240" w:firstLineChars="1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4.2.1</w:t>
      </w:r>
      <w:r>
        <w:rPr>
          <w:rFonts w:hint="eastAsia" w:ascii="宋体" w:hAnsi="宋体" w:cs="宋体"/>
          <w:color w:val="000000" w:themeColor="text1"/>
          <w:kern w:val="0"/>
          <w:sz w:val="24"/>
          <w:highlight w:val="none"/>
          <w:lang w:val="en-US" w:eastAsia="zh-CN"/>
          <w14:textFill>
            <w14:solidFill>
              <w14:schemeClr w14:val="tx1"/>
            </w14:solidFill>
          </w14:textFill>
        </w:rPr>
        <w:t>0</w:t>
      </w:r>
      <w:r>
        <w:rPr>
          <w:rFonts w:hint="eastAsia" w:ascii="宋体" w:hAnsi="宋体" w:eastAsia="宋体" w:cs="宋体"/>
          <w:color w:val="000000" w:themeColor="text1"/>
          <w:kern w:val="0"/>
          <w:sz w:val="24"/>
          <w:highlight w:val="none"/>
          <w14:textFill>
            <w14:solidFill>
              <w14:schemeClr w14:val="tx1"/>
            </w14:solidFill>
          </w14:textFill>
        </w:rPr>
        <w:t>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4.2.1</w:t>
      </w:r>
      <w:r>
        <w:rPr>
          <w:rFonts w:hint="eastAsia" w:ascii="宋体" w:hAnsi="宋体" w:cs="宋体"/>
          <w:color w:val="000000" w:themeColor="text1"/>
          <w:kern w:val="0"/>
          <w:sz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highlight w:val="none"/>
          <w14:textFill>
            <w14:solidFill>
              <w14:schemeClr w14:val="tx1"/>
            </w14:solidFill>
          </w14:textFill>
        </w:rPr>
        <w:t>投标人仅提交备份投标文件，未在电子交易平台传输递交投标文件的，投标无效；</w:t>
      </w:r>
    </w:p>
    <w:p>
      <w:pPr>
        <w:pStyle w:val="2"/>
        <w:ind w:left="862" w:leftChars="205"/>
        <w:rPr>
          <w:rFonts w:hint="eastAsia" w:ascii="宋体" w:hAnsi="宋体" w:eastAsia="宋体" w:cs="宋体"/>
          <w:b w:val="0"/>
          <w:bCs w:val="0"/>
          <w:color w:val="000000" w:themeColor="text1"/>
          <w:kern w:val="0"/>
          <w:sz w:val="24"/>
          <w:szCs w:val="24"/>
          <w:highlight w:val="none"/>
          <w:lang w:val="en-US"/>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14:textFill>
            <w14:solidFill>
              <w14:schemeClr w14:val="tx1"/>
            </w14:solidFill>
          </w14:textFill>
        </w:rPr>
        <w:t>4.2.1</w:t>
      </w: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b w:val="0"/>
          <w:bCs w:val="0"/>
          <w:color w:val="000000" w:themeColor="text1"/>
          <w:kern w:val="0"/>
          <w:sz w:val="24"/>
          <w:szCs w:val="24"/>
          <w:highlight w:val="none"/>
          <w:lang w:val="en-US"/>
          <w14:textFill>
            <w14:solidFill>
              <w14:schemeClr w14:val="tx1"/>
            </w14:solidFill>
          </w14:textFill>
        </w:rPr>
        <w:t xml:space="preserve"> 投标文件不满足招标文件的其它实质性要求的；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4.2.1</w:t>
      </w:r>
      <w:r>
        <w:rPr>
          <w:rFonts w:hint="eastAsia" w:ascii="宋体" w:hAnsi="宋体" w:cs="宋体"/>
          <w:color w:val="000000" w:themeColor="text1"/>
          <w:kern w:val="0"/>
          <w:sz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highlight w:val="none"/>
          <w14:textFill>
            <w14:solidFill>
              <w14:schemeClr w14:val="tx1"/>
            </w14:solidFill>
          </w14:textFill>
        </w:rPr>
        <w:t>法律、法规、规章（适用本市的）及省级以上规范性文件（适用本市的）规定的其他无效情形。</w:t>
      </w:r>
    </w:p>
    <w:p>
      <w:pPr>
        <w:pStyle w:val="26"/>
        <w:snapToGrid w:val="0"/>
        <w:spacing w:line="360" w:lineRule="auto"/>
        <w:ind w:firstLine="472" w:firstLineChars="196"/>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5.废标。</w:t>
      </w:r>
      <w:r>
        <w:rPr>
          <w:rFonts w:hint="eastAsia" w:ascii="宋体" w:hAnsi="宋体" w:eastAsia="宋体" w:cs="宋体"/>
          <w:color w:val="000000" w:themeColor="text1"/>
          <w:highlight w:val="none"/>
          <w14:textFill>
            <w14:solidFill>
              <w14:schemeClr w14:val="tx1"/>
            </w14:solidFill>
          </w14:textFill>
        </w:rPr>
        <w:t>根据《中华人民共和国政府采购法》第三十六条之规定，在采购中，出现下列情形之一的，应予废标：</w:t>
      </w:r>
    </w:p>
    <w:p>
      <w:pPr>
        <w:pStyle w:val="26"/>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5.1符合专业条件的供应商或者对招标文件作实质响应的供应商不足3家的；</w:t>
      </w:r>
    </w:p>
    <w:p>
      <w:pPr>
        <w:pStyle w:val="26"/>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5.2出现影响采购公正的违法、违规行为的；</w:t>
      </w:r>
    </w:p>
    <w:p>
      <w:pPr>
        <w:pStyle w:val="26"/>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5.3投标人的报价均超过了采购预算，采购人不能支付的；</w:t>
      </w:r>
    </w:p>
    <w:p>
      <w:pPr>
        <w:pStyle w:val="26"/>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5.4因重大变故，采购任务取消的。</w:t>
      </w:r>
    </w:p>
    <w:p>
      <w:pPr>
        <w:pStyle w:val="26"/>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废标后，采购机构应当将废标理由通知所有投标人。</w:t>
      </w:r>
    </w:p>
    <w:p>
      <w:pPr>
        <w:pStyle w:val="26"/>
        <w:snapToGrid w:val="0"/>
        <w:spacing w:line="360" w:lineRule="auto"/>
        <w:ind w:firstLine="590" w:firstLineChars="245"/>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6.修改招标文件，重新组织采购活动。</w:t>
      </w:r>
      <w:r>
        <w:rPr>
          <w:rFonts w:hint="eastAsia" w:ascii="宋体" w:hAnsi="宋体" w:eastAsia="宋体" w:cs="宋体"/>
          <w:color w:val="000000" w:themeColor="text1"/>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kern w:val="0"/>
          <w:highlight w:val="none"/>
          <w14:textFill>
            <w14:solidFill>
              <w14:schemeClr w14:val="tx1"/>
            </w14:solidFill>
          </w14:textFill>
        </w:rPr>
        <w:t>7.重新开展采购。</w:t>
      </w:r>
      <w:r>
        <w:rPr>
          <w:rFonts w:hint="eastAsia" w:ascii="宋体" w:hAnsi="宋体" w:eastAsia="宋体" w:cs="宋体"/>
          <w:color w:val="000000" w:themeColor="text1"/>
          <w:highlight w:val="none"/>
          <w14:textFill>
            <w14:solidFill>
              <w14:schemeClr w14:val="tx1"/>
            </w14:solidFill>
          </w14:textFill>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7.1未确定中标或者中标人的，终止本次采购活动，重新开展采购活动。</w:t>
      </w:r>
    </w:p>
    <w:p>
      <w:pPr>
        <w:pStyle w:val="26"/>
        <w:snapToGrid w:val="0"/>
        <w:spacing w:line="360" w:lineRule="auto"/>
        <w:ind w:firstLine="600" w:firstLineChars="25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7.2已确定中标或者中标人但尚未签订采购合同的，中标或者成交结果无效，从合格的中标或者成交候选人中另行确定中标或者中标人；没有合格的中标或者成交候选人的，重新开展采购活动。</w:t>
      </w:r>
    </w:p>
    <w:p>
      <w:pPr>
        <w:pStyle w:val="26"/>
        <w:snapToGrid w:val="0"/>
        <w:spacing w:line="360" w:lineRule="auto"/>
        <w:ind w:firstLine="600" w:firstLineChars="25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7.3采购合同已签订但尚未履行的，撤销合同，从合格的中标或者成交候选人中另行确定中标或者中标人；没有合格的中标或者成交候选人的，重新开展采购活动。</w:t>
      </w:r>
    </w:p>
    <w:p>
      <w:pPr>
        <w:pStyle w:val="26"/>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7.4采购合同已经履行，给采购人、供应商造成损失的，由责任人承担赔偿责任。</w:t>
      </w:r>
    </w:p>
    <w:p>
      <w:pPr>
        <w:pStyle w:val="26"/>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7.5采购当事人有其他违反采购法</w:t>
      </w:r>
      <w:r>
        <w:rPr>
          <w:rFonts w:hint="eastAsia" w:ascii="宋体" w:hAnsi="宋体" w:eastAsia="宋体" w:cs="宋体"/>
          <w:color w:val="000000" w:themeColor="text1"/>
          <w:kern w:val="0"/>
          <w:highlight w:val="none"/>
          <w14:textFill>
            <w14:solidFill>
              <w14:schemeClr w14:val="tx1"/>
            </w14:solidFill>
          </w14:textFill>
        </w:rPr>
        <w:t>或者政府采购法实施条例等法律法规规定</w:t>
      </w:r>
      <w:r>
        <w:rPr>
          <w:rFonts w:hint="eastAsia" w:ascii="宋体" w:hAnsi="宋体" w:eastAsia="宋体" w:cs="宋体"/>
          <w:color w:val="000000" w:themeColor="text1"/>
          <w:highlight w:val="none"/>
          <w14:textFill>
            <w14:solidFill>
              <w14:schemeClr w14:val="tx1"/>
            </w14:solidFill>
          </w14:textFill>
        </w:rPr>
        <w:t>的行为，经改正后仍然影响或者可能影响中标、成交结果或者依法被认定为中标、成交无效的，依照7.1-7.4规定处理。</w:t>
      </w:r>
    </w:p>
    <w:p>
      <w:pPr>
        <w:pStyle w:val="26"/>
        <w:snapToGrid w:val="0"/>
        <w:spacing w:line="360" w:lineRule="auto"/>
        <w:ind w:firstLine="0" w:firstLineChars="0"/>
        <w:rPr>
          <w:rFonts w:hint="eastAsia" w:ascii="宋体" w:hAnsi="宋体" w:eastAsia="宋体" w:cs="宋体"/>
          <w:color w:val="000000" w:themeColor="text1"/>
          <w:highlight w:val="none"/>
          <w14:textFill>
            <w14:solidFill>
              <w14:schemeClr w14:val="tx1"/>
            </w14:solidFill>
          </w14:textFill>
        </w:rPr>
      </w:pPr>
    </w:p>
    <w:bookmarkEnd w:id="16"/>
    <w:p>
      <w:pPr>
        <w:spacing w:line="360" w:lineRule="auto"/>
        <w:ind w:left="720" w:leftChars="343" w:firstLine="1084" w:firstLineChars="300"/>
        <w:outlineLvl w:val="0"/>
        <w:rPr>
          <w:rFonts w:hint="eastAsia" w:ascii="宋体" w:hAnsi="宋体" w:eastAsia="宋体" w:cs="宋体"/>
          <w:b/>
          <w:color w:val="000000" w:themeColor="text1"/>
          <w:sz w:val="36"/>
          <w:szCs w:val="36"/>
          <w:highlight w:val="none"/>
          <w14:textFill>
            <w14:solidFill>
              <w14:schemeClr w14:val="tx1"/>
            </w14:solidFill>
          </w14:textFill>
        </w:rPr>
      </w:pPr>
      <w:bookmarkStart w:id="382" w:name="第五部分"/>
      <w:bookmarkStart w:id="383" w:name="_Toc86217003"/>
    </w:p>
    <w:p>
      <w:pPr>
        <w:spacing w:line="360" w:lineRule="auto"/>
        <w:ind w:left="720" w:leftChars="343" w:firstLine="1084" w:firstLineChars="300"/>
        <w:outlineLvl w:val="0"/>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t xml:space="preserve">    </w:t>
      </w:r>
    </w:p>
    <w:p>
      <w:pPr>
        <w:spacing w:line="360" w:lineRule="auto"/>
        <w:ind w:left="720" w:leftChars="343" w:firstLine="1084" w:firstLineChars="300"/>
        <w:outlineLvl w:val="0"/>
        <w:rPr>
          <w:rFonts w:hint="eastAsia" w:ascii="宋体" w:hAnsi="宋体" w:eastAsia="宋体" w:cs="宋体"/>
          <w:b/>
          <w:color w:val="000000" w:themeColor="text1"/>
          <w:sz w:val="36"/>
          <w:szCs w:val="36"/>
          <w:highlight w:val="none"/>
          <w14:textFill>
            <w14:solidFill>
              <w14:schemeClr w14:val="tx1"/>
            </w14:solidFill>
          </w14:textFill>
        </w:rPr>
      </w:pPr>
    </w:p>
    <w:p>
      <w:pPr>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br w:type="page"/>
      </w:r>
    </w:p>
    <w:p>
      <w:pPr>
        <w:spacing w:line="360" w:lineRule="auto"/>
        <w:jc w:val="center"/>
        <w:outlineLvl w:val="0"/>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t>第五部分 拟签订的合同文本</w:t>
      </w:r>
    </w:p>
    <w:p>
      <w:pPr>
        <w:pStyle w:val="26"/>
        <w:snapToGrid w:val="0"/>
        <w:spacing w:line="36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eastAsia="zh-CN"/>
          <w14:textFill>
            <w14:solidFill>
              <w14:schemeClr w14:val="tx1"/>
            </w14:solidFill>
          </w14:textFill>
        </w:rPr>
        <w:t>服务</w:t>
      </w:r>
      <w:r>
        <w:rPr>
          <w:rFonts w:hint="eastAsia" w:ascii="宋体" w:hAnsi="宋体" w:eastAsia="宋体" w:cs="宋体"/>
          <w:color w:val="000000" w:themeColor="text1"/>
          <w:highlight w:val="none"/>
          <w14:textFill>
            <w14:solidFill>
              <w14:schemeClr w14:val="tx1"/>
            </w14:solidFill>
          </w14:textFill>
        </w:rPr>
        <w:t>类参考样本）</w:t>
      </w:r>
    </w:p>
    <w:p>
      <w:pPr>
        <w:pStyle w:val="26"/>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合同编号：</w:t>
      </w:r>
    </w:p>
    <w:p>
      <w:pPr>
        <w:pStyle w:val="26"/>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签订地点：                                 签订时间：20* 年  月  日</w:t>
      </w:r>
    </w:p>
    <w:p>
      <w:pPr>
        <w:pStyle w:val="26"/>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项目名称：</w:t>
      </w:r>
    </w:p>
    <w:p>
      <w:pPr>
        <w:pStyle w:val="26"/>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甲方（需方）：                                     </w:t>
      </w:r>
    </w:p>
    <w:p>
      <w:pPr>
        <w:pStyle w:val="26"/>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乙方（供方）：                                     </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供、需双方根据杭州市萧山区                             项目（招标编号  -  -   ）招标结果和招标文件的要求，并经双方协调一致，订立本采购合同。</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一、合同文件：</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1、合同条款。</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2、中标通知书。</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3、招标文件。</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4、更正公告。</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5、中标单位投标文件。</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6、其他。</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二、合同金额: 本合同金额为(大写)_________________元（￥　　　　元）人民币附：</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《采购项目清单内容》</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line="440" w:lineRule="exact"/>
              <w:ind w:left="0" w:leftChars="0" w:firstLine="0" w:firstLineChars="0"/>
              <w:jc w:val="center"/>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1692"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line="440" w:lineRule="exact"/>
              <w:ind w:left="0" w:leftChars="0" w:firstLine="0" w:firstLineChars="0"/>
              <w:jc w:val="center"/>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采购项目</w:t>
            </w:r>
          </w:p>
        </w:tc>
        <w:tc>
          <w:tcPr>
            <w:tcW w:w="1800"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line="440" w:lineRule="exact"/>
              <w:ind w:left="0" w:leftChars="0" w:firstLine="0" w:firstLineChars="0"/>
              <w:jc w:val="center"/>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中标内容</w:t>
            </w:r>
          </w:p>
        </w:tc>
        <w:tc>
          <w:tcPr>
            <w:tcW w:w="1758"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line="440" w:lineRule="exact"/>
              <w:ind w:left="0" w:leftChars="0" w:firstLine="0" w:firstLineChars="0"/>
              <w:jc w:val="center"/>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中标单价（元）</w:t>
            </w:r>
          </w:p>
        </w:tc>
        <w:tc>
          <w:tcPr>
            <w:tcW w:w="762"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line="440" w:lineRule="exact"/>
              <w:ind w:left="0" w:leftChars="0" w:firstLine="0" w:firstLineChars="0"/>
              <w:jc w:val="center"/>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数量</w:t>
            </w:r>
          </w:p>
        </w:tc>
        <w:tc>
          <w:tcPr>
            <w:tcW w:w="1867"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line="440" w:lineRule="exact"/>
              <w:ind w:left="0" w:leftChars="0" w:firstLine="0" w:firstLineChars="0"/>
              <w:jc w:val="center"/>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line="440" w:lineRule="exact"/>
              <w:ind w:left="0" w:leftChars="0" w:firstLine="0" w:firstLineChars="0"/>
              <w:jc w:val="center"/>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p>
        </w:tc>
        <w:tc>
          <w:tcPr>
            <w:tcW w:w="1692"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p>
        </w:tc>
        <w:tc>
          <w:tcPr>
            <w:tcW w:w="1758"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line="440" w:lineRule="exact"/>
              <w:ind w:left="0" w:leftChars="0" w:firstLine="0" w:firstLineChars="0"/>
              <w:jc w:val="center"/>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p>
        </w:tc>
        <w:tc>
          <w:tcPr>
            <w:tcW w:w="1692"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p>
        </w:tc>
        <w:tc>
          <w:tcPr>
            <w:tcW w:w="1758"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p>
        </w:tc>
      </w:tr>
    </w:tbl>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三、技术资料</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1.乙方应按招标文件规定的时间向甲方提供有关技术资料。</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四、知识产权</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乙方应保证提供服务过程中不会侵犯任何第三方的知识产权。</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五、履约保证金</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乙方交纳人民币元作为本合同的履约保证金。</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六、转包或分包</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1.本合同范围的服务，应由乙方直接供应，不得转让他人供应；</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2.除非得到甲方的书面同意，乙方不得将本合同范围的服务全部或部分分包给他人供应；</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3.如有转让和未经甲方同意的分包行为，甲方有权解除合同，没收履约保证金并追究乙方的违约责任。</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七、服务质量保证期</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 服务质量保证期      年。（自验收合格之日起计）</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八、合同履行时间、履行方式及履行地点</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 履行时间：</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 履行方式：</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 履行地点：</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九、款项支付</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1.付款方式：</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2.合同履行完毕，需方根据合同进行验收，验收合格后供应商按财政结算要求办理货款结算手续。</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十、税费</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本合同执行中相关的一切税费均由乙方负担。</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十一、质量保证及后续服务</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 乙方应按招标文件规定向甲方提供服务。</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 乙方提供的服务成果在服务质量保证期内发生故障，乙方应负责免费提供后续服务。对达不到要求者，根据实际情况，经双方协商，可按以下办法处理：</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⑴重做：由乙方承担所发生的全部费用。</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⑵贬值处理：由甲乙双方合议定价。</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⑶解除合同。</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 如在使用过程中发生问题，乙方在接到甲方通知后在小时内到达甲方现场。</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4.在服务质量保证期内，乙方应对出现的质量及安全问题负责处理解决并承担一切费用。</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十二、违约责任</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1.甲方无正当理由拒绝接收服务的，甲方向乙方偿付合同款项百分之 五 作为违约金。</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2.甲方无故逾期验收和办理款项支付手续的，甲方应按逾期付款总额每日万分之 五向乙方支付违约金。</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3.乙方未能如期提供服务的，每日向甲方支付合同款项的千分之 六 作为违约金。乙方超过约定日期10个工作日仍不能提供服务的，甲方可解除本合同，不予退还履约保证金，如造成甲方损失超过履约保证金的，超出部分由乙方继续承担赔偿责任。</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4.供方在服务项目验收合格之日起保修期内违反本合同有关承诺保证的，损失由乙方承担赔偿。</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5.如发现乙方违反招投标文件和合同的有关规定，甲方有权根据约定，对乙方进行处罚，并有权提前终止合同。</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十三、争议的解决</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因本合同引起的或与本合同有关的任何争议，合同双方应首先通过协商解决，达成书面协议，如协商不成，可选择下列第      种方式解决。</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（1）提请杭州仲裁委员会按照该会仲裁规则进行仲裁，仲裁裁决是终局的，对合同双方均有约束力。</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（2）向有管辖权的人民法院提起诉讼。</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十四、合同生效</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1.中标方持中标通知书作为与需方签订合同的凭证。</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2.本合同经需、供双方法定代表人或其授权委托人签字并加盖单位公章后生效。</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需方（盖章）：                      供方（盖章）：</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地址：                             地址：</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法定代表人（或项目联系人）签名：   法定代表人（或项目联系人）签名：</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联系电话：                         联系电话：</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邮政编码：                         邮政编码：</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开户银行：                         开户银行：      </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帐号：                             帐号：</w:t>
      </w:r>
    </w:p>
    <w:p>
      <w:pPr>
        <w:pStyle w:val="23"/>
        <w:rPr>
          <w:rFonts w:hint="eastAsia" w:ascii="宋体" w:hAnsi="宋体" w:eastAsia="宋体" w:cs="宋体"/>
          <w:color w:val="000000" w:themeColor="text1"/>
          <w:highlight w:val="none"/>
          <w14:textFill>
            <w14:solidFill>
              <w14:schemeClr w14:val="tx1"/>
            </w14:solidFill>
          </w14:textFill>
        </w:rPr>
      </w:pPr>
    </w:p>
    <w:p>
      <w:pPr>
        <w:spacing w:line="360" w:lineRule="auto"/>
        <w:outlineLvl w:val="0"/>
        <w:rPr>
          <w:rFonts w:hint="eastAsia" w:ascii="宋体" w:hAnsi="宋体" w:eastAsia="宋体" w:cs="宋体"/>
          <w:b/>
          <w:color w:val="000000" w:themeColor="text1"/>
          <w:sz w:val="36"/>
          <w:szCs w:val="20"/>
          <w:highlight w:val="none"/>
          <w14:textFill>
            <w14:solidFill>
              <w14:schemeClr w14:val="tx1"/>
            </w14:solidFill>
          </w14:textFill>
        </w:rPr>
      </w:pPr>
    </w:p>
    <w:p>
      <w:pPr>
        <w:rPr>
          <w:rFonts w:hint="eastAsia" w:ascii="宋体" w:hAnsi="宋体" w:eastAsia="宋体" w:cs="宋体"/>
          <w:b/>
          <w:color w:val="000000" w:themeColor="text1"/>
          <w:sz w:val="36"/>
          <w:szCs w:val="20"/>
          <w:highlight w:val="none"/>
          <w14:textFill>
            <w14:solidFill>
              <w14:schemeClr w14:val="tx1"/>
            </w14:solidFill>
          </w14:textFill>
        </w:rPr>
      </w:pPr>
      <w:r>
        <w:rPr>
          <w:rFonts w:hint="eastAsia" w:ascii="宋体" w:hAnsi="宋体" w:eastAsia="宋体" w:cs="宋体"/>
          <w:b/>
          <w:color w:val="000000" w:themeColor="text1"/>
          <w:sz w:val="36"/>
          <w:szCs w:val="20"/>
          <w:highlight w:val="none"/>
          <w14:textFill>
            <w14:solidFill>
              <w14:schemeClr w14:val="tx1"/>
            </w14:solidFill>
          </w14:textFill>
        </w:rPr>
        <w:br w:type="page"/>
      </w:r>
    </w:p>
    <w:p>
      <w:pPr>
        <w:spacing w:line="360" w:lineRule="auto"/>
        <w:ind w:left="720" w:firstLine="723" w:firstLineChars="200"/>
        <w:outlineLvl w:val="0"/>
        <w:rPr>
          <w:rFonts w:hint="eastAsia" w:ascii="宋体" w:hAnsi="宋体" w:eastAsia="宋体" w:cs="宋体"/>
          <w:b/>
          <w:color w:val="000000" w:themeColor="text1"/>
          <w:sz w:val="36"/>
          <w:szCs w:val="20"/>
          <w:highlight w:val="none"/>
          <w14:textFill>
            <w14:solidFill>
              <w14:schemeClr w14:val="tx1"/>
            </w14:solidFill>
          </w14:textFill>
        </w:rPr>
      </w:pPr>
      <w:r>
        <w:rPr>
          <w:rFonts w:hint="eastAsia" w:ascii="宋体" w:hAnsi="宋体" w:eastAsia="宋体" w:cs="宋体"/>
          <w:b/>
          <w:color w:val="000000" w:themeColor="text1"/>
          <w:sz w:val="36"/>
          <w:szCs w:val="20"/>
          <w:highlight w:val="none"/>
          <w14:textFill>
            <w14:solidFill>
              <w14:schemeClr w14:val="tx1"/>
            </w14:solidFill>
          </w14:textFill>
        </w:rPr>
        <w:t>第六部分</w:t>
      </w:r>
      <w:bookmarkEnd w:id="382"/>
      <w:r>
        <w:rPr>
          <w:rFonts w:hint="eastAsia" w:ascii="宋体" w:hAnsi="宋体" w:eastAsia="宋体" w:cs="宋体"/>
          <w:b/>
          <w:color w:val="000000" w:themeColor="text1"/>
          <w:sz w:val="36"/>
          <w:szCs w:val="20"/>
          <w:highlight w:val="none"/>
          <w14:textFill>
            <w14:solidFill>
              <w14:schemeClr w14:val="tx1"/>
            </w14:solidFill>
          </w14:textFill>
        </w:rPr>
        <w:t xml:space="preserve"> </w:t>
      </w:r>
      <w:bookmarkEnd w:id="383"/>
      <w:r>
        <w:rPr>
          <w:rFonts w:hint="eastAsia" w:ascii="宋体" w:hAnsi="宋体" w:eastAsia="宋体" w:cs="宋体"/>
          <w:b/>
          <w:color w:val="000000" w:themeColor="text1"/>
          <w:sz w:val="36"/>
          <w:szCs w:val="20"/>
          <w:highlight w:val="none"/>
          <w14:textFill>
            <w14:solidFill>
              <w14:schemeClr w14:val="tx1"/>
            </w14:solidFill>
          </w14:textFill>
        </w:rPr>
        <w:t>应提交的有关格式范例</w:t>
      </w: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t>资格文件部分</w:t>
      </w: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t>目录</w:t>
      </w: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（1）符合参加采购活动应当具备的一般条件的承诺函…………………（页码）</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（2）落实政府采购政策需满足的资格要求………………………………（页码）</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（3）本项目的特定资格要求………………………………………………（页码）</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br w:type="page"/>
      </w:r>
      <w:r>
        <w:rPr>
          <w:rFonts w:hint="eastAsia" w:ascii="宋体" w:hAnsi="宋体" w:eastAsia="宋体" w:cs="宋体"/>
          <w:b/>
          <w:color w:val="000000" w:themeColor="text1"/>
          <w:kern w:val="0"/>
          <w:sz w:val="32"/>
          <w:szCs w:val="32"/>
          <w:highlight w:val="none"/>
          <w14:textFill>
            <w14:solidFill>
              <w14:schemeClr w14:val="tx1"/>
            </w14:solidFill>
          </w14:textFill>
        </w:rPr>
        <w:t xml:space="preserve">  一、 符合参加采购活动应当具备的一般条件的承诺函</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（采购人）、（采购代理机构）：</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我方参与（项目名称）【招标编号：（采购编号）】采购活动，郑重承诺：</w:t>
      </w:r>
    </w:p>
    <w:p>
      <w:pPr>
        <w:snapToGrid w:val="0"/>
        <w:spacing w:line="360" w:lineRule="auto"/>
        <w:ind w:firstLine="360" w:firstLineChars="1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1、具有独立承担民事责任的能力；</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2、具有良好的商业信誉和健全的财务会计制度； </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3、具有履行合同所必需的设备和专业技术能力；</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4、有依法缴纳税收和社会保障资金的良好记录；</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6、具有法律、行政法规规定的其他条件。</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（三）不存在以下情况：</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1、单位负责人为同一人或者存在直接控股、管理关系的不同供应商参加同一合同项下的采购活动的；</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000000" w:themeColor="text1"/>
          <w:kern w:val="0"/>
          <w:sz w:val="24"/>
          <w:highlight w:val="none"/>
          <w:lang w:val="zh-CN"/>
          <w14:textFill>
            <w14:solidFill>
              <w14:schemeClr w14:val="tx1"/>
            </w14:solidFill>
          </w14:textFill>
        </w:rPr>
      </w:pPr>
    </w:p>
    <w:p>
      <w:pPr>
        <w:snapToGrid w:val="0"/>
        <w:spacing w:line="360" w:lineRule="auto"/>
        <w:ind w:firstLine="5520" w:firstLineChars="23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投标人名称(电子签名)：</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日期</w:t>
      </w:r>
      <w:r>
        <w:rPr>
          <w:rFonts w:hint="eastAsia" w:ascii="宋体" w:hAnsi="宋体" w:eastAsia="宋体" w:cs="宋体"/>
          <w:color w:val="000000" w:themeColor="text1"/>
          <w:kern w:val="0"/>
          <w:sz w:val="24"/>
          <w:highlight w:val="none"/>
          <w14:textFill>
            <w14:solidFill>
              <w14:schemeClr w14:val="tx1"/>
            </w14:solidFill>
          </w14:textFill>
        </w:rPr>
        <w:t xml:space="preserve">：  年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w:t>
      </w: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二、落实政府采购政策需满足的资格要求</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A</w:t>
      </w:r>
      <w:r>
        <w:rPr>
          <w:rFonts w:hint="eastAsia" w:ascii="宋体" w:hAnsi="宋体" w:eastAsia="宋体" w:cs="宋体"/>
          <w:color w:val="000000" w:themeColor="text1"/>
          <w:sz w:val="24"/>
          <w:highlight w:val="none"/>
          <w14:textFill>
            <w14:solidFill>
              <w14:schemeClr w14:val="tx1"/>
            </w14:solidFill>
          </w14:textFill>
        </w:rPr>
        <w:t>.专门面向中小企业，货物全部由符合政策要求的中小企业（或小微企业）制造或者服务全部由符合政策要求的中小企业（或小微企业）承接的，提供相应的中小企业声明函（附件5）。</w:t>
      </w:r>
    </w:p>
    <w:p>
      <w:pPr>
        <w:widowControl/>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p>
    <w:p>
      <w:pPr>
        <w:widowControl/>
        <w:spacing w:line="360" w:lineRule="auto"/>
        <w:ind w:firstLine="472" w:firstLineChars="196"/>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B.</w:t>
      </w:r>
      <w:r>
        <w:rPr>
          <w:rFonts w:hint="eastAsia" w:ascii="宋体" w:hAnsi="宋体" w:eastAsia="宋体" w:cs="宋体"/>
          <w:color w:val="000000" w:themeColor="text1"/>
          <w:sz w:val="24"/>
          <w:highlight w:val="none"/>
          <w14:textFill>
            <w14:solidFill>
              <w14:schemeClr w14:val="tx1"/>
            </w14:solidFill>
          </w14:textFill>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C、</w:t>
      </w:r>
      <w:r>
        <w:rPr>
          <w:rFonts w:hint="eastAsia" w:ascii="宋体" w:hAnsi="宋体" w:eastAsia="宋体" w:cs="宋体"/>
          <w:color w:val="000000" w:themeColor="text1"/>
          <w:sz w:val="24"/>
          <w:highlight w:val="none"/>
          <w14:textFill>
            <w14:solidFill>
              <w14:schemeClr w14:val="tx1"/>
            </w14:solidFill>
          </w14:textFill>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widowControl/>
        <w:spacing w:line="360" w:lineRule="auto"/>
        <w:ind w:left="15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pStyle w:val="2"/>
        <w:rPr>
          <w:rFonts w:hint="eastAsia"/>
          <w:color w:val="000000" w:themeColor="text1"/>
          <w14:textFill>
            <w14:solidFill>
              <w14:schemeClr w14:val="tx1"/>
            </w14:solidFill>
          </w14:textFill>
        </w:rPr>
      </w:pPr>
    </w:p>
    <w:p>
      <w:pPr>
        <w:widowControl/>
        <w:spacing w:line="360" w:lineRule="auto"/>
        <w:ind w:left="150"/>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三、本项目的特定资格要求</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（根据招标公告本项目的特定资格要求提供相应的材料；未要求的，无需提供）</w:t>
      </w:r>
    </w:p>
    <w:p>
      <w:pPr>
        <w:rPr>
          <w:rFonts w:hint="eastAsia" w:ascii="宋体" w:hAnsi="宋体" w:eastAsia="宋体" w:cs="宋体"/>
          <w:color w:val="000000" w:themeColor="text1"/>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t>商务技术文件部分</w:t>
      </w:r>
    </w:p>
    <w:p>
      <w:pPr>
        <w:spacing w:line="360" w:lineRule="auto"/>
        <w:jc w:val="center"/>
        <w:outlineLvl w:val="0"/>
        <w:rPr>
          <w:rFonts w:hint="eastAsia" w:ascii="宋体" w:hAnsi="宋体" w:eastAsia="宋体" w:cs="宋体"/>
          <w:b/>
          <w:color w:val="000000" w:themeColor="text1"/>
          <w:kern w:val="0"/>
          <w:sz w:val="24"/>
          <w:highlight w:val="none"/>
          <w14:textFill>
            <w14:solidFill>
              <w14:schemeClr w14:val="tx1"/>
            </w14:solidFill>
          </w14:textFill>
        </w:rPr>
      </w:pPr>
    </w:p>
    <w:p>
      <w:pPr>
        <w:spacing w:line="360" w:lineRule="auto"/>
        <w:jc w:val="center"/>
        <w:outlineLvl w:val="0"/>
        <w:rPr>
          <w:rFonts w:hint="eastAsia" w:ascii="宋体" w:hAnsi="宋体" w:eastAsia="宋体" w:cs="宋体"/>
          <w:b/>
          <w:color w:val="000000" w:themeColor="text1"/>
          <w:kern w:val="0"/>
          <w:sz w:val="28"/>
          <w:szCs w:val="28"/>
          <w:highlight w:val="none"/>
          <w14:textFill>
            <w14:solidFill>
              <w14:schemeClr w14:val="tx1"/>
            </w14:solidFill>
          </w14:textFill>
        </w:rPr>
      </w:pPr>
      <w:r>
        <w:rPr>
          <w:rFonts w:hint="eastAsia" w:ascii="宋体" w:hAnsi="宋体" w:eastAsia="宋体" w:cs="宋体"/>
          <w:b/>
          <w:color w:val="000000" w:themeColor="text1"/>
          <w:kern w:val="0"/>
          <w:sz w:val="28"/>
          <w:szCs w:val="28"/>
          <w:highlight w:val="none"/>
          <w14:textFill>
            <w14:solidFill>
              <w14:schemeClr w14:val="tx1"/>
            </w14:solidFill>
          </w14:textFill>
        </w:rPr>
        <w:t>目录</w:t>
      </w:r>
    </w:p>
    <w:p>
      <w:pPr>
        <w:snapToGrid w:val="0"/>
        <w:spacing w:line="360" w:lineRule="auto"/>
        <w:ind w:left="479" w:leftChars="228"/>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（1）投标函</w:t>
      </w:r>
      <w:r>
        <w:rPr>
          <w:rFonts w:hint="eastAsia" w:ascii="宋体" w:hAnsi="宋体" w:eastAsia="宋体" w:cs="宋体"/>
          <w:color w:val="000000" w:themeColor="text1"/>
          <w:highlight w:val="none"/>
          <w14:textFill>
            <w14:solidFill>
              <w14:schemeClr w14:val="tx1"/>
            </w14:solidFill>
          </w14:textFill>
        </w:rPr>
        <w:t>…………………………………………………………………………………（页码）</w:t>
      </w:r>
      <w:r>
        <w:rPr>
          <w:rFonts w:hint="eastAsia" w:ascii="宋体" w:hAnsi="宋体" w:eastAsia="宋体" w:cs="宋体"/>
          <w:color w:val="000000" w:themeColor="text1"/>
          <w:sz w:val="24"/>
          <w:highlight w:val="none"/>
          <w14:textFill>
            <w14:solidFill>
              <w14:schemeClr w14:val="tx1"/>
            </w14:solidFill>
          </w14:textFill>
        </w:rPr>
        <w:t>（2）授权委托书或法定代表人（单位负责人、自然人本人）身份证明</w:t>
      </w:r>
      <w:r>
        <w:rPr>
          <w:rFonts w:hint="eastAsia" w:ascii="宋体" w:hAnsi="宋体" w:eastAsia="宋体" w:cs="宋体"/>
          <w:color w:val="000000" w:themeColor="text1"/>
          <w:highlight w:val="none"/>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（3）联合协议</w:t>
      </w:r>
      <w:r>
        <w:rPr>
          <w:rFonts w:hint="eastAsia" w:ascii="宋体" w:hAnsi="宋体" w:eastAsia="宋体" w:cs="宋体"/>
          <w:color w:val="000000" w:themeColor="text1"/>
          <w:highlight w:val="none"/>
          <w14:textFill>
            <w14:solidFill>
              <w14:schemeClr w14:val="tx1"/>
            </w14:solidFill>
          </w14:textFill>
        </w:rPr>
        <w:t>………………………………………………………………………………（页码）</w:t>
      </w:r>
    </w:p>
    <w:p>
      <w:pPr>
        <w:snapToGrid w:val="0"/>
        <w:spacing w:line="360" w:lineRule="auto"/>
        <w:ind w:firstLine="48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（4）分包意向协议</w:t>
      </w:r>
      <w:r>
        <w:rPr>
          <w:rFonts w:hint="eastAsia" w:ascii="宋体" w:hAnsi="宋体" w:eastAsia="宋体" w:cs="宋体"/>
          <w:color w:val="000000" w:themeColor="text1"/>
          <w:highlight w:val="none"/>
          <w14:textFill>
            <w14:solidFill>
              <w14:schemeClr w14:val="tx1"/>
            </w14:solidFill>
          </w14:textFill>
        </w:rPr>
        <w:t>…………………………………………………………………………（页码）</w:t>
      </w:r>
    </w:p>
    <w:p>
      <w:pPr>
        <w:snapToGrid w:val="0"/>
        <w:spacing w:line="360" w:lineRule="auto"/>
        <w:ind w:firstLine="48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（5）符合性审查资料</w:t>
      </w:r>
      <w:r>
        <w:rPr>
          <w:rFonts w:hint="eastAsia" w:ascii="宋体" w:hAnsi="宋体" w:eastAsia="宋体" w:cs="宋体"/>
          <w:color w:val="000000" w:themeColor="text1"/>
          <w:highlight w:val="none"/>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（6）评标标准相应的商务技术资料</w:t>
      </w:r>
      <w:r>
        <w:rPr>
          <w:rFonts w:hint="eastAsia" w:ascii="宋体" w:hAnsi="宋体" w:eastAsia="宋体" w:cs="宋体"/>
          <w:color w:val="000000" w:themeColor="text1"/>
          <w:highlight w:val="none"/>
          <w14:textFill>
            <w14:solidFill>
              <w14:schemeClr w14:val="tx1"/>
            </w14:solidFill>
          </w14:textFill>
        </w:rPr>
        <w:t>……………………………………………………（页码）</w:t>
      </w:r>
      <w:r>
        <w:rPr>
          <w:rFonts w:hint="eastAsia" w:ascii="宋体" w:hAnsi="宋体" w:eastAsia="宋体" w:cs="宋体"/>
          <w:color w:val="000000" w:themeColor="text1"/>
          <w:sz w:val="24"/>
          <w:highlight w:val="none"/>
          <w14:textFill>
            <w14:solidFill>
              <w14:schemeClr w14:val="tx1"/>
            </w14:solidFill>
          </w14:textFill>
        </w:rPr>
        <w:t>（7）投标标的清单</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（8）商务技术偏离表</w:t>
      </w:r>
      <w:r>
        <w:rPr>
          <w:rFonts w:hint="eastAsia" w:ascii="宋体" w:hAnsi="宋体" w:eastAsia="宋体" w:cs="宋体"/>
          <w:color w:val="000000" w:themeColor="text1"/>
          <w:highlight w:val="none"/>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9</w:t>
      </w:r>
      <w:r>
        <w:rPr>
          <w:rFonts w:hint="eastAsia" w:ascii="宋体" w:hAnsi="宋体" w:eastAsia="宋体" w:cs="宋体"/>
          <w:color w:val="000000" w:themeColor="text1"/>
          <w:sz w:val="24"/>
          <w:highlight w:val="none"/>
          <w:lang w:val="zh-CN"/>
          <w14:textFill>
            <w14:solidFill>
              <w14:schemeClr w14:val="tx1"/>
            </w14:solidFill>
          </w14:textFill>
        </w:rPr>
        <w:t>）政府采购供应商廉洁自律承诺书</w:t>
      </w:r>
      <w:r>
        <w:rPr>
          <w:rFonts w:hint="eastAsia" w:ascii="宋体" w:hAnsi="宋体" w:eastAsia="宋体" w:cs="宋体"/>
          <w:color w:val="000000" w:themeColor="text1"/>
          <w:highlight w:val="none"/>
          <w14:textFill>
            <w14:solidFill>
              <w14:schemeClr w14:val="tx1"/>
            </w14:solidFill>
          </w14:textFill>
        </w:rPr>
        <w:t>…………………………………………………（页码）</w:t>
      </w: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kern w:val="0"/>
          <w:sz w:val="32"/>
          <w:szCs w:val="32"/>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一、投标</w:t>
      </w:r>
      <w:r>
        <w:rPr>
          <w:rFonts w:hint="eastAsia" w:ascii="宋体" w:hAnsi="宋体" w:eastAsia="宋体" w:cs="宋体"/>
          <w:b/>
          <w:color w:val="000000" w:themeColor="text1"/>
          <w:sz w:val="32"/>
          <w:szCs w:val="32"/>
          <w:highlight w:val="none"/>
          <w14:textFill>
            <w14:solidFill>
              <w14:schemeClr w14:val="tx1"/>
            </w14:solidFill>
          </w14:textFill>
        </w:rPr>
        <w:t>函</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（采购人）、（采购代理机构）：</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1、我方承诺投标有效期从提交投标文件的截止之日起</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天（不少于90天）</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本投标文件在投标有效期满之前均具有约束力。</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2、我方的投标文件包括以下内容：</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2.1资格文件：</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2.1.1承诺函；</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2.1.2落实政府采购政策需满足的资格要求（如果有）；</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2.1.3本项目的特定资格要求（如果有）。</w:t>
      </w:r>
    </w:p>
    <w:p>
      <w:pPr>
        <w:snapToGrid w:val="0"/>
        <w:spacing w:line="360" w:lineRule="auto"/>
        <w:ind w:left="210" w:leftChars="100" w:firstLine="480" w:firstLineChars="200"/>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商务技术</w:t>
      </w:r>
      <w:r>
        <w:rPr>
          <w:rFonts w:hint="eastAsia" w:ascii="宋体" w:hAnsi="宋体" w:eastAsia="宋体" w:cs="宋体"/>
          <w:color w:val="000000" w:themeColor="text1"/>
          <w:sz w:val="24"/>
          <w:highlight w:val="none"/>
          <w:lang w:val="zh-CN"/>
          <w14:textFill>
            <w14:solidFill>
              <w14:schemeClr w14:val="tx1"/>
            </w14:solidFill>
          </w14:textFill>
        </w:rPr>
        <w:t>文件：</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2.2.1投标函；</w:t>
      </w:r>
      <w:r>
        <w:rPr>
          <w:rFonts w:hint="eastAsia" w:ascii="宋体" w:hAnsi="宋体" w:eastAsia="宋体" w:cs="宋体"/>
          <w:color w:val="000000" w:themeColor="text1"/>
          <w:sz w:val="24"/>
          <w:highlight w:val="none"/>
          <w:lang w:val="zh-CN"/>
          <w14:textFill>
            <w14:solidFill>
              <w14:schemeClr w14:val="tx1"/>
            </w14:solidFill>
          </w14:textFill>
        </w:rPr>
        <w:t xml:space="preserve"> </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2.2.3联合协议（如果有）；</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2.2.4分包意向协议（如果有）；</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2.2.5符合性审查资料；</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2.2.6评标标准相应的商务技术资料；</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2.2.7投标标的清单；</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2.2.8商务技术偏离表；</w:t>
      </w:r>
    </w:p>
    <w:p>
      <w:pPr>
        <w:snapToGrid w:val="0"/>
        <w:spacing w:line="360" w:lineRule="auto"/>
        <w:ind w:left="420" w:leftChars="200" w:firstLine="480" w:firstLineChars="200"/>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9</w:t>
      </w:r>
      <w:r>
        <w:rPr>
          <w:rFonts w:hint="eastAsia" w:ascii="宋体" w:hAnsi="宋体" w:eastAsia="宋体" w:cs="宋体"/>
          <w:color w:val="000000" w:themeColor="text1"/>
          <w:sz w:val="24"/>
          <w:highlight w:val="none"/>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3报价文件</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2.3.1开标一览表（报价表）；</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2.3.2中小企业声明函（如果有）。</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4、如我方中标，我方承诺：</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5、其他补充说明:</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3600" w:firstLineChars="15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投标人名称（电子签名）：                          </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日期：  年   月   日</w:t>
      </w:r>
    </w:p>
    <w:p>
      <w:pPr>
        <w:snapToGrid w:val="0"/>
        <w:spacing w:line="360" w:lineRule="auto"/>
        <w:ind w:left="420" w:leftChars="200" w:firstLine="4200" w:firstLineChars="1750"/>
        <w:rPr>
          <w:rFonts w:hint="eastAsia" w:ascii="宋体" w:hAnsi="宋体" w:eastAsia="宋体" w:cs="宋体"/>
          <w:color w:val="000000" w:themeColor="text1"/>
          <w:kern w:val="0"/>
          <w:sz w:val="24"/>
          <w:highlight w:val="none"/>
          <w:u w:val="single"/>
          <w14:textFill>
            <w14:solidFill>
              <w14:schemeClr w14:val="tx1"/>
            </w14:solidFill>
          </w14:textFill>
        </w:rPr>
      </w:pPr>
    </w:p>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注：按本格式和要求提供。</w:t>
      </w:r>
    </w:p>
    <w:p>
      <w:pPr>
        <w:snapToGrid w:val="0"/>
        <w:spacing w:line="360" w:lineRule="auto"/>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rPr>
          <w:rFonts w:hint="eastAsia" w:ascii="宋体" w:hAnsi="宋体" w:eastAsia="宋体" w:cs="宋体"/>
          <w:b/>
          <w:color w:val="000000" w:themeColor="text1"/>
          <w:kern w:val="0"/>
          <w:sz w:val="32"/>
          <w:szCs w:val="32"/>
          <w:highlight w:val="none"/>
          <w:lang w:val="zh-CN"/>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br w:type="page"/>
      </w: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二、授权委托书或法定代表人（单位负责人、自然人本人）身份证明</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p>
    <w:p>
      <w:pPr>
        <w:snapToGrid w:val="0"/>
        <w:spacing w:line="360" w:lineRule="auto"/>
        <w:ind w:firstLine="2872" w:firstLineChars="894"/>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授权委托书（适用于非联合体投标）</w:t>
      </w:r>
      <w:r>
        <w:rPr>
          <w:rFonts w:hint="eastAsia" w:ascii="宋体" w:hAnsi="宋体" w:eastAsia="宋体" w:cs="宋体"/>
          <w:color w:val="000000" w:themeColor="text1"/>
          <w:highlight w:val="none"/>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（采购人）、（采购代理机构）</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现</w:t>
      </w:r>
      <w:r>
        <w:rPr>
          <w:rFonts w:hint="eastAsia" w:ascii="宋体" w:hAnsi="宋体" w:eastAsia="宋体" w:cs="宋体"/>
          <w:color w:val="000000" w:themeColor="text1"/>
          <w:kern w:val="0"/>
          <w:sz w:val="24"/>
          <w:highlight w:val="none"/>
          <w:lang w:val="zh-CN"/>
          <w14:textFill>
            <w14:solidFill>
              <w14:schemeClr w14:val="tx1"/>
            </w14:solidFill>
          </w14:textFill>
        </w:rPr>
        <w:t>委托</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（姓名）为我方代理人（身份证号码：</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，手机：</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），以我方名义处理</w:t>
      </w:r>
      <w:r>
        <w:rPr>
          <w:rFonts w:hint="eastAsia" w:ascii="宋体" w:hAnsi="宋体" w:eastAsia="宋体" w:cs="宋体"/>
          <w:color w:val="000000" w:themeColor="text1"/>
          <w:sz w:val="24"/>
          <w:highlight w:val="none"/>
          <w14:textFill>
            <w14:solidFill>
              <w14:schemeClr w14:val="tx1"/>
            </w14:solidFill>
          </w14:textFill>
        </w:rPr>
        <w:t>（项目名称）【招标编号：（采购编号）】</w:t>
      </w:r>
      <w:r>
        <w:rPr>
          <w:rFonts w:hint="eastAsia" w:ascii="宋体" w:hAnsi="宋体" w:eastAsia="宋体" w:cs="宋体"/>
          <w:color w:val="000000" w:themeColor="text1"/>
          <w:kern w:val="0"/>
          <w:sz w:val="24"/>
          <w:highlight w:val="none"/>
          <w:lang w:val="zh-CN"/>
          <w14:textFill>
            <w14:solidFill>
              <w14:schemeClr w14:val="tx1"/>
            </w14:solidFill>
          </w14:textFill>
        </w:rPr>
        <w:t>采购投标的一切事项，其法律后果由我方承担。</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委托期限</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自</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年</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日起至</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年</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日止。</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特此告知。</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 xml:space="preserve">      </w:t>
      </w:r>
      <w:r>
        <w:rPr>
          <w:rFonts w:hint="eastAsia" w:ascii="宋体" w:hAnsi="宋体" w:eastAsia="宋体" w:cs="宋体"/>
          <w:b/>
          <w:color w:val="000000" w:themeColor="text1"/>
          <w:kern w:val="0"/>
          <w:sz w:val="32"/>
          <w:szCs w:val="32"/>
          <w:highlight w:val="none"/>
          <w14:textFill>
            <w14:solidFill>
              <w14:schemeClr w14:val="tx1"/>
            </w14:solidFill>
          </w14:textFill>
        </w:rPr>
        <w:t xml:space="preserve"> </w:t>
      </w:r>
      <w:r>
        <w:rPr>
          <w:rFonts w:hint="eastAsia" w:ascii="宋体" w:hAnsi="宋体" w:eastAsia="宋体" w:cs="宋体"/>
          <w:b/>
          <w:color w:val="000000" w:themeColor="text1"/>
          <w:kern w:val="0"/>
          <w:sz w:val="32"/>
          <w:szCs w:val="32"/>
          <w:highlight w:val="none"/>
          <w:lang w:val="zh-CN"/>
          <w14:textFill>
            <w14:solidFill>
              <w14:schemeClr w14:val="tx1"/>
            </w14:solidFill>
          </w14:textFill>
        </w:rPr>
        <w:t>授权委托书（适用于联合体投标）</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（采购人）、（采购代理机构）</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现</w:t>
      </w:r>
      <w:r>
        <w:rPr>
          <w:rFonts w:hint="eastAsia" w:ascii="宋体" w:hAnsi="宋体" w:eastAsia="宋体" w:cs="宋体"/>
          <w:color w:val="000000" w:themeColor="text1"/>
          <w:kern w:val="0"/>
          <w:sz w:val="24"/>
          <w:highlight w:val="none"/>
          <w:lang w:val="zh-CN"/>
          <w14:textFill>
            <w14:solidFill>
              <w14:schemeClr w14:val="tx1"/>
            </w14:solidFill>
          </w14:textFill>
        </w:rPr>
        <w:t>委托</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（姓名）为我方代理人（身份证号码：</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，手机：</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），以我方名义处理</w:t>
      </w:r>
      <w:r>
        <w:rPr>
          <w:rFonts w:hint="eastAsia" w:ascii="宋体" w:hAnsi="宋体" w:eastAsia="宋体" w:cs="宋体"/>
          <w:color w:val="000000" w:themeColor="text1"/>
          <w:sz w:val="24"/>
          <w:highlight w:val="none"/>
          <w14:textFill>
            <w14:solidFill>
              <w14:schemeClr w14:val="tx1"/>
            </w14:solidFill>
          </w14:textFill>
        </w:rPr>
        <w:t>（项目名称）【招标编号：（采购编号）】</w:t>
      </w:r>
      <w:r>
        <w:rPr>
          <w:rFonts w:hint="eastAsia" w:ascii="宋体" w:hAnsi="宋体" w:eastAsia="宋体" w:cs="宋体"/>
          <w:color w:val="000000" w:themeColor="text1"/>
          <w:kern w:val="0"/>
          <w:sz w:val="24"/>
          <w:highlight w:val="none"/>
          <w:lang w:val="zh-CN"/>
          <w14:textFill>
            <w14:solidFill>
              <w14:schemeClr w14:val="tx1"/>
            </w14:solidFill>
          </w14:textFill>
        </w:rPr>
        <w:t>采购投标的一切事项，其法律后果由我方承担。</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委托期限</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自</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年</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日起至</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年</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日止。</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特此告知。</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snapToGrid w:val="0"/>
        <w:spacing w:line="360" w:lineRule="auto"/>
        <w:ind w:firstLine="5040" w:firstLineChars="21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760" w:firstLineChars="24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  年  月   日</w:t>
      </w:r>
    </w:p>
    <w:p>
      <w:pPr>
        <w:autoSpaceDE w:val="0"/>
        <w:autoSpaceDN w:val="0"/>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宋体" w:hAnsi="宋体" w:eastAsia="宋体" w:cs="宋体"/>
          <w:b/>
          <w:color w:val="000000" w:themeColor="text1"/>
          <w:sz w:val="30"/>
          <w:szCs w:val="30"/>
          <w:highlight w:val="none"/>
          <w14:textFill>
            <w14:solidFill>
              <w14:schemeClr w14:val="tx1"/>
            </w14:solidFill>
          </w14:textFill>
        </w:rPr>
        <w:t>的身份证明（适用于法定代表人、单位负责人或者自然人本人代表投标人参加投标）</w:t>
      </w:r>
    </w:p>
    <w:p>
      <w:pPr>
        <w:pStyle w:val="146"/>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正面：                                 反面：</w:t>
            </w:r>
          </w:p>
          <w:p>
            <w:pPr>
              <w:pStyle w:val="146"/>
              <w:adjustRightInd w:val="0"/>
              <w:spacing w:line="360" w:lineRule="auto"/>
              <w:rPr>
                <w:rFonts w:hint="eastAsia" w:ascii="宋体" w:hAnsi="宋体" w:eastAsia="宋体" w:cs="宋体"/>
                <w:bCs/>
                <w:color w:val="000000" w:themeColor="text1"/>
                <w:sz w:val="24"/>
                <w:highlight w:val="none"/>
                <w14:textFill>
                  <w14:solidFill>
                    <w14:schemeClr w14:val="tx1"/>
                  </w14:solidFill>
                </w14:textFill>
              </w:rPr>
            </w:pPr>
          </w:p>
        </w:tc>
      </w:tr>
    </w:tbl>
    <w:p>
      <w:pPr>
        <w:snapToGrid w:val="0"/>
        <w:spacing w:line="360" w:lineRule="auto"/>
        <w:ind w:firstLine="576"/>
        <w:jc w:val="center"/>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w:t>
      </w:r>
    </w:p>
    <w:p>
      <w:pPr>
        <w:snapToGrid w:val="0"/>
        <w:spacing w:line="360" w:lineRule="auto"/>
        <w:ind w:firstLine="576"/>
        <w:jc w:val="center"/>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投标人名称(电子签名)：                              </w:t>
      </w:r>
    </w:p>
    <w:p>
      <w:pPr>
        <w:spacing w:line="360" w:lineRule="auto"/>
        <w:jc w:val="center"/>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  年  月  日</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三、</w:t>
      </w:r>
      <w:r>
        <w:rPr>
          <w:rFonts w:hint="eastAsia" w:ascii="宋体" w:hAnsi="宋体" w:eastAsia="宋体" w:cs="宋体"/>
          <w:b/>
          <w:color w:val="000000" w:themeColor="text1"/>
          <w:kern w:val="0"/>
          <w:sz w:val="32"/>
          <w:szCs w:val="32"/>
          <w:highlight w:val="none"/>
          <w:lang w:val="zh-CN"/>
          <w14:textFill>
            <w14:solidFill>
              <w14:schemeClr w14:val="tx1"/>
            </w14:solidFill>
          </w14:textFill>
        </w:rPr>
        <w:t>联合协议</w:t>
      </w:r>
    </w:p>
    <w:p>
      <w:pPr>
        <w:widowControl/>
        <w:spacing w:line="360" w:lineRule="auto"/>
        <w:ind w:firstLine="482" w:firstLineChars="200"/>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（联合体所有成员名称）</w:t>
      </w:r>
      <w:r>
        <w:rPr>
          <w:rFonts w:hint="eastAsia" w:ascii="宋体" w:hAnsi="宋体" w:eastAsia="宋体" w:cs="宋体"/>
          <w:color w:val="000000" w:themeColor="text1"/>
          <w:kern w:val="0"/>
          <w:sz w:val="24"/>
          <w:highlight w:val="none"/>
          <w14:textFill>
            <w14:solidFill>
              <w14:schemeClr w14:val="tx1"/>
            </w14:solidFill>
          </w14:textFill>
        </w:rPr>
        <w:t>自愿</w:t>
      </w:r>
      <w:r>
        <w:rPr>
          <w:rFonts w:hint="eastAsia" w:ascii="宋体" w:hAnsi="宋体" w:eastAsia="宋体" w:cs="宋体"/>
          <w:color w:val="000000" w:themeColor="text1"/>
          <w:kern w:val="0"/>
          <w:sz w:val="24"/>
          <w:highlight w:val="none"/>
          <w:lang w:val="zh-CN"/>
          <w14:textFill>
            <w14:solidFill>
              <w14:schemeClr w14:val="tx1"/>
            </w14:solidFill>
          </w14:textFill>
        </w:rPr>
        <w:t>组成一个联合体，以一个投标人的身份</w:t>
      </w:r>
      <w:r>
        <w:rPr>
          <w:rFonts w:hint="eastAsia" w:ascii="宋体" w:hAnsi="宋体" w:eastAsia="宋体" w:cs="宋体"/>
          <w:color w:val="000000" w:themeColor="text1"/>
          <w:kern w:val="0"/>
          <w:sz w:val="24"/>
          <w:highlight w:val="none"/>
          <w14:textFill>
            <w14:solidFill>
              <w14:schemeClr w14:val="tx1"/>
            </w14:solidFill>
          </w14:textFill>
        </w:rPr>
        <w:t>参加</w:t>
      </w:r>
      <w:r>
        <w:rPr>
          <w:rFonts w:hint="eastAsia" w:ascii="宋体" w:hAnsi="宋体" w:eastAsia="宋体" w:cs="宋体"/>
          <w:color w:val="000000" w:themeColor="text1"/>
          <w:sz w:val="24"/>
          <w:highlight w:val="none"/>
          <w14:textFill>
            <w14:solidFill>
              <w14:schemeClr w14:val="tx1"/>
            </w14:solidFill>
          </w14:textFill>
        </w:rPr>
        <w:t>（项目名称）【招标编号：（采购编号）】</w:t>
      </w:r>
      <w:r>
        <w:rPr>
          <w:rFonts w:hint="eastAsia" w:ascii="宋体" w:hAnsi="宋体" w:eastAsia="宋体" w:cs="宋体"/>
          <w:color w:val="000000" w:themeColor="text1"/>
          <w:kern w:val="0"/>
          <w:sz w:val="24"/>
          <w:highlight w:val="none"/>
          <w:lang w:val="zh-CN"/>
          <w14:textFill>
            <w14:solidFill>
              <w14:schemeClr w14:val="tx1"/>
            </w14:solidFill>
          </w14:textFill>
        </w:rPr>
        <w:t xml:space="preserve">投标。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一、各方一致决定，</w:t>
      </w:r>
      <w:r>
        <w:rPr>
          <w:rFonts w:hint="eastAsia" w:ascii="宋体" w:hAnsi="宋体" w:eastAsia="宋体" w:cs="宋体"/>
          <w:color w:val="000000" w:themeColor="text1"/>
          <w:kern w:val="0"/>
          <w:sz w:val="24"/>
          <w:highlight w:val="none"/>
          <w:u w:val="single"/>
          <w14:textFill>
            <w14:solidFill>
              <w14:schemeClr w14:val="tx1"/>
            </w14:solidFill>
          </w14:textFill>
        </w:rPr>
        <w:t>（某联合体成员名称）</w:t>
      </w:r>
      <w:r>
        <w:rPr>
          <w:rFonts w:hint="eastAsia" w:ascii="宋体" w:hAnsi="宋体" w:eastAsia="宋体" w:cs="宋体"/>
          <w:color w:val="000000" w:themeColor="text1"/>
          <w:kern w:val="0"/>
          <w:sz w:val="24"/>
          <w:highlight w:val="none"/>
          <w14:textFill>
            <w14:solidFill>
              <w14:schemeClr w14:val="tx1"/>
            </w14:solidFill>
          </w14:textFill>
        </w:rPr>
        <w:t>为联合体</w:t>
      </w:r>
      <w:r>
        <w:rPr>
          <w:rFonts w:hint="eastAsia" w:ascii="宋体" w:hAnsi="宋体" w:eastAsia="宋体" w:cs="宋体"/>
          <w:color w:val="000000" w:themeColor="text1"/>
          <w:kern w:val="0"/>
          <w:sz w:val="24"/>
          <w:highlight w:val="none"/>
          <w:lang w:val="zh-CN"/>
          <w14:textFill>
            <w14:solidFill>
              <w14:schemeClr w14:val="tx1"/>
            </w14:solidFill>
          </w14:textFill>
        </w:rPr>
        <w:t>牵头人</w:t>
      </w:r>
      <w:r>
        <w:rPr>
          <w:rFonts w:hint="eastAsia" w:ascii="宋体" w:hAnsi="宋体" w:eastAsia="宋体" w:cs="宋体"/>
          <w:color w:val="000000" w:themeColor="text1"/>
          <w:sz w:val="24"/>
          <w:highlight w:val="none"/>
          <w14:textFill>
            <w14:solidFill>
              <w14:schemeClr w14:val="tx1"/>
            </w14:solidFill>
          </w14:textFill>
        </w:rPr>
        <w:t>，代表所有联合体成员负责投标和合同实施阶段的主办、协调工作</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二、</w:t>
      </w:r>
      <w:r>
        <w:rPr>
          <w:rFonts w:hint="eastAsia" w:ascii="宋体" w:hAnsi="宋体" w:eastAsia="宋体" w:cs="宋体"/>
          <w:color w:val="000000" w:themeColor="text1"/>
          <w:sz w:val="24"/>
          <w:highlight w:val="none"/>
          <w14:textFill>
            <w14:solidFill>
              <w14:schemeClr w14:val="tx1"/>
            </w14:solidFill>
          </w14:textFill>
        </w:rPr>
        <w:t>所有联合体成员各方签署授权书，授权书载明的</w:t>
      </w:r>
      <w:r>
        <w:rPr>
          <w:rFonts w:hint="eastAsia" w:ascii="宋体" w:hAnsi="宋体" w:eastAsia="宋体" w:cs="宋体"/>
          <w:color w:val="000000" w:themeColor="text1"/>
          <w:kern w:val="0"/>
          <w:sz w:val="24"/>
          <w:highlight w:val="none"/>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三、本次联合投标中，分工如下：</w:t>
      </w:r>
      <w:r>
        <w:rPr>
          <w:rFonts w:hint="eastAsia" w:ascii="宋体" w:hAnsi="宋体" w:eastAsia="宋体" w:cs="宋体"/>
          <w:color w:val="000000" w:themeColor="text1"/>
          <w:kern w:val="0"/>
          <w:sz w:val="24"/>
          <w:highlight w:val="none"/>
          <w:u w:val="single"/>
          <w14:textFill>
            <w14:solidFill>
              <w14:schemeClr w14:val="tx1"/>
            </w14:solidFill>
          </w14:textFill>
        </w:rPr>
        <w:t>（联合体其中一方成员名称）</w:t>
      </w:r>
      <w:r>
        <w:rPr>
          <w:rFonts w:hint="eastAsia" w:ascii="宋体" w:hAnsi="宋体" w:eastAsia="宋体" w:cs="宋体"/>
          <w:color w:val="000000" w:themeColor="text1"/>
          <w:kern w:val="0"/>
          <w:sz w:val="24"/>
          <w:highlight w:val="none"/>
          <w:lang w:val="zh-CN"/>
          <w14:textFill>
            <w14:solidFill>
              <w14:schemeClr w14:val="tx1"/>
            </w14:solidFill>
          </w14:textFill>
        </w:rPr>
        <w:t>承担的工作和义务为：</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b/>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四、</w:t>
      </w:r>
      <w:r>
        <w:rPr>
          <w:rFonts w:hint="eastAsia" w:ascii="宋体" w:hAnsi="宋体" w:eastAsia="宋体" w:cs="宋体"/>
          <w:color w:val="000000" w:themeColor="text1"/>
          <w:kern w:val="0"/>
          <w:sz w:val="24"/>
          <w:highlight w:val="none"/>
          <w:u w:val="single"/>
          <w14:textFill>
            <w14:solidFill>
              <w14:schemeClr w14:val="tx1"/>
            </w14:solidFill>
          </w14:textFill>
        </w:rPr>
        <w:t>（联合体其中一方成员名称）</w:t>
      </w:r>
      <w:r>
        <w:rPr>
          <w:rFonts w:hint="eastAsia" w:ascii="宋体" w:hAnsi="宋体" w:eastAsia="宋体" w:cs="宋体"/>
          <w:color w:val="000000" w:themeColor="text1"/>
          <w:kern w:val="0"/>
          <w:sz w:val="24"/>
          <w:highlight w:val="none"/>
          <w14:textFill>
            <w14:solidFill>
              <w14:schemeClr w14:val="tx1"/>
            </w14:solidFill>
          </w14:textFill>
        </w:rPr>
        <w:t>提供的全部货物由小微企业制造，其合同份额占到合同总金额</w:t>
      </w:r>
      <w:r>
        <w:rPr>
          <w:rFonts w:hint="eastAsia" w:ascii="宋体" w:hAnsi="宋体" w:eastAsia="宋体" w:cs="宋体"/>
          <w:color w:val="000000" w:themeColor="text1"/>
          <w:kern w:val="0"/>
          <w:sz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%以上；</w:t>
      </w:r>
      <w:r>
        <w:rPr>
          <w:rFonts w:hint="eastAsia" w:ascii="宋体" w:hAnsi="宋体" w:eastAsia="宋体" w:cs="宋体"/>
          <w:color w:val="000000" w:themeColor="text1"/>
          <w:kern w:val="0"/>
          <w:sz w:val="24"/>
          <w:highlight w:val="none"/>
          <w:lang w:val="zh-CN"/>
          <w14:textFill>
            <w14:solidFill>
              <w14:schemeClr w14:val="tx1"/>
            </w14:solidFill>
          </w14:textFill>
        </w:rPr>
        <w:t>……。</w:t>
      </w:r>
      <w:r>
        <w:rPr>
          <w:rFonts w:hint="eastAsia" w:ascii="宋体" w:hAnsi="宋体" w:eastAsia="宋体" w:cs="宋体"/>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宋体" w:hAnsi="宋体" w:eastAsia="宋体" w:cs="宋体"/>
          <w:b/>
          <w:color w:val="000000" w:themeColor="text1"/>
          <w:kern w:val="0"/>
          <w:sz w:val="24"/>
          <w:highlight w:val="none"/>
          <w:lang w:val="en-US" w:eastAsia="zh-CN"/>
          <w14:textFill>
            <w14:solidFill>
              <w14:schemeClr w14:val="tx1"/>
            </w14:solidFill>
          </w14:textFill>
        </w:rPr>
        <w:t>6</w:t>
      </w:r>
      <w:r>
        <w:rPr>
          <w:rFonts w:hint="eastAsia" w:ascii="宋体" w:hAnsi="宋体" w:eastAsia="宋体" w:cs="宋体"/>
          <w:b/>
          <w:color w:val="000000" w:themeColor="text1"/>
          <w:kern w:val="0"/>
          <w:sz w:val="24"/>
          <w:highlight w:val="none"/>
          <w:lang w:val="zh-CN"/>
          <w14:textFill>
            <w14:solidFill>
              <w14:schemeClr w14:val="tx1"/>
            </w14:solidFill>
          </w14:textFill>
        </w:rPr>
        <w:t>%的扣除）</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五、如果中标，</w:t>
      </w:r>
      <w:r>
        <w:rPr>
          <w:rFonts w:hint="eastAsia" w:ascii="宋体" w:hAnsi="宋体" w:eastAsia="宋体" w:cs="宋体"/>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1、联合体各方不再单独参加或者与其他供应商另外组成联合体参加同一合同项下的采购活动。</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  年  月   日</w:t>
      </w:r>
    </w:p>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注：按本格式和要求提供。</w:t>
      </w:r>
    </w:p>
    <w:p>
      <w:pPr>
        <w:snapToGrid w:val="0"/>
        <w:spacing w:line="360" w:lineRule="auto"/>
        <w:ind w:right="480"/>
        <w:rPr>
          <w:rFonts w:hint="eastAsia" w:ascii="宋体" w:hAnsi="宋体" w:eastAsia="宋体" w:cs="宋体"/>
          <w:b/>
          <w:color w:val="000000" w:themeColor="text1"/>
          <w:kern w:val="0"/>
          <w:sz w:val="32"/>
          <w:szCs w:val="32"/>
          <w:highlight w:val="none"/>
          <w14:textFill>
            <w14:solidFill>
              <w14:schemeClr w14:val="tx1"/>
            </w14:solidFill>
          </w14:textFill>
        </w:rPr>
        <w:sectPr>
          <w:pgSz w:w="11906" w:h="16838"/>
          <w:pgMar w:top="1276" w:right="1417" w:bottom="1247" w:left="1417" w:header="851" w:footer="992" w:gutter="0"/>
          <w:pgBorders>
            <w:top w:val="none" w:sz="0" w:space="0"/>
            <w:left w:val="none" w:sz="0" w:space="0"/>
            <w:bottom w:val="none" w:sz="0" w:space="0"/>
            <w:right w:val="none" w:sz="0" w:space="0"/>
          </w:pgBorders>
          <w:cols w:space="0" w:num="1"/>
          <w:titlePg/>
          <w:rtlGutter w:val="0"/>
          <w:docGrid w:linePitch="312" w:charSpace="0"/>
        </w:sectPr>
      </w:pPr>
    </w:p>
    <w:p>
      <w:pPr>
        <w:snapToGrid w:val="0"/>
        <w:spacing w:line="360" w:lineRule="auto"/>
        <w:ind w:firstLine="3534" w:firstLineChars="1100"/>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四、分包意向协议</w:t>
      </w:r>
    </w:p>
    <w:p>
      <w:pPr>
        <w:widowControl/>
        <w:spacing w:line="360" w:lineRule="auto"/>
        <w:ind w:firstLine="120" w:firstLineChars="5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（投标人名称）</w:t>
      </w:r>
      <w:r>
        <w:rPr>
          <w:rFonts w:hint="eastAsia" w:ascii="宋体" w:hAnsi="宋体" w:eastAsia="宋体" w:cs="宋体"/>
          <w:color w:val="000000" w:themeColor="text1"/>
          <w:kern w:val="0"/>
          <w:sz w:val="24"/>
          <w:highlight w:val="none"/>
          <w:lang w:val="zh-CN"/>
          <w14:textFill>
            <w14:solidFill>
              <w14:schemeClr w14:val="tx1"/>
            </w14:solidFill>
          </w14:textFill>
        </w:rPr>
        <w:t>若成为</w:t>
      </w:r>
      <w:r>
        <w:rPr>
          <w:rFonts w:hint="eastAsia" w:ascii="宋体" w:hAnsi="宋体" w:eastAsia="宋体" w:cs="宋体"/>
          <w:color w:val="000000" w:themeColor="text1"/>
          <w:sz w:val="24"/>
          <w:highlight w:val="none"/>
          <w14:textFill>
            <w14:solidFill>
              <w14:schemeClr w14:val="tx1"/>
            </w14:solidFill>
          </w14:textFill>
        </w:rPr>
        <w:t>（项目名称）【招标编号：（采购编号）】</w:t>
      </w:r>
      <w:r>
        <w:rPr>
          <w:rFonts w:hint="eastAsia" w:ascii="宋体" w:hAnsi="宋体" w:eastAsia="宋体" w:cs="宋体"/>
          <w:color w:val="000000" w:themeColor="text1"/>
          <w:kern w:val="0"/>
          <w:sz w:val="24"/>
          <w:highlight w:val="none"/>
          <w:lang w:val="zh-CN"/>
          <w14:textFill>
            <w14:solidFill>
              <w14:schemeClr w14:val="tx1"/>
            </w14:solidFill>
          </w14:textFill>
        </w:rPr>
        <w:t>的中标供应商，将依法采取分包方式履行合同。</w:t>
      </w:r>
      <w:r>
        <w:rPr>
          <w:rFonts w:hint="eastAsia" w:ascii="宋体" w:hAnsi="宋体" w:eastAsia="宋体" w:cs="宋体"/>
          <w:color w:val="000000" w:themeColor="text1"/>
          <w:kern w:val="0"/>
          <w:sz w:val="24"/>
          <w:highlight w:val="none"/>
          <w:u w:val="single"/>
          <w14:textFill>
            <w14:solidFill>
              <w14:schemeClr w14:val="tx1"/>
            </w14:solidFill>
          </w14:textFill>
        </w:rPr>
        <w:t>（投标人名称）</w:t>
      </w:r>
      <w:r>
        <w:rPr>
          <w:rFonts w:hint="eastAsia" w:ascii="宋体" w:hAnsi="宋体" w:eastAsia="宋体" w:cs="宋体"/>
          <w:color w:val="000000" w:themeColor="text1"/>
          <w:kern w:val="0"/>
          <w:sz w:val="24"/>
          <w:highlight w:val="none"/>
          <w14:textFill>
            <w14:solidFill>
              <w14:schemeClr w14:val="tx1"/>
            </w14:solidFill>
          </w14:textFill>
        </w:rPr>
        <w:t>与</w:t>
      </w:r>
      <w:r>
        <w:rPr>
          <w:rFonts w:hint="eastAsia" w:ascii="宋体" w:hAnsi="宋体" w:eastAsia="宋体" w:cs="宋体"/>
          <w:color w:val="000000" w:themeColor="text1"/>
          <w:kern w:val="0"/>
          <w:sz w:val="24"/>
          <w:highlight w:val="none"/>
          <w:u w:val="single"/>
          <w14:textFill>
            <w14:solidFill>
              <w14:schemeClr w14:val="tx1"/>
            </w14:solidFill>
          </w14:textFill>
        </w:rPr>
        <w:t>（所有分包供应商名称）</w:t>
      </w:r>
      <w:r>
        <w:rPr>
          <w:rFonts w:hint="eastAsia" w:ascii="宋体" w:hAnsi="宋体" w:eastAsia="宋体" w:cs="宋体"/>
          <w:color w:val="000000" w:themeColor="text1"/>
          <w:kern w:val="0"/>
          <w:sz w:val="24"/>
          <w:highlight w:val="none"/>
          <w14:textFill>
            <w14:solidFill>
              <w14:schemeClr w14:val="tx1"/>
            </w14:solidFill>
          </w14:textFill>
        </w:rPr>
        <w:t>达成分包意向协议</w:t>
      </w:r>
      <w:r>
        <w:rPr>
          <w:rFonts w:hint="eastAsia" w:ascii="宋体" w:hAnsi="宋体" w:eastAsia="宋体" w:cs="宋体"/>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（投标人名称）</w:t>
      </w:r>
      <w:r>
        <w:rPr>
          <w:rFonts w:hint="eastAsia" w:ascii="宋体" w:hAnsi="宋体" w:eastAsia="宋体" w:cs="宋体"/>
          <w:color w:val="000000" w:themeColor="text1"/>
          <w:kern w:val="0"/>
          <w:sz w:val="24"/>
          <w:highlight w:val="none"/>
          <w:lang w:val="zh-CN"/>
          <w14:textFill>
            <w14:solidFill>
              <w14:schemeClr w14:val="tx1"/>
            </w14:solidFill>
          </w14:textFill>
        </w:rPr>
        <w:t>将</w:t>
      </w:r>
      <w:r>
        <w:rPr>
          <w:rFonts w:hint="eastAsia" w:ascii="宋体" w:hAnsi="宋体" w:eastAsia="宋体" w:cs="宋体"/>
          <w:color w:val="000000" w:themeColor="text1"/>
          <w:highlight w:val="none"/>
          <w:u w:val="single"/>
          <w14:textFill>
            <w14:solidFill>
              <w14:schemeClr w14:val="tx1"/>
            </w14:solidFill>
          </w14:textFill>
        </w:rPr>
        <w:t xml:space="preserve">   XX工作内容   </w:t>
      </w:r>
      <w:r>
        <w:rPr>
          <w:rFonts w:hint="eastAsia" w:ascii="宋体" w:hAnsi="宋体" w:eastAsia="宋体" w:cs="宋体"/>
          <w:color w:val="000000" w:themeColor="text1"/>
          <w:sz w:val="24"/>
          <w:highlight w:val="none"/>
          <w14:textFill>
            <w14:solidFill>
              <w14:schemeClr w14:val="tx1"/>
            </w14:solidFill>
          </w14:textFill>
        </w:rPr>
        <w:t>分包给</w:t>
      </w:r>
      <w:r>
        <w:rPr>
          <w:rFonts w:hint="eastAsia" w:ascii="宋体" w:hAnsi="宋体" w:eastAsia="宋体" w:cs="宋体"/>
          <w:color w:val="000000" w:themeColor="text1"/>
          <w:kern w:val="0"/>
          <w:sz w:val="24"/>
          <w:highlight w:val="none"/>
          <w:u w:val="single"/>
          <w14:textFill>
            <w14:solidFill>
              <w14:schemeClr w14:val="tx1"/>
            </w14:solidFill>
          </w14:textFill>
        </w:rPr>
        <w:t>（某分包供应商名称）</w:t>
      </w:r>
      <w:r>
        <w:rPr>
          <w:rFonts w:hint="eastAsia" w:ascii="宋体" w:hAnsi="宋体" w:eastAsia="宋体" w:cs="宋体"/>
          <w:color w:val="000000" w:themeColor="text1"/>
          <w:kern w:val="0"/>
          <w:sz w:val="24"/>
          <w:highlight w:val="none"/>
          <w:lang w:val="zh-CN"/>
          <w14:textFill>
            <w14:solidFill>
              <w14:schemeClr w14:val="tx1"/>
            </w14:solidFill>
          </w14:textFill>
        </w:rPr>
        <w:t>，</w:t>
      </w:r>
      <w:r>
        <w:rPr>
          <w:rFonts w:hint="eastAsia" w:ascii="宋体" w:hAnsi="宋体" w:eastAsia="宋体" w:cs="宋体"/>
          <w:color w:val="000000" w:themeColor="text1"/>
          <w:kern w:val="0"/>
          <w:sz w:val="24"/>
          <w:highlight w:val="none"/>
          <w:u w:val="single"/>
          <w14:textFill>
            <w14:solidFill>
              <w14:schemeClr w14:val="tx1"/>
            </w14:solidFill>
          </w14:textFill>
        </w:rPr>
        <w:t>（某分包供应商名称），</w:t>
      </w:r>
      <w:r>
        <w:rPr>
          <w:rFonts w:hint="eastAsia" w:ascii="宋体" w:hAnsi="宋体" w:eastAsia="宋体" w:cs="宋体"/>
          <w:color w:val="000000" w:themeColor="text1"/>
          <w:kern w:val="0"/>
          <w:sz w:val="24"/>
          <w:highlight w:val="none"/>
          <w:lang w:val="zh-CN"/>
          <w14:textFill>
            <w14:solidFill>
              <w14:schemeClr w14:val="tx1"/>
            </w14:solidFill>
          </w14:textFill>
        </w:rPr>
        <w:t>具备承</w:t>
      </w:r>
      <w:r>
        <w:rPr>
          <w:rFonts w:hint="eastAsia" w:ascii="宋体" w:hAnsi="宋体" w:eastAsia="宋体" w:cs="宋体"/>
          <w:color w:val="000000" w:themeColor="text1"/>
          <w:kern w:val="0"/>
          <w:sz w:val="24"/>
          <w:highlight w:val="none"/>
          <w14:textFill>
            <w14:solidFill>
              <w14:schemeClr w14:val="tx1"/>
            </w14:solidFill>
          </w14:textFill>
        </w:rPr>
        <w:t>担</w:t>
      </w:r>
      <w:r>
        <w:rPr>
          <w:rFonts w:hint="eastAsia" w:ascii="宋体" w:hAnsi="宋体" w:eastAsia="宋体" w:cs="宋体"/>
          <w:color w:val="000000" w:themeColor="text1"/>
          <w:kern w:val="0"/>
          <w:sz w:val="24"/>
          <w:highlight w:val="none"/>
          <w:u w:val="single"/>
          <w:lang w:val="zh-CN"/>
          <w14:textFill>
            <w14:solidFill>
              <w14:schemeClr w14:val="tx1"/>
            </w14:solidFill>
          </w14:textFill>
        </w:rPr>
        <w:t>XX工作内容</w:t>
      </w:r>
      <w:r>
        <w:rPr>
          <w:rFonts w:hint="eastAsia" w:ascii="宋体" w:hAnsi="宋体" w:eastAsia="宋体" w:cs="宋体"/>
          <w:color w:val="000000" w:themeColor="text1"/>
          <w:kern w:val="0"/>
          <w:sz w:val="24"/>
          <w:highlight w:val="none"/>
          <w:lang w:val="zh-CN"/>
          <w14:textFill>
            <w14:solidFill>
              <w14:schemeClr w14:val="tx1"/>
            </w14:solidFill>
          </w14:textFill>
        </w:rPr>
        <w:t>相应资质条件且不得再次分包；</w:t>
      </w:r>
    </w:p>
    <w:p>
      <w:pPr>
        <w:pStyle w:val="2"/>
        <w:ind w:left="664" w:leftChars="316" w:firstLine="229" w:firstLineChars="95"/>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二、分包工作履行期限、地点、方式</w:t>
      </w:r>
    </w:p>
    <w:p>
      <w:pPr>
        <w:snapToGrid w:val="0"/>
        <w:spacing w:line="360" w:lineRule="auto"/>
        <w:ind w:firstLine="576"/>
        <w:rPr>
          <w:rFonts w:hint="eastAsia" w:ascii="宋体" w:hAnsi="宋体" w:eastAsia="宋体" w:cs="宋体"/>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三、质量</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四、价款或者报酬</w:t>
      </w:r>
    </w:p>
    <w:p>
      <w:pPr>
        <w:snapToGrid w:val="0"/>
        <w:spacing w:line="360" w:lineRule="auto"/>
        <w:ind w:left="573" w:leftChars="273"/>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left="573" w:leftChars="273"/>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五、违约责任</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六、争议解决的办法</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七、其他</w:t>
      </w:r>
    </w:p>
    <w:p>
      <w:pPr>
        <w:snapToGrid w:val="0"/>
        <w:spacing w:line="360" w:lineRule="auto"/>
        <w:ind w:firstLine="576"/>
        <w:rPr>
          <w:rFonts w:hint="eastAsia" w:ascii="宋体" w:hAnsi="宋体" w:eastAsia="宋体" w:cs="宋体"/>
          <w:b/>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（分包供应商名称）提供的货物全部由小微企业制造，</w:t>
      </w:r>
      <w:r>
        <w:rPr>
          <w:rFonts w:hint="eastAsia" w:ascii="宋体" w:hAnsi="宋体" w:eastAsia="宋体" w:cs="宋体"/>
          <w:color w:val="000000" w:themeColor="text1"/>
          <w:kern w:val="0"/>
          <w:sz w:val="24"/>
          <w:highlight w:val="none"/>
          <w14:textFill>
            <w14:solidFill>
              <w14:schemeClr w14:val="tx1"/>
            </w14:solidFill>
          </w14:textFill>
        </w:rPr>
        <w:t>其合同份额占到合同总金额</w:t>
      </w:r>
      <w:r>
        <w:rPr>
          <w:rFonts w:hint="eastAsia" w:ascii="宋体" w:hAnsi="宋体" w:eastAsia="宋体" w:cs="宋体"/>
          <w:color w:val="000000" w:themeColor="text1"/>
          <w:kern w:val="0"/>
          <w:sz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%以上</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宋体" w:hAnsi="宋体" w:eastAsia="宋体" w:cs="宋体"/>
          <w:b/>
          <w:color w:val="000000" w:themeColor="text1"/>
          <w:kern w:val="0"/>
          <w:sz w:val="24"/>
          <w:highlight w:val="none"/>
          <w:lang w:val="en-US" w:eastAsia="zh-CN"/>
          <w14:textFill>
            <w14:solidFill>
              <w14:schemeClr w14:val="tx1"/>
            </w14:solidFill>
          </w14:textFill>
        </w:rPr>
        <w:t>6</w:t>
      </w:r>
      <w:r>
        <w:rPr>
          <w:rFonts w:hint="eastAsia" w:ascii="宋体" w:hAnsi="宋体" w:eastAsia="宋体" w:cs="宋体"/>
          <w:b/>
          <w:color w:val="000000" w:themeColor="text1"/>
          <w:kern w:val="0"/>
          <w:sz w:val="24"/>
          <w:highlight w:val="none"/>
          <w:lang w:val="zh-CN"/>
          <w14:textFill>
            <w14:solidFill>
              <w14:schemeClr w14:val="tx1"/>
            </w14:solidFill>
          </w14:textFill>
        </w:rPr>
        <w:t>%的扣除）</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ind w:firstLine="5640" w:firstLineChars="235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分包供应商名称：</w:t>
      </w:r>
    </w:p>
    <w:p>
      <w:pPr>
        <w:spacing w:line="360" w:lineRule="auto"/>
        <w:ind w:right="42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  年  月   日</w:t>
      </w:r>
    </w:p>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注：按本格式和要求提供。</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五、符合性审查资料</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844"/>
        <w:gridCol w:w="269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序号</w:t>
            </w:r>
          </w:p>
        </w:tc>
        <w:tc>
          <w:tcPr>
            <w:tcW w:w="4844" w:type="dxa"/>
            <w:vAlign w:val="center"/>
          </w:tcPr>
          <w:p>
            <w:pPr>
              <w:snapToGrid w:val="0"/>
              <w:spacing w:line="240" w:lineRule="atLeast"/>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实质性要求</w:t>
            </w:r>
          </w:p>
        </w:tc>
        <w:tc>
          <w:tcPr>
            <w:tcW w:w="2698" w:type="dxa"/>
            <w:vAlign w:val="center"/>
          </w:tcPr>
          <w:p>
            <w:pPr>
              <w:snapToGrid w:val="0"/>
              <w:spacing w:line="240" w:lineRule="atLeast"/>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投标文件中的</w:t>
            </w:r>
          </w:p>
          <w:p>
            <w:pPr>
              <w:snapToGrid w:val="0"/>
              <w:spacing w:line="240" w:lineRule="atLeast"/>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4844" w:type="dxa"/>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投标文件按照招标文件要求签署、盖章。</w:t>
            </w:r>
          </w:p>
        </w:tc>
        <w:tc>
          <w:tcPr>
            <w:tcW w:w="2698" w:type="dxa"/>
            <w:vAlign w:val="center"/>
          </w:tcPr>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需要使用电子签名或者签字盖章的投标文件的组成部分</w:t>
            </w:r>
          </w:p>
        </w:tc>
        <w:tc>
          <w:tcPr>
            <w:tcW w:w="1418"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见投标文件</w:t>
            </w:r>
          </w:p>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第</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p>
        </w:tc>
        <w:tc>
          <w:tcPr>
            <w:tcW w:w="4844" w:type="dxa"/>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投标文件中承诺的投标有效期不少于招标文件中载明的投标有效期。</w:t>
            </w:r>
          </w:p>
        </w:tc>
        <w:tc>
          <w:tcPr>
            <w:tcW w:w="2698" w:type="dxa"/>
            <w:vAlign w:val="center"/>
          </w:tcPr>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投标函</w:t>
            </w:r>
          </w:p>
        </w:tc>
        <w:tc>
          <w:tcPr>
            <w:tcW w:w="1418" w:type="dxa"/>
            <w:vAlign w:val="center"/>
          </w:tcPr>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见投标文件第</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p>
        </w:tc>
        <w:tc>
          <w:tcPr>
            <w:tcW w:w="4844" w:type="dxa"/>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投标文件满足招标文件的其它实质性要求。</w:t>
            </w:r>
          </w:p>
        </w:tc>
        <w:tc>
          <w:tcPr>
            <w:tcW w:w="2698" w:type="dxa"/>
            <w:vAlign w:val="center"/>
          </w:tcPr>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招标文件其它实质性要求相应的材料（“▲” 系指实质性要求条款，招标文件无其它实质性要求的，无需提供）</w:t>
            </w:r>
          </w:p>
        </w:tc>
        <w:tc>
          <w:tcPr>
            <w:tcW w:w="1418" w:type="dxa"/>
            <w:vAlign w:val="center"/>
          </w:tcPr>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见投标文件第</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页</w:t>
            </w:r>
          </w:p>
        </w:tc>
      </w:tr>
    </w:tbl>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注：按本格式和要求提供。</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 xml:space="preserve">            </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六、评标标准相应的商务技术资料</w:t>
      </w:r>
    </w:p>
    <w:p>
      <w:pPr>
        <w:snapToGrid w:val="0"/>
        <w:spacing w:line="360" w:lineRule="auto"/>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（按招标文件第四部分评标办法前附表中“投标文件中评标标准相应的商务技术资料目录”提供资料。）</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br w:type="page"/>
      </w:r>
    </w:p>
    <w:p>
      <w:pPr>
        <w:ind w:firstLine="2891" w:firstLineChars="900"/>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七、投标标的清单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r>
    </w:tbl>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注：按本格式和要求提供。</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八、商务技术偏离表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序号</w:t>
            </w:r>
          </w:p>
        </w:tc>
        <w:tc>
          <w:tcPr>
            <w:tcW w:w="3683" w:type="dxa"/>
          </w:tcPr>
          <w:p>
            <w:pPr>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招标文件章节及具体内容</w:t>
            </w:r>
          </w:p>
        </w:tc>
        <w:tc>
          <w:tcPr>
            <w:tcW w:w="3546" w:type="dxa"/>
          </w:tcPr>
          <w:p>
            <w:pPr>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投标文件章节及具体内容</w:t>
            </w:r>
          </w:p>
        </w:tc>
        <w:tc>
          <w:tcPr>
            <w:tcW w:w="1276" w:type="dxa"/>
          </w:tcPr>
          <w:p>
            <w:pPr>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1</w:t>
            </w:r>
          </w:p>
        </w:tc>
        <w:tc>
          <w:tcPr>
            <w:tcW w:w="3683"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354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127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w:t>
            </w:r>
          </w:p>
        </w:tc>
        <w:tc>
          <w:tcPr>
            <w:tcW w:w="3683"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354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127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w:t>
            </w:r>
          </w:p>
        </w:tc>
        <w:tc>
          <w:tcPr>
            <w:tcW w:w="3683"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354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127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r>
    </w:tbl>
    <w:p>
      <w:pPr>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投标人保证：除商务技术偏离表列出的偏离外，投标人响应招标文件的全部要求</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注：按本格式和要求提供。</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br w:type="page"/>
      </w:r>
    </w:p>
    <w:p>
      <w:pPr>
        <w:ind w:firstLine="1911" w:firstLineChars="595"/>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t>九</w:t>
      </w:r>
      <w:r>
        <w:rPr>
          <w:rFonts w:hint="eastAsia" w:ascii="宋体" w:hAnsi="宋体" w:eastAsia="宋体" w:cs="宋体"/>
          <w:b/>
          <w:color w:val="000000" w:themeColor="text1"/>
          <w:kern w:val="0"/>
          <w:sz w:val="32"/>
          <w:szCs w:val="32"/>
          <w:highlight w:val="none"/>
          <w14:textFill>
            <w14:solidFill>
              <w14:schemeClr w14:val="tx1"/>
            </w14:solidFill>
          </w14:textFill>
        </w:rPr>
        <w:t>、</w:t>
      </w:r>
      <w:r>
        <w:rPr>
          <w:rFonts w:hint="eastAsia" w:ascii="宋体" w:hAnsi="宋体" w:eastAsia="宋体" w:cs="宋体"/>
          <w:b/>
          <w:color w:val="000000" w:themeColor="text1"/>
          <w:kern w:val="0"/>
          <w:sz w:val="32"/>
          <w:szCs w:val="32"/>
          <w:highlight w:val="none"/>
          <w:lang w:val="zh-CN"/>
          <w14:textFill>
            <w14:solidFill>
              <w14:schemeClr w14:val="tx1"/>
            </w14:solidFill>
          </w14:textFill>
        </w:rPr>
        <w:t>采购供应商廉洁自律承诺书</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（采购人）、（采购代理机构）</w:t>
      </w:r>
      <w:r>
        <w:rPr>
          <w:rFonts w:hint="eastAsia" w:ascii="宋体" w:hAnsi="宋体" w:eastAsia="宋体" w:cs="宋体"/>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我单位响应你</w:t>
      </w:r>
      <w:r>
        <w:rPr>
          <w:rFonts w:hint="eastAsia" w:ascii="宋体" w:hAnsi="宋体" w:eastAsia="宋体" w:cs="宋体"/>
          <w:color w:val="000000" w:themeColor="text1"/>
          <w:sz w:val="24"/>
          <w:highlight w:val="none"/>
          <w14:textFill>
            <w14:solidFill>
              <w14:schemeClr w14:val="tx1"/>
            </w14:solidFill>
          </w14:textFill>
        </w:rPr>
        <w:t>单位</w:t>
      </w:r>
      <w:r>
        <w:rPr>
          <w:rFonts w:hint="eastAsia" w:ascii="宋体" w:hAnsi="宋体" w:eastAsia="宋体" w:cs="宋体"/>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好处；</w:t>
      </w:r>
    </w:p>
    <w:p>
      <w:pPr>
        <w:autoSpaceDE w:val="0"/>
        <w:autoSpaceDN w:val="0"/>
        <w:spacing w:line="360" w:lineRule="auto"/>
        <w:ind w:left="481" w:leftChars="229"/>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六、严格遵守《</w:t>
      </w:r>
      <w:r>
        <w:rPr>
          <w:rFonts w:hint="eastAsia" w:ascii="宋体" w:hAnsi="宋体" w:eastAsia="宋体" w:cs="宋体"/>
          <w:color w:val="000000" w:themeColor="text1"/>
          <w:sz w:val="24"/>
          <w:highlight w:val="none"/>
          <w:lang w:val="zh-CN"/>
          <w14:textFill>
            <w14:solidFill>
              <w14:schemeClr w14:val="tx1"/>
            </w14:solidFill>
          </w14:textFill>
        </w:rPr>
        <w:t>中华人民共和国</w:t>
      </w:r>
      <w:r>
        <w:rPr>
          <w:rFonts w:hint="eastAsia" w:ascii="宋体" w:hAnsi="宋体" w:eastAsia="宋体" w:cs="宋体"/>
          <w:color w:val="000000" w:themeColor="text1"/>
          <w:kern w:val="0"/>
          <w:sz w:val="24"/>
          <w:highlight w:val="none"/>
          <w:lang w:val="zh-CN"/>
          <w14:textFill>
            <w14:solidFill>
              <w14:schemeClr w14:val="tx1"/>
            </w14:solidFill>
          </w14:textFill>
        </w:rPr>
        <w:t>政府采购法》《</w:t>
      </w:r>
      <w:r>
        <w:rPr>
          <w:rFonts w:hint="eastAsia" w:ascii="宋体" w:hAnsi="宋体" w:eastAsia="宋体" w:cs="宋体"/>
          <w:color w:val="000000" w:themeColor="text1"/>
          <w:sz w:val="24"/>
          <w:highlight w:val="none"/>
          <w:lang w:val="zh-CN"/>
          <w14:textFill>
            <w14:solidFill>
              <w14:schemeClr w14:val="tx1"/>
            </w14:solidFill>
          </w14:textFill>
        </w:rPr>
        <w:t>中华人民共和国</w:t>
      </w:r>
      <w:r>
        <w:rPr>
          <w:rFonts w:hint="eastAsia" w:ascii="宋体" w:hAnsi="宋体" w:eastAsia="宋体" w:cs="宋体"/>
          <w:color w:val="000000" w:themeColor="text1"/>
          <w:kern w:val="0"/>
          <w:sz w:val="24"/>
          <w:highlight w:val="none"/>
          <w:lang w:val="zh-CN"/>
          <w14:textFill>
            <w14:solidFill>
              <w14:schemeClr w14:val="tx1"/>
            </w14:solidFill>
          </w14:textFill>
        </w:rPr>
        <w:t>招标投标</w:t>
      </w:r>
    </w:p>
    <w:p>
      <w:pPr>
        <w:autoSpaceDE w:val="0"/>
        <w:autoSpaceDN w:val="0"/>
        <w:spacing w:line="360" w:lineRule="auto"/>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法》</w:t>
      </w:r>
      <w:r>
        <w:rPr>
          <w:rFonts w:hint="eastAsia" w:ascii="宋体" w:hAnsi="宋体" w:eastAsia="宋体" w:cs="宋体"/>
          <w:color w:val="000000" w:themeColor="text1"/>
          <w:sz w:val="24"/>
          <w:highlight w:val="none"/>
          <w:lang w:val="zh-CN"/>
          <w14:textFill>
            <w14:solidFill>
              <w14:schemeClr w14:val="tx1"/>
            </w14:solidFill>
          </w14:textFill>
        </w:rPr>
        <w:t>《中华人民共和国民法典》</w:t>
      </w:r>
      <w:r>
        <w:rPr>
          <w:rFonts w:hint="eastAsia" w:ascii="宋体" w:hAnsi="宋体" w:eastAsia="宋体" w:cs="宋体"/>
          <w:color w:val="000000" w:themeColor="text1"/>
          <w:kern w:val="0"/>
          <w:sz w:val="24"/>
          <w:highlight w:val="none"/>
          <w:lang w:val="zh-CN"/>
          <w14:textFill>
            <w14:solidFill>
              <w14:schemeClr w14:val="tx1"/>
            </w14:solidFill>
          </w14:textFill>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如违反上述承诺，你</w:t>
      </w:r>
      <w:r>
        <w:rPr>
          <w:rFonts w:hint="eastAsia" w:ascii="宋体" w:hAnsi="宋体" w:eastAsia="宋体" w:cs="宋体"/>
          <w:color w:val="000000" w:themeColor="text1"/>
          <w:sz w:val="24"/>
          <w:highlight w:val="none"/>
          <w14:textFill>
            <w14:solidFill>
              <w14:schemeClr w14:val="tx1"/>
            </w14:solidFill>
          </w14:textFill>
        </w:rPr>
        <w:t>单位</w:t>
      </w:r>
      <w:r>
        <w:rPr>
          <w:rFonts w:hint="eastAsia" w:ascii="宋体" w:hAnsi="宋体" w:eastAsia="宋体" w:cs="宋体"/>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宋体" w:hAnsi="宋体" w:eastAsia="宋体" w:cs="宋体"/>
          <w:color w:val="000000" w:themeColor="text1"/>
          <w:sz w:val="24"/>
          <w:highlight w:val="none"/>
          <w14:textFill>
            <w14:solidFill>
              <w14:schemeClr w14:val="tx1"/>
            </w14:solidFill>
          </w14:textFill>
        </w:rPr>
        <w:t>单位</w:t>
      </w:r>
      <w:r>
        <w:rPr>
          <w:rFonts w:hint="eastAsia" w:ascii="宋体" w:hAnsi="宋体" w:eastAsia="宋体" w:cs="宋体"/>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hint="eastAsia" w:ascii="宋体" w:hAnsi="宋体" w:eastAsia="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hint="eastAsia" w:ascii="宋体" w:hAnsi="宋体" w:eastAsia="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投标人名称（</w:t>
      </w:r>
      <w:r>
        <w:rPr>
          <w:rFonts w:hint="eastAsia" w:ascii="宋体" w:hAnsi="宋体" w:eastAsia="宋体" w:cs="宋体"/>
          <w:color w:val="000000" w:themeColor="text1"/>
          <w:sz w:val="24"/>
          <w:highlight w:val="none"/>
          <w14:textFill>
            <w14:solidFill>
              <w14:schemeClr w14:val="tx1"/>
            </w14:solidFill>
          </w14:textFill>
        </w:rPr>
        <w:t>电子签名</w:t>
      </w:r>
      <w:r>
        <w:rPr>
          <w:rFonts w:hint="eastAsia" w:ascii="宋体" w:hAnsi="宋体" w:eastAsia="宋体" w:cs="宋体"/>
          <w:color w:val="000000" w:themeColor="text1"/>
          <w:kern w:val="0"/>
          <w:sz w:val="24"/>
          <w:highlight w:val="none"/>
          <w:lang w:val="zh-CN"/>
          <w14:textFill>
            <w14:solidFill>
              <w14:schemeClr w14:val="tx1"/>
            </w14:solidFill>
          </w14:textFill>
        </w:rPr>
        <w:t xml:space="preserve">）：                                                                                                                                                                                                               </w:t>
      </w:r>
    </w:p>
    <w:p>
      <w:pPr>
        <w:spacing w:line="360" w:lineRule="auto"/>
        <w:ind w:left="4620" w:leftChars="2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日期</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 xml:space="preserve">   年   月   日</w:t>
      </w:r>
    </w:p>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注：按本格式和要求提供。</w:t>
      </w:r>
    </w:p>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sectPr>
          <w:headerReference r:id="rId8" w:type="first"/>
          <w:footerReference r:id="rId10" w:type="first"/>
          <w:headerReference r:id="rId7" w:type="default"/>
          <w:footerReference r:id="rId9" w:type="default"/>
          <w:pgSz w:w="11906" w:h="16838"/>
          <w:pgMar w:top="1276" w:right="1417" w:bottom="1247" w:left="1417" w:header="851" w:footer="992" w:gutter="0"/>
          <w:pgBorders>
            <w:top w:val="none" w:sz="0" w:space="0"/>
            <w:left w:val="none" w:sz="0" w:space="0"/>
            <w:bottom w:val="none" w:sz="0" w:space="0"/>
            <w:right w:val="none" w:sz="0" w:space="0"/>
          </w:pgBorders>
          <w:cols w:space="0" w:num="1"/>
          <w:titlePg/>
          <w:rtlGutter w:val="0"/>
          <w:docGrid w:linePitch="312" w:charSpace="0"/>
        </w:sectPr>
      </w:pP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t>报价文件部分</w:t>
      </w: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t>目录</w:t>
      </w: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（1）开标一览表（报价表）………………………………………………………（页码）</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（2）中小企业声明函………………………………………………………………（页码）</w:t>
      </w: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sectPr>
          <w:headerReference r:id="rId12" w:type="first"/>
          <w:footerReference r:id="rId14" w:type="first"/>
          <w:headerReference r:id="rId11" w:type="default"/>
          <w:footerReference r:id="rId13" w:type="default"/>
          <w:pgSz w:w="11906" w:h="16838"/>
          <w:pgMar w:top="1276" w:right="1417" w:bottom="1247" w:left="1417" w:header="851" w:footer="992" w:gutter="0"/>
          <w:pgBorders>
            <w:top w:val="none" w:sz="0" w:space="0"/>
            <w:left w:val="none" w:sz="0" w:space="0"/>
            <w:bottom w:val="none" w:sz="0" w:space="0"/>
            <w:right w:val="none" w:sz="0" w:space="0"/>
          </w:pgBorders>
          <w:cols w:space="0" w:num="1"/>
          <w:titlePg/>
          <w:rtlGutter w:val="0"/>
          <w:docGrid w:linePitch="312" w:charSpace="0"/>
        </w:sect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000000" w:themeColor="text1"/>
          <w:kern w:val="2"/>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一、开标一览表（报价表）</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（采购人）、（采购代理机构）</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482"/>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000000" w:themeColor="text1"/>
          <w:sz w:val="24"/>
          <w:highlight w:val="none"/>
          <w14:textFill>
            <w14:solidFill>
              <w14:schemeClr w14:val="tx1"/>
            </w14:solidFill>
          </w14:textFill>
        </w:rPr>
        <w:t>（项目名称）</w:t>
      </w:r>
      <w:r>
        <w:rPr>
          <w:rFonts w:hint="eastAsia" w:ascii="宋体" w:hAnsi="宋体" w:eastAsia="宋体" w:cs="宋体"/>
          <w:color w:val="000000" w:themeColor="text1"/>
          <w:kern w:val="0"/>
          <w:sz w:val="24"/>
          <w:highlight w:val="none"/>
          <w:lang w:val="zh-CN"/>
          <w14:textFill>
            <w14:solidFill>
              <w14:schemeClr w14:val="tx1"/>
            </w14:solidFill>
          </w14:textFill>
        </w:rPr>
        <w:t>【招标编号：</w:t>
      </w:r>
      <w:r>
        <w:rPr>
          <w:rFonts w:hint="eastAsia" w:ascii="宋体" w:hAnsi="宋体" w:eastAsia="宋体" w:cs="宋体"/>
          <w:color w:val="000000" w:themeColor="text1"/>
          <w:sz w:val="24"/>
          <w:highlight w:val="none"/>
          <w14:textFill>
            <w14:solidFill>
              <w14:schemeClr w14:val="tx1"/>
            </w14:solidFill>
          </w14:textFill>
        </w:rPr>
        <w:t>（采购编号）】的实施</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pacing w:line="360" w:lineRule="auto"/>
        <w:jc w:val="center"/>
        <w:rPr>
          <w:rFonts w:hint="eastAsia" w:ascii="宋体" w:hAnsi="宋体" w:eastAsia="宋体" w:cs="宋体"/>
          <w:b/>
          <w:color w:val="000000" w:themeColor="text1"/>
          <w:kern w:val="0"/>
          <w:sz w:val="24"/>
          <w:highlight w:val="none"/>
          <w:lang w:val="zh-CN"/>
          <w14:textFill>
            <w14:solidFill>
              <w14:schemeClr w14:val="tx1"/>
            </w14:solidFill>
          </w14:textFill>
        </w:rPr>
      </w:pPr>
      <w:r>
        <w:rPr>
          <w:rFonts w:hint="eastAsia" w:ascii="宋体" w:hAnsi="宋体" w:eastAsia="宋体" w:cs="宋体"/>
          <w:b/>
          <w:color w:val="000000" w:themeColor="text1"/>
          <w:kern w:val="0"/>
          <w:sz w:val="24"/>
          <w:highlight w:val="none"/>
          <w:lang w:val="zh-CN"/>
          <w14:textFill>
            <w14:solidFill>
              <w14:schemeClr w14:val="tx1"/>
            </w14:solidFill>
          </w14:textFill>
        </w:rPr>
        <w:t>开标一览表（报价表）(单位均为人民币元)</w:t>
      </w:r>
    </w:p>
    <w:tbl>
      <w:tblPr>
        <w:tblStyle w:val="62"/>
        <w:tblW w:w="15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2140"/>
        <w:gridCol w:w="3284"/>
        <w:gridCol w:w="1927"/>
        <w:gridCol w:w="2148"/>
        <w:gridCol w:w="2148"/>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1" w:hRule="atLeast"/>
        </w:trPr>
        <w:tc>
          <w:tcPr>
            <w:tcW w:w="787" w:type="dxa"/>
            <w:vAlign w:val="center"/>
          </w:tcPr>
          <w:p>
            <w:pPr>
              <w:spacing w:line="24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序号</w:t>
            </w:r>
          </w:p>
        </w:tc>
        <w:tc>
          <w:tcPr>
            <w:tcW w:w="2140" w:type="dxa"/>
            <w:vAlign w:val="center"/>
          </w:tcPr>
          <w:p>
            <w:pPr>
              <w:spacing w:line="24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名称</w:t>
            </w:r>
          </w:p>
        </w:tc>
        <w:tc>
          <w:tcPr>
            <w:tcW w:w="3284" w:type="dxa"/>
            <w:vAlign w:val="center"/>
          </w:tcPr>
          <w:p>
            <w:pPr>
              <w:spacing w:line="24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具体服务</w:t>
            </w:r>
          </w:p>
        </w:tc>
        <w:tc>
          <w:tcPr>
            <w:tcW w:w="1927" w:type="dxa"/>
            <w:vAlign w:val="center"/>
          </w:tcPr>
          <w:p>
            <w:pPr>
              <w:spacing w:line="240" w:lineRule="auto"/>
              <w:jc w:val="center"/>
              <w:rPr>
                <w:rFonts w:hint="eastAsia" w:ascii="宋体" w:hAnsi="宋体" w:eastAsia="宋体" w:cs="宋体"/>
                <w:b/>
                <w:color w:val="000000" w:themeColor="text1"/>
                <w:sz w:val="24"/>
                <w:highlight w:val="none"/>
                <w:lang w:val="en-US" w:eastAsia="zh-CN"/>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单价</w:t>
            </w:r>
          </w:p>
        </w:tc>
        <w:tc>
          <w:tcPr>
            <w:tcW w:w="2148" w:type="dxa"/>
            <w:vAlign w:val="center"/>
          </w:tcPr>
          <w:p>
            <w:pPr>
              <w:spacing w:line="240" w:lineRule="auto"/>
              <w:jc w:val="center"/>
              <w:rPr>
                <w:rFonts w:hint="default" w:ascii="宋体" w:hAnsi="宋体" w:cs="宋体"/>
                <w:b/>
                <w:color w:val="000000" w:themeColor="text1"/>
                <w:sz w:val="24"/>
                <w:highlight w:val="none"/>
                <w:lang w:val="en-US" w:eastAsia="zh-CN"/>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投标报价（小写）</w:t>
            </w:r>
          </w:p>
        </w:tc>
        <w:tc>
          <w:tcPr>
            <w:tcW w:w="2148" w:type="dxa"/>
            <w:vAlign w:val="center"/>
          </w:tcPr>
          <w:p>
            <w:pPr>
              <w:spacing w:line="240" w:lineRule="auto"/>
              <w:jc w:val="center"/>
              <w:rPr>
                <w:rFonts w:hint="default" w:ascii="宋体" w:hAnsi="宋体" w:eastAsia="宋体" w:cs="宋体"/>
                <w:b/>
                <w:color w:val="000000" w:themeColor="text1"/>
                <w:sz w:val="24"/>
                <w:highlight w:val="none"/>
                <w:lang w:val="en-US" w:eastAsia="zh-CN"/>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投标报价（大写）</w:t>
            </w:r>
          </w:p>
        </w:tc>
        <w:tc>
          <w:tcPr>
            <w:tcW w:w="2803" w:type="dxa"/>
            <w:vAlign w:val="center"/>
          </w:tcPr>
          <w:p>
            <w:pPr>
              <w:spacing w:line="240" w:lineRule="auto"/>
              <w:jc w:val="center"/>
              <w:rPr>
                <w:rFonts w:hint="eastAsia" w:ascii="宋体" w:hAnsi="宋体" w:eastAsia="宋体" w:cs="宋体"/>
                <w:b/>
                <w:color w:val="000000" w:themeColor="text1"/>
                <w:sz w:val="24"/>
                <w:highlight w:val="none"/>
                <w14:textFill>
                  <w14:solidFill>
                    <w14:schemeClr w14:val="tx1"/>
                  </w14:solidFill>
                </w14:textFill>
              </w:rPr>
            </w:pPr>
          </w:p>
          <w:p>
            <w:pPr>
              <w:spacing w:line="24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服务要求（年限）</w:t>
            </w:r>
          </w:p>
          <w:p>
            <w:pPr>
              <w:spacing w:line="240" w:lineRule="auto"/>
              <w:jc w:val="center"/>
              <w:rPr>
                <w:rFonts w:hint="eastAsia" w:ascii="宋体" w:hAnsi="宋体" w:eastAsia="宋体" w:cs="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87" w:type="dxa"/>
            <w:vAlign w:val="center"/>
          </w:tcPr>
          <w:p>
            <w:pPr>
              <w:spacing w:line="24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2140" w:type="dxa"/>
            <w:vAlign w:val="center"/>
          </w:tcPr>
          <w:p>
            <w:pPr>
              <w:spacing w:line="24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基础运营服务费</w:t>
            </w:r>
          </w:p>
        </w:tc>
        <w:tc>
          <w:tcPr>
            <w:tcW w:w="3284" w:type="dxa"/>
            <w:vAlign w:val="center"/>
          </w:tcPr>
          <w:p>
            <w:pPr>
              <w:snapToGrid w:val="0"/>
              <w:spacing w:line="24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927" w:type="dxa"/>
            <w:vAlign w:val="center"/>
          </w:tcPr>
          <w:p>
            <w:pPr>
              <w:spacing w:line="24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u w:val="single"/>
                <w:lang w:val="en-US" w:eastAsia="zh-CN"/>
                <w14:textFill>
                  <w14:solidFill>
                    <w14:schemeClr w14:val="tx1"/>
                  </w14:solidFill>
                </w14:textFill>
              </w:rPr>
              <w:t>50万元/年</w:t>
            </w:r>
          </w:p>
        </w:tc>
        <w:tc>
          <w:tcPr>
            <w:tcW w:w="2148" w:type="dxa"/>
            <w:vAlign w:val="center"/>
          </w:tcPr>
          <w:p>
            <w:pPr>
              <w:spacing w:line="240" w:lineRule="auto"/>
              <w:jc w:val="center"/>
              <w:rPr>
                <w:rFonts w:hint="eastAsia" w:ascii="宋体" w:hAnsi="宋体" w:cs="宋体"/>
                <w:color w:val="000000" w:themeColor="text1"/>
                <w:sz w:val="24"/>
                <w:highlight w:val="none"/>
                <w:u w:val="single"/>
                <w:lang w:val="en-US" w:eastAsia="zh-CN"/>
                <w14:textFill>
                  <w14:solidFill>
                    <w14:schemeClr w14:val="tx1"/>
                  </w14:solidFill>
                </w14:textFill>
              </w:rPr>
            </w:pPr>
            <w:r>
              <w:rPr>
                <w:rFonts w:hint="eastAsia" w:ascii="宋体" w:hAnsi="宋体" w:cs="宋体"/>
                <w:color w:val="000000" w:themeColor="text1"/>
                <w:sz w:val="24"/>
                <w:highlight w:val="none"/>
                <w:u w:val="single"/>
                <w:lang w:val="en-US" w:eastAsia="zh-CN"/>
                <w14:textFill>
                  <w14:solidFill>
                    <w14:schemeClr w14:val="tx1"/>
                  </w14:solidFill>
                </w14:textFill>
              </w:rPr>
              <w:t>5000000.00</w:t>
            </w:r>
          </w:p>
        </w:tc>
        <w:tc>
          <w:tcPr>
            <w:tcW w:w="2148" w:type="dxa"/>
            <w:vAlign w:val="center"/>
          </w:tcPr>
          <w:p>
            <w:pPr>
              <w:spacing w:line="24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u w:val="single"/>
                <w:lang w:val="en-US" w:eastAsia="zh-CN"/>
                <w14:textFill>
                  <w14:solidFill>
                    <w14:schemeClr w14:val="tx1"/>
                  </w14:solidFill>
                </w14:textFill>
              </w:rPr>
              <w:t>伍佰万元整</w:t>
            </w:r>
          </w:p>
        </w:tc>
        <w:tc>
          <w:tcPr>
            <w:tcW w:w="2803" w:type="dxa"/>
            <w:vMerge w:val="restart"/>
            <w:vAlign w:val="center"/>
          </w:tcPr>
          <w:p>
            <w:pPr>
              <w:spacing w:line="24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服务期10年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87" w:type="dxa"/>
            <w:vAlign w:val="center"/>
          </w:tcPr>
          <w:p>
            <w:pPr>
              <w:spacing w:line="240"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p>
        </w:tc>
        <w:tc>
          <w:tcPr>
            <w:tcW w:w="2140" w:type="dxa"/>
            <w:vAlign w:val="center"/>
          </w:tcPr>
          <w:p>
            <w:pPr>
              <w:spacing w:line="24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基础营收服务费</w:t>
            </w:r>
          </w:p>
        </w:tc>
        <w:tc>
          <w:tcPr>
            <w:tcW w:w="3284" w:type="dxa"/>
            <w:vAlign w:val="center"/>
          </w:tcPr>
          <w:p>
            <w:pPr>
              <w:snapToGrid w:val="0"/>
              <w:spacing w:line="24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927" w:type="dxa"/>
            <w:vAlign w:val="center"/>
          </w:tcPr>
          <w:p>
            <w:pPr>
              <w:spacing w:line="24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2148" w:type="dxa"/>
            <w:vAlign w:val="center"/>
          </w:tcPr>
          <w:p>
            <w:pPr>
              <w:spacing w:line="24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2148" w:type="dxa"/>
            <w:vAlign w:val="center"/>
          </w:tcPr>
          <w:p>
            <w:pPr>
              <w:spacing w:line="24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2803" w:type="dxa"/>
            <w:vMerge w:val="continue"/>
            <w:vAlign w:val="center"/>
          </w:tcPr>
          <w:p>
            <w:pPr>
              <w:spacing w:line="240" w:lineRule="auto"/>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787" w:type="dxa"/>
            <w:vAlign w:val="center"/>
          </w:tcPr>
          <w:p>
            <w:pPr>
              <w:spacing w:line="24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p>
        </w:tc>
        <w:tc>
          <w:tcPr>
            <w:tcW w:w="2140" w:type="dxa"/>
            <w:vAlign w:val="center"/>
          </w:tcPr>
          <w:p>
            <w:pPr>
              <w:snapToGrid w:val="0"/>
              <w:spacing w:line="24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超额奖励服务费率</w:t>
            </w:r>
          </w:p>
        </w:tc>
        <w:tc>
          <w:tcPr>
            <w:tcW w:w="3284" w:type="dxa"/>
            <w:vAlign w:val="center"/>
          </w:tcPr>
          <w:p>
            <w:pPr>
              <w:snapToGrid w:val="0"/>
              <w:spacing w:line="24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6223" w:type="dxa"/>
            <w:gridSpan w:val="3"/>
            <w:vAlign w:val="center"/>
          </w:tcPr>
          <w:p>
            <w:pPr>
              <w:spacing w:line="24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p>
        </w:tc>
        <w:tc>
          <w:tcPr>
            <w:tcW w:w="2803" w:type="dxa"/>
            <w:vMerge w:val="continue"/>
            <w:vAlign w:val="center"/>
          </w:tcPr>
          <w:p>
            <w:pPr>
              <w:spacing w:line="240" w:lineRule="auto"/>
              <w:jc w:val="center"/>
              <w:rPr>
                <w:rFonts w:hint="eastAsia" w:ascii="宋体" w:hAnsi="宋体" w:eastAsia="宋体" w:cs="宋体"/>
                <w:color w:val="000000" w:themeColor="text1"/>
                <w:sz w:val="24"/>
                <w:highlight w:val="none"/>
                <w14:textFill>
                  <w14:solidFill>
                    <w14:schemeClr w14:val="tx1"/>
                  </w14:solidFill>
                </w14:textFill>
              </w:rPr>
            </w:pPr>
          </w:p>
        </w:tc>
      </w:tr>
    </w:tbl>
    <w:p>
      <w:pPr>
        <w:spacing w:line="360" w:lineRule="auto"/>
        <w:ind w:left="-2" w:leftChars="-1" w:firstLine="482"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b/>
          <w:color w:val="000000" w:themeColor="text1"/>
          <w:kern w:val="0"/>
          <w:sz w:val="24"/>
          <w:highlight w:val="none"/>
          <w:lang w:val="zh-CN"/>
          <w14:textFill>
            <w14:solidFill>
              <w14:schemeClr w14:val="tx1"/>
            </w14:solidFill>
          </w14:textFill>
        </w:rPr>
        <w:t>注：</w:t>
      </w:r>
      <w:r>
        <w:rPr>
          <w:rFonts w:hint="eastAsia" w:ascii="宋体" w:hAnsi="宋体" w:cs="宋体"/>
          <w:b/>
          <w:color w:val="000000" w:themeColor="text1"/>
          <w:kern w:val="0"/>
          <w:sz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highlight w:val="none"/>
          <w:lang w:val="zh-CN"/>
          <w14:textFill>
            <w14:solidFill>
              <w14:schemeClr w14:val="tx1"/>
            </w14:solidFill>
          </w14:textFill>
        </w:rPr>
        <w:t>投标人需按本表格式填写</w:t>
      </w:r>
      <w:r>
        <w:rPr>
          <w:rFonts w:hint="eastAsia" w:ascii="宋体" w:hAnsi="宋体" w:eastAsia="宋体" w:cs="宋体"/>
          <w:b/>
          <w:color w:val="000000" w:themeColor="text1"/>
          <w:kern w:val="0"/>
          <w:sz w:val="24"/>
          <w:highlight w:val="none"/>
          <w:lang w:val="zh-CN"/>
          <w14:textFill>
            <w14:solidFill>
              <w14:schemeClr w14:val="tx1"/>
            </w14:solidFill>
          </w14:textFill>
        </w:rPr>
        <w:t>，</w:t>
      </w:r>
      <w:r>
        <w:rPr>
          <w:rFonts w:hint="eastAsia" w:ascii="宋体" w:hAnsi="宋体" w:eastAsia="宋体" w:cs="宋体"/>
          <w:b/>
          <w:color w:val="000000" w:themeColor="text1"/>
          <w:kern w:val="0"/>
          <w:sz w:val="24"/>
          <w:highlight w:val="none"/>
          <w14:textFill>
            <w14:solidFill>
              <w14:schemeClr w14:val="tx1"/>
            </w14:solidFill>
          </w14:textFill>
        </w:rPr>
        <w:t>否则视为</w:t>
      </w:r>
      <w:r>
        <w:rPr>
          <w:rFonts w:hint="eastAsia" w:ascii="宋体" w:hAnsi="宋体" w:eastAsia="宋体" w:cs="宋体"/>
          <w:b/>
          <w:color w:val="000000" w:themeColor="text1"/>
          <w:sz w:val="24"/>
          <w:highlight w:val="none"/>
          <w14:textFill>
            <w14:solidFill>
              <w14:schemeClr w14:val="tx1"/>
            </w14:solidFill>
          </w14:textFill>
        </w:rPr>
        <w:t>投标文件含有采购人不能接受的附加条件，投标无效</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pacing w:line="360" w:lineRule="auto"/>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highlight w:val="none"/>
          <w:lang w:val="zh-CN"/>
          <w14:textFill>
            <w14:solidFill>
              <w14:schemeClr w14:val="tx1"/>
            </w14:solidFill>
          </w14:textFill>
        </w:rPr>
        <w:t>、有关本项目实施所涉及的一切费用均计入报价。</w:t>
      </w:r>
      <w:r>
        <w:rPr>
          <w:rFonts w:hint="eastAsia" w:ascii="宋体" w:hAnsi="宋体" w:eastAsia="宋体" w:cs="宋体"/>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eastAsia="宋体" w:cs="宋体"/>
          <w:b/>
          <w:color w:val="000000" w:themeColor="text1"/>
          <w:kern w:val="0"/>
          <w:sz w:val="24"/>
          <w:highlight w:val="none"/>
          <w14:textFill>
            <w14:solidFill>
              <w14:schemeClr w14:val="tx1"/>
            </w14:solidFill>
          </w14:textFill>
        </w:rPr>
        <w:t>视为</w:t>
      </w:r>
      <w:r>
        <w:rPr>
          <w:rFonts w:hint="eastAsia" w:ascii="宋体" w:hAnsi="宋体" w:eastAsia="宋体" w:cs="宋体"/>
          <w:b/>
          <w:color w:val="000000" w:themeColor="text1"/>
          <w:sz w:val="24"/>
          <w:highlight w:val="none"/>
          <w14:textFill>
            <w14:solidFill>
              <w14:schemeClr w14:val="tx1"/>
            </w14:solidFill>
          </w14:textFill>
        </w:rPr>
        <w:t>投标文件含有采购人不能接受的附加条件的，投标无效。</w:t>
      </w:r>
    </w:p>
    <w:p>
      <w:pPr>
        <w:snapToGrid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highlight w:val="none"/>
          <w:lang w:val="zh-CN"/>
          <w14:textFill>
            <w14:solidFill>
              <w14:schemeClr w14:val="tx1"/>
            </w14:solidFill>
          </w14:textFill>
        </w:rPr>
        <w:t>、特别提示：采购代理机构将对项目名称和项目编号，中标供应商名称、地址和中标金额，主要中标标的名称、服务范围、服务要求、服务时间、服务标准等予以公示。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szCs w:val="22"/>
          <w:highlight w:val="none"/>
          <w:lang w:val="en-US" w:eastAsia="zh-CN"/>
          <w14:textFill>
            <w14:solidFill>
              <w14:schemeClr w14:val="tx1"/>
            </w14:solidFill>
          </w14:textFill>
        </w:rPr>
        <w:t>4</w:t>
      </w:r>
      <w:r>
        <w:rPr>
          <w:rFonts w:hint="eastAsia" w:ascii="宋体" w:hAnsi="宋体" w:eastAsia="宋体" w:cs="宋体"/>
          <w:color w:val="000000" w:themeColor="text1"/>
          <w:kern w:val="0"/>
          <w:sz w:val="24"/>
          <w:szCs w:val="22"/>
          <w:highlight w:val="none"/>
          <w:lang w:val="zh-CN"/>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000000" w:themeColor="text1"/>
          <w:sz w:val="24"/>
          <w:highlight w:val="none"/>
          <w:lang w:val="en-US" w:eastAsia="zh-CN"/>
          <w14:textFill>
            <w14:solidFill>
              <w14:schemeClr w14:val="tx1"/>
            </w14:solidFill>
          </w14:textFill>
        </w:rPr>
        <w:sectPr>
          <w:pgSz w:w="16838" w:h="11906" w:orient="landscape"/>
          <w:pgMar w:top="1417" w:right="1276" w:bottom="1417" w:left="1247" w:header="851" w:footer="992" w:gutter="0"/>
          <w:cols w:space="720" w:num="1"/>
          <w:titlePg/>
          <w:rtlGutter w:val="0"/>
          <w:docGrid w:linePitch="312" w:charSpace="0"/>
        </w:sectPr>
      </w:pPr>
      <w:r>
        <w:rPr>
          <w:rFonts w:hint="eastAsia" w:ascii="宋体" w:hAnsi="宋体" w:cs="宋体"/>
          <w:b/>
          <w:color w:val="000000" w:themeColor="text1"/>
          <w:sz w:val="24"/>
          <w:highlight w:val="none"/>
          <w:lang w:val="en-US" w:eastAsia="zh-CN"/>
          <w14:textFill>
            <w14:solidFill>
              <w14:schemeClr w14:val="tx1"/>
            </w14:solidFill>
          </w14:textFill>
        </w:rPr>
        <w:t>5</w:t>
      </w:r>
      <w:r>
        <w:rPr>
          <w:rFonts w:hint="eastAsia" w:ascii="宋体" w:hAnsi="宋体" w:eastAsia="宋体" w:cs="宋体"/>
          <w:b/>
          <w:color w:val="000000" w:themeColor="text1"/>
          <w:sz w:val="24"/>
          <w:highlight w:val="none"/>
          <w14:textFill>
            <w14:solidFill>
              <w14:schemeClr w14:val="tx1"/>
            </w14:solidFill>
          </w14:textFill>
        </w:rPr>
        <w:t>、特别说明：▲供应商报价低于项目预算50%的，应当在报价文件中详细阐述不影响产品质量或者诚信履约的具体原因</w:t>
      </w:r>
      <w:r>
        <w:rPr>
          <w:rFonts w:hint="eastAsia" w:ascii="宋体" w:hAnsi="宋体" w:eastAsia="宋体" w:cs="宋体"/>
          <w:b/>
          <w:color w:val="000000" w:themeColor="text1"/>
          <w:sz w:val="24"/>
          <w:highlight w:val="none"/>
          <w:lang w:eastAsia="zh-CN"/>
          <w14:textFill>
            <w14:solidFill>
              <w14:schemeClr w14:val="tx1"/>
            </w14:solidFill>
          </w14:textFill>
        </w:rPr>
        <w:t>，</w:t>
      </w:r>
      <w:r>
        <w:rPr>
          <w:rFonts w:hint="eastAsia" w:ascii="宋体" w:hAnsi="宋体" w:eastAsia="宋体" w:cs="宋体"/>
          <w:b/>
          <w:color w:val="000000" w:themeColor="text1"/>
          <w:sz w:val="24"/>
          <w:highlight w:val="none"/>
          <w:lang w:val="en-US" w:eastAsia="zh-CN"/>
          <w14:textFill>
            <w14:solidFill>
              <w14:schemeClr w14:val="tx1"/>
            </w14:solidFill>
          </w14:textFill>
        </w:rPr>
        <w:t>未做阐述说明的，投标无效。</w:t>
      </w:r>
    </w:p>
    <w:p>
      <w:pPr>
        <w:pStyle w:val="690"/>
        <w:keepNext w:val="0"/>
        <w:pageBreakBefore w:val="0"/>
        <w:tabs>
          <w:tab w:val="clear" w:pos="720"/>
        </w:tabs>
        <w:snapToGrid w:val="0"/>
        <w:spacing w:before="120" w:after="120"/>
        <w:ind w:firstLine="643"/>
        <w:outlineLvl w:val="9"/>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二、</w:t>
      </w:r>
      <w:r>
        <w:rPr>
          <w:rFonts w:hint="eastAsia" w:ascii="宋体" w:hAnsi="宋体" w:eastAsia="宋体" w:cs="宋体"/>
          <w:color w:val="000000" w:themeColor="text1"/>
          <w:sz w:val="32"/>
          <w:szCs w:val="32"/>
          <w:highlight w:val="none"/>
          <w14:textFill>
            <w14:solidFill>
              <w14:schemeClr w14:val="tx1"/>
            </w14:solidFill>
          </w14:textFill>
        </w:rPr>
        <w:t>中小企业声明函</w:t>
      </w:r>
    </w:p>
    <w:p>
      <w:pPr>
        <w:widowControl/>
        <w:spacing w:line="360" w:lineRule="auto"/>
        <w:ind w:firstLine="120" w:firstLineChars="50"/>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0"/>
        <w:keepNext w:val="0"/>
        <w:pageBreakBefore w:val="0"/>
        <w:tabs>
          <w:tab w:val="clear" w:pos="720"/>
        </w:tabs>
        <w:snapToGrid w:val="0"/>
        <w:spacing w:before="120" w:after="120"/>
        <w:ind w:firstLine="643"/>
        <w:outlineLvl w:val="9"/>
        <w:rPr>
          <w:rFonts w:hint="eastAsia" w:ascii="宋体" w:hAnsi="宋体" w:eastAsia="宋体" w:cs="宋体"/>
          <w:b w:val="0"/>
          <w:color w:val="000000" w:themeColor="text1"/>
          <w:sz w:val="32"/>
          <w:szCs w:val="32"/>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tabs>
          <w:tab w:val="left" w:pos="8085"/>
        </w:tabs>
        <w:spacing w:line="360" w:lineRule="auto"/>
        <w:ind w:firstLine="1285" w:firstLineChars="400"/>
        <w:jc w:val="left"/>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政府采购支持中小企业信用融资相关事项通知</w:t>
      </w:r>
    </w:p>
    <w:p>
      <w:pPr>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一、适用对象</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二、相关信息获取方式</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三、　政府采购信用融资操作流程：</w:t>
      </w:r>
    </w:p>
    <w:p>
      <w:pPr>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（一）线上融资模式：</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1.供应商根据合作银行提供的方案，自行选择金融产品，并办理开户等手续；</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2.供应商中标后，可通过杭州市政府采购网或“浙里办”测算授信额度；</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3.采购合同签订后，供应商在杭州市政府采购网或“浙里办”向合作银行发出融资申请；</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4.审批通过后，在线办理放贷手续。</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（二）线下融资模式：</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1.供应商根据合作银行提供的方案，自行选择金融产品，向合作银行提出信用资格预审，并办理开户等手续；</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2.采购合同签订后，供应商在杭州市政府采购网或“浙里办”向合作银行发出融资申请；</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4.审批通过后，合作银行应按照合作备忘录中约定的审批放款期限和优惠利率及时予以放款。</w:t>
      </w:r>
    </w:p>
    <w:p>
      <w:pPr>
        <w:pStyle w:val="2"/>
        <w:numPr>
          <w:ilvl w:val="255"/>
          <w:numId w:val="0"/>
        </w:numPr>
        <w:ind w:firstLine="960" w:firstLineChars="400"/>
        <w:rPr>
          <w:rFonts w:hint="eastAsia" w:ascii="宋体" w:hAnsi="宋体" w:eastAsia="宋体" w:cs="宋体"/>
          <w:b w:val="0"/>
          <w:bCs w:val="0"/>
          <w:color w:val="000000" w:themeColor="text1"/>
          <w:sz w:val="24"/>
          <w:szCs w:val="24"/>
          <w:highlight w:val="none"/>
          <w:lang w:val="en-US"/>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14:textFill>
            <w14:solidFill>
              <w14:schemeClr w14:val="tx1"/>
            </w14:solidFill>
          </w14:textFill>
        </w:rPr>
        <w:t>（三）杭州e融平台申请融资</w:t>
      </w:r>
    </w:p>
    <w:p>
      <w:pPr>
        <w:pStyle w:val="2"/>
        <w:numPr>
          <w:ilvl w:val="255"/>
          <w:numId w:val="0"/>
        </w:numPr>
        <w:ind w:firstLine="960" w:firstLineChars="400"/>
        <w:rPr>
          <w:rFonts w:hint="eastAsia" w:ascii="宋体" w:hAnsi="宋体" w:eastAsia="宋体" w:cs="宋体"/>
          <w:b w:val="0"/>
          <w:bCs w:val="0"/>
          <w:color w:val="000000" w:themeColor="text1"/>
          <w:sz w:val="24"/>
          <w:szCs w:val="24"/>
          <w:highlight w:val="none"/>
          <w:lang w:val="en-US"/>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14:textFill>
            <w14:solidFill>
              <w14:schemeClr w14:val="tx1"/>
            </w14:solidFill>
          </w14:textFill>
        </w:rPr>
        <w:t>供应商通过杭州e融平台政采贷专区，自行选择金融产品，按规定手续办理贷款流程。</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四、注意事项</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宋体" w:hAnsi="宋体" w:eastAsia="宋体" w:cs="宋体"/>
          <w:b/>
          <w:bCs/>
          <w:color w:val="000000" w:themeColor="text1"/>
          <w:kern w:val="0"/>
          <w:sz w:val="24"/>
          <w:highlight w:val="none"/>
          <w14:textFill>
            <w14:solidFill>
              <w14:schemeClr w14:val="tx1"/>
            </w14:solidFill>
          </w14:textFill>
        </w:rPr>
      </w:pPr>
    </w:p>
    <w:p>
      <w:pPr>
        <w:pStyle w:val="3"/>
        <w:keepNext w:val="0"/>
        <w:keepLines w:val="0"/>
        <w:pageBreakBefore/>
        <w:widowControl/>
        <w:spacing w:before="100" w:beforeAutospacing="1" w:after="100" w:afterAutospacing="1" w:line="360" w:lineRule="auto"/>
        <w:rPr>
          <w:rFonts w:hint="eastAsia" w:ascii="宋体" w:hAnsi="宋体" w:eastAsia="宋体" w:cs="宋体"/>
          <w:color w:val="000000" w:themeColor="text1"/>
          <w:highlight w:val="none"/>
          <w14:textFill>
            <w14:solidFill>
              <w14:schemeClr w14:val="tx1"/>
            </w14:solidFill>
          </w14:textFill>
        </w:rPr>
      </w:pPr>
      <w:bookmarkStart w:id="384" w:name="_Toc465665161"/>
      <w:r>
        <w:rPr>
          <w:rFonts w:hint="eastAsia" w:ascii="宋体" w:hAnsi="宋体" w:eastAsia="宋体" w:cs="宋体"/>
          <w:color w:val="000000" w:themeColor="text1"/>
          <w:highlight w:val="none"/>
          <w14:textFill>
            <w14:solidFill>
              <w14:schemeClr w14:val="tx1"/>
            </w14:solidFill>
          </w14:textFill>
        </w:rPr>
        <w:t>附件</w:t>
      </w:r>
      <w:bookmarkEnd w:id="384"/>
    </w:p>
    <w:p>
      <w:pPr>
        <w:spacing w:line="360" w:lineRule="auto"/>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附件1：</w:t>
      </w: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bookmarkStart w:id="385" w:name="OLE_LINK13"/>
      <w:bookmarkStart w:id="386" w:name="OLE_LINK14"/>
      <w:r>
        <w:rPr>
          <w:rFonts w:hint="eastAsia" w:ascii="宋体" w:hAnsi="宋体" w:eastAsia="宋体" w:cs="宋体"/>
          <w:b/>
          <w:color w:val="000000" w:themeColor="text1"/>
          <w:spacing w:val="6"/>
          <w:sz w:val="32"/>
          <w:szCs w:val="32"/>
          <w:highlight w:val="none"/>
          <w14:textFill>
            <w14:solidFill>
              <w14:schemeClr w14:val="tx1"/>
            </w14:solidFill>
          </w14:textFill>
        </w:rPr>
        <w:t>残疾人福利性单位声明函</w:t>
      </w:r>
    </w:p>
    <w:bookmarkEnd w:id="385"/>
    <w:bookmarkEnd w:id="386"/>
    <w:p>
      <w:pPr>
        <w:spacing w:line="360" w:lineRule="auto"/>
        <w:rPr>
          <w:rFonts w:hint="eastAsia" w:ascii="宋体" w:hAnsi="宋体" w:eastAsia="宋体" w:cs="宋体"/>
          <w:b/>
          <w:color w:val="000000" w:themeColor="text1"/>
          <w:spacing w:val="6"/>
          <w:sz w:val="30"/>
          <w:szCs w:val="30"/>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投标人名称（电子签名）</w:t>
      </w:r>
      <w:r>
        <w:rPr>
          <w:rFonts w:hint="eastAsia" w:ascii="宋体" w:hAnsi="宋体" w:eastAsia="宋体" w:cs="宋体"/>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日  期：</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附件2：质疑函范本及制作说明</w:t>
      </w: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质疑函范本</w:t>
      </w:r>
    </w:p>
    <w:p>
      <w:pPr>
        <w:snapToGrid w:val="0"/>
        <w:spacing w:before="240" w:beforeLines="100"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一、质疑供应商基本信息</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质疑供应商：</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地址：</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联系人：</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授权代表：</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地址： </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二、质疑项目基本情况</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质疑项目的名称：</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质疑项目的编号：</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包号：</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采购人名称：</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采购文件获取日期：</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三、质疑事项具体内容</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质疑事项1：</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事实依据：</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法律依据：</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质疑事项2</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四、与质疑事项相关的质疑请求</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请求：</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签字(签章)：                   公章：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日期：    </w:t>
      </w:r>
    </w:p>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1.供应商提出质疑时，应提交质疑函和必要的证明材料。</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2.质疑供应商若委托代理人进行质疑的，质疑函应按要求列明“授权代表”的有关内容，并在附件中提交由质疑</w:t>
      </w:r>
      <w:r>
        <w:rPr>
          <w:rFonts w:hint="eastAsia" w:ascii="宋体" w:hAnsi="宋体" w:eastAsia="宋体" w:cs="宋体"/>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5.质疑函的质疑请求应与质疑事项相关。</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000000" w:themeColor="text1"/>
          <w:sz w:val="30"/>
          <w:szCs w:val="30"/>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br w:type="page"/>
      </w:r>
    </w:p>
    <w:p>
      <w:pPr>
        <w:spacing w:line="360" w:lineRule="auto"/>
        <w:jc w:val="left"/>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附件3：投诉书范本及制作说明</w:t>
      </w:r>
    </w:p>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投诉书范本</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一、投诉相关主体基本情况</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投诉人：</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tabs>
          <w:tab w:val="left" w:pos="6510"/>
        </w:tabs>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法定代表人/主要负责人：</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p>
      <w:pPr>
        <w:tabs>
          <w:tab w:val="left" w:pos="6510"/>
        </w:tabs>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授权代表：</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被投诉人1：</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联系人：</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被投诉人2</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相关供应商：</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联系人：</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二、投诉项目基本情况</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采购项目名称：</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采购项目编号：</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包号：</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采购人名称：</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代理机构名称：</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采购文件公告:</w:t>
      </w:r>
      <w:r>
        <w:rPr>
          <w:rFonts w:hint="eastAsia" w:ascii="宋体" w:hAnsi="宋体" w:eastAsia="宋体" w:cs="宋体"/>
          <w:color w:val="000000" w:themeColor="text1"/>
          <w:sz w:val="24"/>
          <w:highlight w:val="none"/>
          <w:u w:val="dotted"/>
          <w14:textFill>
            <w14:solidFill>
              <w14:schemeClr w14:val="tx1"/>
            </w14:solidFill>
          </w14:textFill>
        </w:rPr>
        <w:t xml:space="preserve">是/否 </w:t>
      </w:r>
      <w:r>
        <w:rPr>
          <w:rFonts w:hint="eastAsia" w:ascii="宋体" w:hAnsi="宋体" w:eastAsia="宋体" w:cs="宋体"/>
          <w:color w:val="000000" w:themeColor="text1"/>
          <w:sz w:val="24"/>
          <w:highlight w:val="none"/>
          <w14:textFill>
            <w14:solidFill>
              <w14:schemeClr w14:val="tx1"/>
            </w14:solidFill>
          </w14:textFill>
        </w:rPr>
        <w:t>公告期限：</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采购结果公告:</w:t>
      </w:r>
      <w:r>
        <w:rPr>
          <w:rFonts w:hint="eastAsia" w:ascii="宋体" w:hAnsi="宋体" w:eastAsia="宋体" w:cs="宋体"/>
          <w:color w:val="000000" w:themeColor="text1"/>
          <w:sz w:val="24"/>
          <w:highlight w:val="none"/>
          <w:u w:val="dotted"/>
          <w14:textFill>
            <w14:solidFill>
              <w14:schemeClr w14:val="tx1"/>
            </w14:solidFill>
          </w14:textFill>
        </w:rPr>
        <w:t xml:space="preserve">是/否 </w:t>
      </w:r>
      <w:r>
        <w:rPr>
          <w:rFonts w:hint="eastAsia" w:ascii="宋体" w:hAnsi="宋体" w:eastAsia="宋体" w:cs="宋体"/>
          <w:color w:val="000000" w:themeColor="text1"/>
          <w:sz w:val="24"/>
          <w:highlight w:val="none"/>
          <w14:textFill>
            <w14:solidFill>
              <w14:schemeClr w14:val="tx1"/>
            </w14:solidFill>
          </w14:textFill>
        </w:rPr>
        <w:t>公告期限：</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三、质疑基本情况</w:t>
      </w:r>
    </w:p>
    <w:p>
      <w:pPr>
        <w:spacing w:line="360" w:lineRule="auto"/>
        <w:ind w:firstLine="480" w:firstLineChars="200"/>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投诉人于</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日,向</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提出质疑，质疑事项为：</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ind w:firstLine="360" w:firstLineChars="1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采购人/代理机构</w:t>
      </w:r>
      <w:r>
        <w:rPr>
          <w:rFonts w:hint="eastAsia" w:ascii="宋体" w:hAnsi="宋体" w:eastAsia="宋体" w:cs="宋体"/>
          <w:color w:val="000000" w:themeColor="text1"/>
          <w:sz w:val="24"/>
          <w:highlight w:val="none"/>
          <w14:textFill>
            <w14:solidFill>
              <w14:schemeClr w14:val="tx1"/>
            </w14:solidFill>
          </w14:textFill>
        </w:rPr>
        <w:t>于</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日,就质疑事项作出了答复/没有在法定期限内作出答复。</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四、投诉事项具体内容</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投诉事项 1：</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事实依据：</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法律依据：</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投诉事项2</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五、与投诉事项相关的投诉请求</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请求：</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签字(签章)：                   公章：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日期：    </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投诉书制作说明：</w:t>
      </w:r>
    </w:p>
    <w:p>
      <w:pPr>
        <w:widowControl/>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宋体" w:hAnsi="宋体" w:eastAsia="宋体" w:cs="宋体"/>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6.投诉书的投诉请求应与投诉事项相关。</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left"/>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附件4：</w:t>
      </w:r>
      <w:r>
        <w:rPr>
          <w:rFonts w:hint="eastAsia" w:ascii="宋体" w:hAnsi="宋体" w:eastAsia="宋体" w:cs="宋体"/>
          <w:b/>
          <w:bCs/>
          <w:color w:val="000000" w:themeColor="text1"/>
          <w:sz w:val="32"/>
          <w:szCs w:val="32"/>
          <w:highlight w:val="none"/>
          <w14:textFill>
            <w14:solidFill>
              <w14:schemeClr w14:val="tx1"/>
            </w14:solidFill>
          </w14:textFill>
        </w:rPr>
        <w:t>业务专用章使用说明函</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（采购人）、（采购代理机构）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我方</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(投标人全称)是中华人民共和国依法登记注册的合法企业，</w:t>
      </w:r>
      <w:r>
        <w:rPr>
          <w:rFonts w:hint="eastAsia" w:ascii="宋体" w:hAnsi="宋体" w:eastAsia="宋体" w:cs="宋体"/>
          <w:bCs/>
          <w:color w:val="000000" w:themeColor="text1"/>
          <w:sz w:val="24"/>
          <w:highlight w:val="none"/>
          <w14:textFill>
            <w14:solidFill>
              <w14:schemeClr w14:val="tx1"/>
            </w14:solidFill>
          </w14:textFill>
        </w:rPr>
        <w:t>在参加</w:t>
      </w:r>
      <w:r>
        <w:rPr>
          <w:rFonts w:hint="eastAsia" w:ascii="宋体" w:hAnsi="宋体" w:eastAsia="宋体" w:cs="宋体"/>
          <w:color w:val="000000" w:themeColor="text1"/>
          <w:sz w:val="24"/>
          <w:highlight w:val="none"/>
          <w14:textFill>
            <w14:solidFill>
              <w14:schemeClr w14:val="tx1"/>
            </w14:solidFill>
          </w14:textFill>
        </w:rPr>
        <w:t>你方组织的（项目名称）项目【招标编号：（采购编号）】</w:t>
      </w:r>
      <w:r>
        <w:rPr>
          <w:rFonts w:hint="eastAsia" w:ascii="宋体" w:hAnsi="宋体" w:eastAsia="宋体" w:cs="宋体"/>
          <w:bCs/>
          <w:color w:val="000000" w:themeColor="text1"/>
          <w:sz w:val="24"/>
          <w:highlight w:val="none"/>
          <w14:textFill>
            <w14:solidFill>
              <w14:schemeClr w14:val="tx1"/>
            </w14:solidFill>
          </w14:textFill>
        </w:rPr>
        <w:t>投标活动中作如下说明：</w:t>
      </w:r>
      <w:r>
        <w:rPr>
          <w:rFonts w:hint="eastAsia" w:ascii="宋体" w:hAnsi="宋体" w:eastAsia="宋体" w:cs="宋体"/>
          <w:color w:val="000000" w:themeColor="text1"/>
          <w:sz w:val="24"/>
          <w:highlight w:val="none"/>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特此说明。</w:t>
      </w:r>
    </w:p>
    <w:p>
      <w:pPr>
        <w:spacing w:line="360" w:lineRule="auto"/>
        <w:ind w:firstLine="494"/>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94"/>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94"/>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94"/>
        <w:rPr>
          <w:rFonts w:hint="eastAsia" w:ascii="宋体" w:hAnsi="宋体" w:eastAsia="宋体" w:cs="宋体"/>
          <w:color w:val="000000" w:themeColor="text1"/>
          <w:sz w:val="24"/>
          <w:highlight w:val="none"/>
          <w14:textFill>
            <w14:solidFill>
              <w14:schemeClr w14:val="tx1"/>
            </w14:solidFill>
          </w14:textFill>
        </w:rPr>
      </w:pPr>
    </w:p>
    <w:p>
      <w:pPr>
        <w:spacing w:line="360" w:lineRule="auto"/>
        <w:ind w:right="480" w:firstLine="4080" w:firstLineChars="17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投标单位（法定名称章）：</w:t>
      </w:r>
    </w:p>
    <w:p>
      <w:pPr>
        <w:ind w:right="1440" w:firstLine="494"/>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日期：       年     月     日</w:t>
      </w:r>
    </w:p>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附：</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bCs/>
          <w:color w:val="000000" w:themeColor="text1"/>
          <w:sz w:val="2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color w:val="000000" w:themeColor="text1"/>
          <w:sz w:val="24"/>
          <w:highlight w:val="none"/>
          <w14:textFill>
            <w14:solidFill>
              <w14:schemeClr w14:val="tx1"/>
            </w14:solidFill>
          </w14:textFill>
        </w:rPr>
        <w:t>投标单位法定名称章（印模）                投标单位“XX专用章”（印模）</w:t>
      </w: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br w:type="page"/>
      </w:r>
    </w:p>
    <w:p>
      <w:pPr>
        <w:autoSpaceDE w:val="0"/>
        <w:autoSpaceDN w:val="0"/>
        <w:jc w:val="both"/>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附件5：</w:t>
      </w:r>
      <w:r>
        <w:rPr>
          <w:rFonts w:hint="eastAsia" w:ascii="宋体" w:hAnsi="宋体" w:eastAsia="宋体" w:cs="宋体"/>
          <w:b/>
          <w:color w:val="000000" w:themeColor="text1"/>
          <w:sz w:val="32"/>
          <w:szCs w:val="32"/>
          <w:highlight w:val="none"/>
          <w14:textFill>
            <w14:solidFill>
              <w14:schemeClr w14:val="tx1"/>
            </w14:solidFill>
          </w14:textFill>
        </w:rPr>
        <w:t>中小企业声明函</w:t>
      </w: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中小企业声明函（工程、服务）</w:t>
      </w:r>
    </w:p>
    <w:p>
      <w:pPr>
        <w:spacing w:line="360" w:lineRule="auto"/>
        <w:rPr>
          <w:rFonts w:hint="eastAsia" w:ascii="宋体" w:hAnsi="宋体" w:eastAsia="宋体" w:cs="宋体"/>
          <w:color w:val="000000" w:themeColor="text1"/>
          <w:highlight w:val="none"/>
          <w14:textFill>
            <w14:solidFill>
              <w14:schemeClr w14:val="tx1"/>
            </w14:solidFill>
          </w14:textFill>
        </w:rPr>
      </w:pPr>
    </w:p>
    <w:p>
      <w:pPr>
        <w:spacing w:line="360" w:lineRule="auto"/>
        <w:ind w:firstLine="360" w:firstLineChars="15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本公司（联合体）郑重声明，根据《政府采购促进中小企业发展管理办法》（财库﹝2020﹞46 号）的规定，本公司（联合体）参加 </w:t>
      </w:r>
      <w:r>
        <w:rPr>
          <w:rFonts w:hint="eastAsia" w:ascii="宋体" w:hAnsi="宋体" w:eastAsia="宋体" w:cs="宋体"/>
          <w:color w:val="000000" w:themeColor="text1"/>
          <w:sz w:val="24"/>
          <w:highlight w:val="none"/>
          <w:u w:val="single"/>
          <w14:textFill>
            <w14:solidFill>
              <w14:schemeClr w14:val="tx1"/>
            </w14:solidFill>
          </w14:textFill>
        </w:rPr>
        <w:t xml:space="preserve">（单位名称） </w:t>
      </w:r>
      <w:r>
        <w:rPr>
          <w:rFonts w:hint="eastAsia" w:ascii="宋体" w:hAnsi="宋体" w:eastAsia="宋体" w:cs="宋体"/>
          <w:color w:val="000000" w:themeColor="text1"/>
          <w:sz w:val="24"/>
          <w:highlight w:val="none"/>
          <w14:textFill>
            <w14:solidFill>
              <w14:schemeClr w14:val="tx1"/>
            </w14:solidFill>
          </w14:textFill>
        </w:rPr>
        <w:t>的</w:t>
      </w:r>
      <w:r>
        <w:rPr>
          <w:rFonts w:hint="eastAsia" w:ascii="宋体" w:hAnsi="宋体" w:eastAsia="宋体" w:cs="宋体"/>
          <w:color w:val="000000" w:themeColor="text1"/>
          <w:sz w:val="24"/>
          <w:highlight w:val="none"/>
          <w:u w:val="single"/>
          <w14:textFill>
            <w14:solidFill>
              <w14:schemeClr w14:val="tx1"/>
            </w14:solidFill>
          </w14:textFill>
        </w:rPr>
        <w:t xml:space="preserve"> （项目名称） </w:t>
      </w:r>
      <w:r>
        <w:rPr>
          <w:rFonts w:hint="eastAsia" w:ascii="宋体" w:hAnsi="宋体" w:eastAsia="宋体" w:cs="宋体"/>
          <w:color w:val="000000" w:themeColor="text1"/>
          <w:sz w:val="24"/>
          <w:highlight w:val="none"/>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（标的名称）</w:t>
      </w:r>
      <w:r>
        <w:rPr>
          <w:rFonts w:hint="eastAsia" w:ascii="宋体" w:hAnsi="宋体" w:eastAsia="宋体" w:cs="宋体"/>
          <w:color w:val="000000" w:themeColor="text1"/>
          <w:sz w:val="24"/>
          <w:highlight w:val="none"/>
          <w14:textFill>
            <w14:solidFill>
              <w14:schemeClr w14:val="tx1"/>
            </w14:solidFill>
          </w14:textFill>
        </w:rPr>
        <w:t xml:space="preserve">，属于 </w:t>
      </w:r>
      <w:r>
        <w:rPr>
          <w:rFonts w:hint="eastAsia" w:ascii="宋体" w:hAnsi="宋体" w:eastAsia="宋体" w:cs="宋体"/>
          <w:color w:val="000000" w:themeColor="text1"/>
          <w:sz w:val="24"/>
          <w:highlight w:val="none"/>
          <w:u w:val="single"/>
          <w14:textFill>
            <w14:solidFill>
              <w14:schemeClr w14:val="tx1"/>
            </w14:solidFill>
          </w14:textFill>
        </w:rPr>
        <w:t>（采购文件中明确的所属行业）</w:t>
      </w:r>
      <w:r>
        <w:rPr>
          <w:rFonts w:hint="eastAsia" w:ascii="宋体" w:hAnsi="宋体" w:eastAsia="宋体" w:cs="宋体"/>
          <w:color w:val="000000" w:themeColor="text1"/>
          <w:sz w:val="24"/>
          <w:highlight w:val="none"/>
          <w14:textFill>
            <w14:solidFill>
              <w14:schemeClr w14:val="tx1"/>
            </w14:solidFill>
          </w14:textFill>
        </w:rPr>
        <w:t xml:space="preserve"> ；承建（承接）企业为 </w:t>
      </w:r>
      <w:r>
        <w:rPr>
          <w:rFonts w:hint="eastAsia" w:ascii="宋体" w:hAnsi="宋体" w:eastAsia="宋体" w:cs="宋体"/>
          <w:color w:val="000000" w:themeColor="text1"/>
          <w:sz w:val="24"/>
          <w:highlight w:val="none"/>
          <w:u w:val="single"/>
          <w14:textFill>
            <w14:solidFill>
              <w14:schemeClr w14:val="tx1"/>
            </w14:solidFill>
          </w14:textFill>
        </w:rPr>
        <w:t>（企业名称）</w:t>
      </w:r>
      <w:r>
        <w:rPr>
          <w:rFonts w:hint="eastAsia" w:ascii="宋体" w:hAnsi="宋体" w:eastAsia="宋体" w:cs="宋体"/>
          <w:color w:val="000000" w:themeColor="text1"/>
          <w:sz w:val="24"/>
          <w:highlight w:val="none"/>
          <w14:textFill>
            <w14:solidFill>
              <w14:schemeClr w14:val="tx1"/>
            </w14:solidFill>
          </w14:textFill>
        </w:rPr>
        <w:t xml:space="preserve"> ，从业人员</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人，营业收入为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万元，资产总额为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万元属于</w:t>
      </w:r>
      <w:r>
        <w:rPr>
          <w:rFonts w:hint="eastAsia" w:ascii="宋体" w:hAnsi="宋体" w:eastAsia="宋体" w:cs="宋体"/>
          <w:color w:val="000000" w:themeColor="text1"/>
          <w:sz w:val="24"/>
          <w:highlight w:val="none"/>
          <w:u w:val="single"/>
          <w14:textFill>
            <w14:solidFill>
              <w14:schemeClr w14:val="tx1"/>
            </w14:solidFill>
          </w14:textFill>
        </w:rPr>
        <w:t xml:space="preserve"> （中型企业、小型企业、微型企业） </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（标的名称）</w:t>
      </w:r>
      <w:r>
        <w:rPr>
          <w:rFonts w:hint="eastAsia" w:ascii="宋体" w:hAnsi="宋体" w:eastAsia="宋体" w:cs="宋体"/>
          <w:color w:val="000000" w:themeColor="text1"/>
          <w:sz w:val="24"/>
          <w:highlight w:val="none"/>
          <w14:textFill>
            <w14:solidFill>
              <w14:schemeClr w14:val="tx1"/>
            </w14:solidFill>
          </w14:textFill>
        </w:rPr>
        <w:t xml:space="preserve">，属于 </w:t>
      </w:r>
      <w:r>
        <w:rPr>
          <w:rFonts w:hint="eastAsia" w:ascii="宋体" w:hAnsi="宋体" w:eastAsia="宋体" w:cs="宋体"/>
          <w:color w:val="000000" w:themeColor="text1"/>
          <w:sz w:val="24"/>
          <w:highlight w:val="none"/>
          <w:u w:val="single"/>
          <w14:textFill>
            <w14:solidFill>
              <w14:schemeClr w14:val="tx1"/>
            </w14:solidFill>
          </w14:textFill>
        </w:rPr>
        <w:t>（采购文件中明确的所属行业）</w:t>
      </w:r>
      <w:r>
        <w:rPr>
          <w:rFonts w:hint="eastAsia" w:ascii="宋体" w:hAnsi="宋体" w:eastAsia="宋体" w:cs="宋体"/>
          <w:color w:val="000000" w:themeColor="text1"/>
          <w:sz w:val="24"/>
          <w:highlight w:val="none"/>
          <w14:textFill>
            <w14:solidFill>
              <w14:schemeClr w14:val="tx1"/>
            </w14:solidFill>
          </w14:textFill>
        </w:rPr>
        <w:t xml:space="preserve"> ；承建（承接）企业为 </w:t>
      </w:r>
      <w:r>
        <w:rPr>
          <w:rFonts w:hint="eastAsia" w:ascii="宋体" w:hAnsi="宋体" w:eastAsia="宋体" w:cs="宋体"/>
          <w:color w:val="000000" w:themeColor="text1"/>
          <w:sz w:val="24"/>
          <w:highlight w:val="none"/>
          <w:u w:val="single"/>
          <w14:textFill>
            <w14:solidFill>
              <w14:schemeClr w14:val="tx1"/>
            </w14:solidFill>
          </w14:textFill>
        </w:rPr>
        <w:t>（企业名称）</w:t>
      </w:r>
      <w:r>
        <w:rPr>
          <w:rFonts w:hint="eastAsia" w:ascii="宋体" w:hAnsi="宋体" w:eastAsia="宋体" w:cs="宋体"/>
          <w:color w:val="000000" w:themeColor="text1"/>
          <w:sz w:val="24"/>
          <w:highlight w:val="none"/>
          <w14:textFill>
            <w14:solidFill>
              <w14:schemeClr w14:val="tx1"/>
            </w14:solidFill>
          </w14:textFill>
        </w:rPr>
        <w:t xml:space="preserve"> ，从业人员</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人，营业收入为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万元，资产总额为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万元属于</w:t>
      </w:r>
      <w:r>
        <w:rPr>
          <w:rFonts w:hint="eastAsia" w:ascii="宋体" w:hAnsi="宋体" w:eastAsia="宋体" w:cs="宋体"/>
          <w:color w:val="000000" w:themeColor="text1"/>
          <w:sz w:val="24"/>
          <w:highlight w:val="none"/>
          <w:u w:val="single"/>
          <w14:textFill>
            <w14:solidFill>
              <w14:schemeClr w14:val="tx1"/>
            </w14:solidFill>
          </w14:textFill>
        </w:rPr>
        <w:t xml:space="preserve"> （中型企业、小型企业、微型企业） </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本企业对上述声明内容的真实性负责。如有虚假，将依法承担相应责任。</w:t>
      </w:r>
    </w:p>
    <w:p>
      <w:pPr>
        <w:spacing w:line="360" w:lineRule="auto"/>
        <w:ind w:right="1760"/>
        <w:jc w:val="righ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投标人名称（电子签名）：</w:t>
      </w:r>
    </w:p>
    <w:p>
      <w:pPr>
        <w:spacing w:line="360" w:lineRule="auto"/>
        <w:ind w:right="1120" w:firstLine="4680" w:firstLineChars="19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 期：</w:t>
      </w:r>
    </w:p>
    <w:p>
      <w:pPr>
        <w:spacing w:line="360" w:lineRule="auto"/>
        <w:ind w:firstLine="310" w:firstLineChars="147"/>
        <w:jc w:val="lef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从业人员、营业收入、资产总额填报上一年度数据，无上一年度数据的新成立企业可不填报。</w:t>
      </w:r>
    </w:p>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p>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注：</w:t>
      </w:r>
    </w:p>
    <w:p>
      <w:pPr>
        <w:spacing w:line="360" w:lineRule="auto"/>
        <w:ind w:right="42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w:t>
      </w:r>
      <w:r>
        <w:rPr>
          <w:rFonts w:hint="eastAsia" w:ascii="宋体" w:hAnsi="宋体" w:eastAsia="宋体" w:cs="宋体"/>
          <w:color w:val="000000" w:themeColor="text1"/>
          <w:sz w:val="24"/>
          <w:highlight w:val="none"/>
          <w:lang w:eastAsia="zh-CN"/>
          <w14:textFill>
            <w14:solidFill>
              <w14:schemeClr w14:val="tx1"/>
            </w14:solidFill>
          </w14:textFill>
        </w:rPr>
        <w:t>无效，</w:t>
      </w:r>
      <w:r>
        <w:rPr>
          <w:rFonts w:hint="eastAsia" w:ascii="宋体" w:hAnsi="宋体" w:eastAsia="宋体" w:cs="宋体"/>
          <w:color w:val="000000" w:themeColor="text1"/>
          <w:sz w:val="24"/>
          <w:highlight w:val="none"/>
          <w14:textFill>
            <w14:solidFill>
              <w14:schemeClr w14:val="tx1"/>
            </w14:solidFill>
          </w14:textFill>
        </w:rPr>
        <w:t>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宋体" w:hAnsi="宋体" w:eastAsia="宋体" w:cs="宋体"/>
          <w:color w:val="000000" w:themeColor="text1"/>
          <w:highlight w:val="none"/>
          <w14:textFill>
            <w14:solidFill>
              <w14:schemeClr w14:val="tx1"/>
            </w14:solidFill>
          </w14:textFill>
        </w:rPr>
      </w:pPr>
    </w:p>
    <w:sectPr>
      <w:headerReference r:id="rId16" w:type="first"/>
      <w:footerReference r:id="rId19" w:type="first"/>
      <w:headerReference r:id="rId15" w:type="default"/>
      <w:footerReference r:id="rId17" w:type="default"/>
      <w:footerReference r:id="rId18" w:type="even"/>
      <w:pgSz w:w="11906" w:h="16838"/>
      <w:pgMar w:top="1276" w:right="1417" w:bottom="1247" w:left="1417" w:header="851" w:footer="992" w:gutter="0"/>
      <w:pgBorders>
        <w:top w:val="none" w:sz="0" w:space="0"/>
        <w:left w:val="none" w:sz="0" w:space="0"/>
        <w:bottom w:val="none" w:sz="0" w:space="0"/>
        <w:right w:val="none" w:sz="0" w:space="0"/>
      </w:pgBorders>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387" w:name="_Toc164085800"/>
    <w:bookmarkStart w:id="388" w:name="_Toc131845147"/>
    <w:bookmarkStart w:id="389" w:name="_Toc36110187"/>
    <w:bookmarkStart w:id="390" w:name="_Toc91899912"/>
    <w:r>
      <w:rPr>
        <w:rFonts w:hint="eastAsia" w:ascii="仿宋_GB2312" w:eastAsia="仿宋_GB2312"/>
        <w:kern w:val="0"/>
        <w:szCs w:val="21"/>
      </w:rPr>
      <w:t xml:space="preserve"> 页</w:t>
    </w:r>
    <w:bookmarkEnd w:id="387"/>
    <w:bookmarkEnd w:id="388"/>
    <w:bookmarkEnd w:id="389"/>
    <w:bookmarkEnd w:id="39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rPr>
        <w:rFonts w:hint="eastAsia"/>
        <w:lang w:val="en-US" w:eastAsia="zh-CN"/>
      </w:rPr>
      <w:t xml:space="preserve">                   </w:t>
    </w:r>
    <w:r>
      <w:t>公开招标文件</w:t>
    </w:r>
  </w:p>
  <w:p>
    <w:pPr>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rPr>
        <w:rFonts w:hint="eastAsia"/>
      </w:rPr>
      <w:t xml:space="preserve">                                                            </w:t>
    </w:r>
    <w:r>
      <w:rPr>
        <w:rFonts w:hint="eastAsia"/>
        <w:lang w:val="en-US" w:eastAsia="zh-CN"/>
      </w:rPr>
      <w:t xml:space="preserve">                        </w:t>
    </w:r>
    <w: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rPr>
        <w:rFonts w:hint="eastAsia"/>
        <w:lang w:val="en-US" w:eastAsia="zh-CN"/>
      </w:rPr>
      <w:t xml:space="preserve">                    </w:t>
    </w:r>
    <w:r>
      <w:t>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182889"/>
    <w:multiLevelType w:val="singleLevel"/>
    <w:tmpl w:val="99182889"/>
    <w:lvl w:ilvl="0" w:tentative="0">
      <w:start w:val="15"/>
      <w:numFmt w:val="decimal"/>
      <w:lvlText w:val="%1."/>
      <w:lvlJc w:val="left"/>
      <w:pPr>
        <w:tabs>
          <w:tab w:val="left" w:pos="312"/>
        </w:tabs>
      </w:pPr>
    </w:lvl>
  </w:abstractNum>
  <w:abstractNum w:abstractNumId="1">
    <w:nsid w:val="47497AAB"/>
    <w:multiLevelType w:val="singleLevel"/>
    <w:tmpl w:val="47497AAB"/>
    <w:lvl w:ilvl="0" w:tentative="0">
      <w:start w:val="2"/>
      <w:numFmt w:val="decimal"/>
      <w:suff w:val="nothing"/>
      <w:lvlText w:val="%1、"/>
      <w:lvlJc w:val="left"/>
    </w:lvl>
  </w:abstractNum>
  <w:abstractNum w:abstractNumId="2">
    <w:nsid w:val="72EF5C76"/>
    <w:multiLevelType w:val="singleLevel"/>
    <w:tmpl w:val="72EF5C76"/>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kYTNjODAzOWEyZTBjZWI2OWE0Y2U2MTNhOGNiNmUifQ=="/>
    <w:docVar w:name="KSO_WPS_MARK_KEY" w:val="184ba3a3-15f7-484f-8ea2-868239b3085b"/>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72D"/>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7101D"/>
    <w:rsid w:val="011F6449"/>
    <w:rsid w:val="01236AFB"/>
    <w:rsid w:val="017936BE"/>
    <w:rsid w:val="019F7441"/>
    <w:rsid w:val="01B37585"/>
    <w:rsid w:val="01D55165"/>
    <w:rsid w:val="01DF5C17"/>
    <w:rsid w:val="01DF6BF8"/>
    <w:rsid w:val="01EC2C57"/>
    <w:rsid w:val="025F0711"/>
    <w:rsid w:val="026B2E25"/>
    <w:rsid w:val="02824D4D"/>
    <w:rsid w:val="028C1346"/>
    <w:rsid w:val="02B37D27"/>
    <w:rsid w:val="02DC4B10"/>
    <w:rsid w:val="02DD76CE"/>
    <w:rsid w:val="02F36323"/>
    <w:rsid w:val="02F5619C"/>
    <w:rsid w:val="031F6300"/>
    <w:rsid w:val="0326446A"/>
    <w:rsid w:val="032C7417"/>
    <w:rsid w:val="032D5555"/>
    <w:rsid w:val="036634D2"/>
    <w:rsid w:val="03962A0D"/>
    <w:rsid w:val="03BA4BD5"/>
    <w:rsid w:val="03C076C5"/>
    <w:rsid w:val="03DD35E4"/>
    <w:rsid w:val="04076900"/>
    <w:rsid w:val="041A5A3B"/>
    <w:rsid w:val="042311BA"/>
    <w:rsid w:val="04262129"/>
    <w:rsid w:val="042B157A"/>
    <w:rsid w:val="048F763B"/>
    <w:rsid w:val="049F330E"/>
    <w:rsid w:val="04AA775C"/>
    <w:rsid w:val="04AF1889"/>
    <w:rsid w:val="04F66F48"/>
    <w:rsid w:val="0516403E"/>
    <w:rsid w:val="051E28A6"/>
    <w:rsid w:val="05251E14"/>
    <w:rsid w:val="05507636"/>
    <w:rsid w:val="05770BD6"/>
    <w:rsid w:val="05A16594"/>
    <w:rsid w:val="05A7762D"/>
    <w:rsid w:val="05C04DC2"/>
    <w:rsid w:val="060E5941"/>
    <w:rsid w:val="06110FAF"/>
    <w:rsid w:val="06182F1C"/>
    <w:rsid w:val="06493CA7"/>
    <w:rsid w:val="065310FB"/>
    <w:rsid w:val="065A6178"/>
    <w:rsid w:val="066F1CF3"/>
    <w:rsid w:val="06930BB8"/>
    <w:rsid w:val="07245D42"/>
    <w:rsid w:val="07264C62"/>
    <w:rsid w:val="0779354C"/>
    <w:rsid w:val="078D1C71"/>
    <w:rsid w:val="07965CB3"/>
    <w:rsid w:val="079A5223"/>
    <w:rsid w:val="08061376"/>
    <w:rsid w:val="08452D77"/>
    <w:rsid w:val="086401F8"/>
    <w:rsid w:val="08751CAA"/>
    <w:rsid w:val="087E4C40"/>
    <w:rsid w:val="08A871D0"/>
    <w:rsid w:val="08D66AD6"/>
    <w:rsid w:val="08DA33A3"/>
    <w:rsid w:val="08E80F13"/>
    <w:rsid w:val="08F453E8"/>
    <w:rsid w:val="09335624"/>
    <w:rsid w:val="0944690F"/>
    <w:rsid w:val="09535675"/>
    <w:rsid w:val="095F057D"/>
    <w:rsid w:val="09642282"/>
    <w:rsid w:val="09694D07"/>
    <w:rsid w:val="09733572"/>
    <w:rsid w:val="09772C16"/>
    <w:rsid w:val="098353B5"/>
    <w:rsid w:val="09A86606"/>
    <w:rsid w:val="09A92330"/>
    <w:rsid w:val="09B06B87"/>
    <w:rsid w:val="09C13146"/>
    <w:rsid w:val="09E04166"/>
    <w:rsid w:val="09EB429C"/>
    <w:rsid w:val="0A141D0C"/>
    <w:rsid w:val="0A1C0718"/>
    <w:rsid w:val="0A3E7710"/>
    <w:rsid w:val="0A5B7E63"/>
    <w:rsid w:val="0A5F3BF8"/>
    <w:rsid w:val="0A8E01DA"/>
    <w:rsid w:val="0AA374A5"/>
    <w:rsid w:val="0AAB7649"/>
    <w:rsid w:val="0ABC5606"/>
    <w:rsid w:val="0AE5485B"/>
    <w:rsid w:val="0B246252"/>
    <w:rsid w:val="0B30404E"/>
    <w:rsid w:val="0B4C6C14"/>
    <w:rsid w:val="0B542123"/>
    <w:rsid w:val="0B631A88"/>
    <w:rsid w:val="0B683D45"/>
    <w:rsid w:val="0B741E52"/>
    <w:rsid w:val="0B754EF6"/>
    <w:rsid w:val="0B7F3F11"/>
    <w:rsid w:val="0B827FEC"/>
    <w:rsid w:val="0B884417"/>
    <w:rsid w:val="0BAA0469"/>
    <w:rsid w:val="0BBE030D"/>
    <w:rsid w:val="0BD215D9"/>
    <w:rsid w:val="0BF6188C"/>
    <w:rsid w:val="0BF73C91"/>
    <w:rsid w:val="0BFF6E77"/>
    <w:rsid w:val="0C170175"/>
    <w:rsid w:val="0C571A41"/>
    <w:rsid w:val="0C5C1171"/>
    <w:rsid w:val="0C5E0746"/>
    <w:rsid w:val="0C5E1CBC"/>
    <w:rsid w:val="0C615B50"/>
    <w:rsid w:val="0C6A432F"/>
    <w:rsid w:val="0C8445DA"/>
    <w:rsid w:val="0C87121B"/>
    <w:rsid w:val="0CC007F7"/>
    <w:rsid w:val="0CC617AC"/>
    <w:rsid w:val="0CD33C7D"/>
    <w:rsid w:val="0CFE707A"/>
    <w:rsid w:val="0D063BDA"/>
    <w:rsid w:val="0D08375F"/>
    <w:rsid w:val="0D184CFB"/>
    <w:rsid w:val="0D2200EB"/>
    <w:rsid w:val="0D2E7191"/>
    <w:rsid w:val="0D4A7419"/>
    <w:rsid w:val="0D827401"/>
    <w:rsid w:val="0D84094E"/>
    <w:rsid w:val="0D8A00E9"/>
    <w:rsid w:val="0D8D589E"/>
    <w:rsid w:val="0DA01C73"/>
    <w:rsid w:val="0DBB72A9"/>
    <w:rsid w:val="0DC36521"/>
    <w:rsid w:val="0DD63300"/>
    <w:rsid w:val="0DE50E10"/>
    <w:rsid w:val="0DF50604"/>
    <w:rsid w:val="0DF702FE"/>
    <w:rsid w:val="0E060E51"/>
    <w:rsid w:val="0E07383B"/>
    <w:rsid w:val="0E1C79F6"/>
    <w:rsid w:val="0E412C9F"/>
    <w:rsid w:val="0E5604B2"/>
    <w:rsid w:val="0E6D5D79"/>
    <w:rsid w:val="0E9D0089"/>
    <w:rsid w:val="0EAF1404"/>
    <w:rsid w:val="0EB803EE"/>
    <w:rsid w:val="0EF94D4B"/>
    <w:rsid w:val="0F021C28"/>
    <w:rsid w:val="0F0A56AA"/>
    <w:rsid w:val="0F4958DC"/>
    <w:rsid w:val="0F515DF7"/>
    <w:rsid w:val="0F596BA8"/>
    <w:rsid w:val="0F6248D2"/>
    <w:rsid w:val="0F693536"/>
    <w:rsid w:val="0F7674E9"/>
    <w:rsid w:val="0F7B0511"/>
    <w:rsid w:val="0F7B76D9"/>
    <w:rsid w:val="0F816ACD"/>
    <w:rsid w:val="0F9811B3"/>
    <w:rsid w:val="0F9832DB"/>
    <w:rsid w:val="0FBD5306"/>
    <w:rsid w:val="0FBF3FD2"/>
    <w:rsid w:val="0FBF7FF3"/>
    <w:rsid w:val="0FD4748F"/>
    <w:rsid w:val="0FEB5C97"/>
    <w:rsid w:val="101E0DC6"/>
    <w:rsid w:val="10374E70"/>
    <w:rsid w:val="10646583"/>
    <w:rsid w:val="107D4B15"/>
    <w:rsid w:val="108A3C80"/>
    <w:rsid w:val="109A14F7"/>
    <w:rsid w:val="10C26171"/>
    <w:rsid w:val="10E269B7"/>
    <w:rsid w:val="10F33360"/>
    <w:rsid w:val="10FC16EA"/>
    <w:rsid w:val="110F1D40"/>
    <w:rsid w:val="11266F33"/>
    <w:rsid w:val="11781FDA"/>
    <w:rsid w:val="118963A1"/>
    <w:rsid w:val="11C6522A"/>
    <w:rsid w:val="11E104CC"/>
    <w:rsid w:val="11E20309"/>
    <w:rsid w:val="120E27C1"/>
    <w:rsid w:val="12255233"/>
    <w:rsid w:val="12493661"/>
    <w:rsid w:val="12530213"/>
    <w:rsid w:val="127723A9"/>
    <w:rsid w:val="12804880"/>
    <w:rsid w:val="12862074"/>
    <w:rsid w:val="12883966"/>
    <w:rsid w:val="129E45B4"/>
    <w:rsid w:val="12C466CD"/>
    <w:rsid w:val="12D06EB6"/>
    <w:rsid w:val="12D21374"/>
    <w:rsid w:val="12D81596"/>
    <w:rsid w:val="13072A44"/>
    <w:rsid w:val="131A1B7F"/>
    <w:rsid w:val="135F4BE2"/>
    <w:rsid w:val="137B6B43"/>
    <w:rsid w:val="139B1A0A"/>
    <w:rsid w:val="139D25C7"/>
    <w:rsid w:val="13BF3CE4"/>
    <w:rsid w:val="13CE515A"/>
    <w:rsid w:val="141008D8"/>
    <w:rsid w:val="14125FE6"/>
    <w:rsid w:val="141B294B"/>
    <w:rsid w:val="14500381"/>
    <w:rsid w:val="146D271E"/>
    <w:rsid w:val="14982588"/>
    <w:rsid w:val="149A5AD9"/>
    <w:rsid w:val="14A7619D"/>
    <w:rsid w:val="14D80DAA"/>
    <w:rsid w:val="14DD7E31"/>
    <w:rsid w:val="14E65154"/>
    <w:rsid w:val="150536C3"/>
    <w:rsid w:val="150C1963"/>
    <w:rsid w:val="151447A0"/>
    <w:rsid w:val="152E2381"/>
    <w:rsid w:val="152E4A94"/>
    <w:rsid w:val="154A6454"/>
    <w:rsid w:val="15762120"/>
    <w:rsid w:val="159D46EE"/>
    <w:rsid w:val="162966BF"/>
    <w:rsid w:val="163E2900"/>
    <w:rsid w:val="165D5132"/>
    <w:rsid w:val="16A8729C"/>
    <w:rsid w:val="16B33777"/>
    <w:rsid w:val="16B93D9D"/>
    <w:rsid w:val="16BC70A7"/>
    <w:rsid w:val="16C6339E"/>
    <w:rsid w:val="16EC448F"/>
    <w:rsid w:val="16FE2244"/>
    <w:rsid w:val="172F2D79"/>
    <w:rsid w:val="17557BEF"/>
    <w:rsid w:val="175A16B7"/>
    <w:rsid w:val="17AE6FDD"/>
    <w:rsid w:val="17B4312C"/>
    <w:rsid w:val="17D349C1"/>
    <w:rsid w:val="182615DD"/>
    <w:rsid w:val="1830729E"/>
    <w:rsid w:val="18313F96"/>
    <w:rsid w:val="18326127"/>
    <w:rsid w:val="183F4232"/>
    <w:rsid w:val="1870062C"/>
    <w:rsid w:val="18817102"/>
    <w:rsid w:val="18830A15"/>
    <w:rsid w:val="18852B28"/>
    <w:rsid w:val="188B5321"/>
    <w:rsid w:val="189C52A7"/>
    <w:rsid w:val="18AF43DD"/>
    <w:rsid w:val="18B7755A"/>
    <w:rsid w:val="18C35CE4"/>
    <w:rsid w:val="18D9084C"/>
    <w:rsid w:val="19146188"/>
    <w:rsid w:val="195306F5"/>
    <w:rsid w:val="19932372"/>
    <w:rsid w:val="19A20DD5"/>
    <w:rsid w:val="19AE03F1"/>
    <w:rsid w:val="19BB449C"/>
    <w:rsid w:val="1A071A03"/>
    <w:rsid w:val="1A1902A1"/>
    <w:rsid w:val="1A1F16AE"/>
    <w:rsid w:val="1A3B5C77"/>
    <w:rsid w:val="1A930173"/>
    <w:rsid w:val="1A984BAD"/>
    <w:rsid w:val="1AB8220E"/>
    <w:rsid w:val="1AD8238A"/>
    <w:rsid w:val="1AE4166C"/>
    <w:rsid w:val="1AF06CFB"/>
    <w:rsid w:val="1AF11B8D"/>
    <w:rsid w:val="1B11359C"/>
    <w:rsid w:val="1B2A271F"/>
    <w:rsid w:val="1B530544"/>
    <w:rsid w:val="1B713184"/>
    <w:rsid w:val="1BA209CF"/>
    <w:rsid w:val="1BB4777D"/>
    <w:rsid w:val="1BD75AB8"/>
    <w:rsid w:val="1BE22A26"/>
    <w:rsid w:val="1C0459C2"/>
    <w:rsid w:val="1C116648"/>
    <w:rsid w:val="1C1B3B4A"/>
    <w:rsid w:val="1C33347C"/>
    <w:rsid w:val="1C804E57"/>
    <w:rsid w:val="1C88086E"/>
    <w:rsid w:val="1CAC7218"/>
    <w:rsid w:val="1CAD24AC"/>
    <w:rsid w:val="1D266CE1"/>
    <w:rsid w:val="1D3963AF"/>
    <w:rsid w:val="1D6A673C"/>
    <w:rsid w:val="1D9247AE"/>
    <w:rsid w:val="1DB567EC"/>
    <w:rsid w:val="1DF51A98"/>
    <w:rsid w:val="1DFE036C"/>
    <w:rsid w:val="1E3D060F"/>
    <w:rsid w:val="1E3F2876"/>
    <w:rsid w:val="1E3F7D2E"/>
    <w:rsid w:val="1E4134E4"/>
    <w:rsid w:val="1E5062B3"/>
    <w:rsid w:val="1E523514"/>
    <w:rsid w:val="1E697F42"/>
    <w:rsid w:val="1E714A66"/>
    <w:rsid w:val="1E802593"/>
    <w:rsid w:val="1E8B6156"/>
    <w:rsid w:val="1E9D6AAA"/>
    <w:rsid w:val="1EA703CC"/>
    <w:rsid w:val="1EB7330C"/>
    <w:rsid w:val="1EE95838"/>
    <w:rsid w:val="1EF12084"/>
    <w:rsid w:val="1F0A0FF3"/>
    <w:rsid w:val="1F5771FF"/>
    <w:rsid w:val="1F850805"/>
    <w:rsid w:val="1FE437DB"/>
    <w:rsid w:val="1FE868A9"/>
    <w:rsid w:val="20034907"/>
    <w:rsid w:val="20173E4B"/>
    <w:rsid w:val="203940F6"/>
    <w:rsid w:val="204E48BC"/>
    <w:rsid w:val="208921B3"/>
    <w:rsid w:val="20973DEB"/>
    <w:rsid w:val="20B26522"/>
    <w:rsid w:val="20B44310"/>
    <w:rsid w:val="211116EB"/>
    <w:rsid w:val="21360DC2"/>
    <w:rsid w:val="213B78E5"/>
    <w:rsid w:val="216133FC"/>
    <w:rsid w:val="218A43BA"/>
    <w:rsid w:val="21CE30AA"/>
    <w:rsid w:val="21D56769"/>
    <w:rsid w:val="21E52EF3"/>
    <w:rsid w:val="21FB5D7B"/>
    <w:rsid w:val="220B1C3D"/>
    <w:rsid w:val="22142CD2"/>
    <w:rsid w:val="221D1D20"/>
    <w:rsid w:val="22260E7D"/>
    <w:rsid w:val="22334A87"/>
    <w:rsid w:val="225047E7"/>
    <w:rsid w:val="22801E10"/>
    <w:rsid w:val="22BE6801"/>
    <w:rsid w:val="22C02987"/>
    <w:rsid w:val="22E271F5"/>
    <w:rsid w:val="230E1A60"/>
    <w:rsid w:val="233500BF"/>
    <w:rsid w:val="23377FF7"/>
    <w:rsid w:val="236B425F"/>
    <w:rsid w:val="23836192"/>
    <w:rsid w:val="238B7F76"/>
    <w:rsid w:val="23901F29"/>
    <w:rsid w:val="23982565"/>
    <w:rsid w:val="239C0061"/>
    <w:rsid w:val="239D78C3"/>
    <w:rsid w:val="23A75A11"/>
    <w:rsid w:val="23B908A4"/>
    <w:rsid w:val="23CF777D"/>
    <w:rsid w:val="23D37536"/>
    <w:rsid w:val="23E95BEF"/>
    <w:rsid w:val="23FD0064"/>
    <w:rsid w:val="245375B0"/>
    <w:rsid w:val="24642C0A"/>
    <w:rsid w:val="249307DC"/>
    <w:rsid w:val="24AD3B72"/>
    <w:rsid w:val="24B22173"/>
    <w:rsid w:val="24B95AD9"/>
    <w:rsid w:val="24BE24DA"/>
    <w:rsid w:val="24CF5825"/>
    <w:rsid w:val="24D663E6"/>
    <w:rsid w:val="24D77F2B"/>
    <w:rsid w:val="24EA7285"/>
    <w:rsid w:val="25043ED2"/>
    <w:rsid w:val="251539AA"/>
    <w:rsid w:val="257F1A04"/>
    <w:rsid w:val="258B00E2"/>
    <w:rsid w:val="25A917A6"/>
    <w:rsid w:val="25BE27CC"/>
    <w:rsid w:val="25CB28CD"/>
    <w:rsid w:val="25F74A5C"/>
    <w:rsid w:val="2628662C"/>
    <w:rsid w:val="262D45DE"/>
    <w:rsid w:val="26503F85"/>
    <w:rsid w:val="267C57CF"/>
    <w:rsid w:val="2680083E"/>
    <w:rsid w:val="26871DC8"/>
    <w:rsid w:val="26A53EF9"/>
    <w:rsid w:val="26A94201"/>
    <w:rsid w:val="26AC274F"/>
    <w:rsid w:val="26B51F89"/>
    <w:rsid w:val="27044A29"/>
    <w:rsid w:val="271D34C8"/>
    <w:rsid w:val="276066A7"/>
    <w:rsid w:val="276142BF"/>
    <w:rsid w:val="27783712"/>
    <w:rsid w:val="27907362"/>
    <w:rsid w:val="27B948E9"/>
    <w:rsid w:val="27FF5CFF"/>
    <w:rsid w:val="28333E1D"/>
    <w:rsid w:val="28454BD6"/>
    <w:rsid w:val="28455253"/>
    <w:rsid w:val="28551971"/>
    <w:rsid w:val="285665CF"/>
    <w:rsid w:val="285B1C53"/>
    <w:rsid w:val="289F7086"/>
    <w:rsid w:val="28C32028"/>
    <w:rsid w:val="28CC490F"/>
    <w:rsid w:val="28D210F3"/>
    <w:rsid w:val="28DE40AA"/>
    <w:rsid w:val="28F74E67"/>
    <w:rsid w:val="291B0A33"/>
    <w:rsid w:val="291B6A1C"/>
    <w:rsid w:val="29345E77"/>
    <w:rsid w:val="294C65AD"/>
    <w:rsid w:val="296F240F"/>
    <w:rsid w:val="297018A6"/>
    <w:rsid w:val="29806583"/>
    <w:rsid w:val="298B3C4C"/>
    <w:rsid w:val="29F26D24"/>
    <w:rsid w:val="2A022751"/>
    <w:rsid w:val="2A15033F"/>
    <w:rsid w:val="2A1662C1"/>
    <w:rsid w:val="2A1C7367"/>
    <w:rsid w:val="2A2815FA"/>
    <w:rsid w:val="2A5B6581"/>
    <w:rsid w:val="2A6D6092"/>
    <w:rsid w:val="2A7D76B4"/>
    <w:rsid w:val="2B355B48"/>
    <w:rsid w:val="2B437463"/>
    <w:rsid w:val="2B5244B4"/>
    <w:rsid w:val="2B721677"/>
    <w:rsid w:val="2B7807EE"/>
    <w:rsid w:val="2BA50BF7"/>
    <w:rsid w:val="2BBF00EC"/>
    <w:rsid w:val="2BC37CFD"/>
    <w:rsid w:val="2BCC2DF5"/>
    <w:rsid w:val="2BD5237F"/>
    <w:rsid w:val="2BE536CE"/>
    <w:rsid w:val="2BE758D9"/>
    <w:rsid w:val="2BF2116A"/>
    <w:rsid w:val="2C09049E"/>
    <w:rsid w:val="2C0A653C"/>
    <w:rsid w:val="2C183950"/>
    <w:rsid w:val="2C191F85"/>
    <w:rsid w:val="2C29310E"/>
    <w:rsid w:val="2C5F31B9"/>
    <w:rsid w:val="2C6F41C6"/>
    <w:rsid w:val="2C9546F3"/>
    <w:rsid w:val="2C967B0F"/>
    <w:rsid w:val="2CE82D6F"/>
    <w:rsid w:val="2D343236"/>
    <w:rsid w:val="2D482863"/>
    <w:rsid w:val="2D531A39"/>
    <w:rsid w:val="2D77440F"/>
    <w:rsid w:val="2D964B2C"/>
    <w:rsid w:val="2DD15014"/>
    <w:rsid w:val="2DE76F07"/>
    <w:rsid w:val="2DF72DE4"/>
    <w:rsid w:val="2E0220AF"/>
    <w:rsid w:val="2E4B082A"/>
    <w:rsid w:val="2E5D4E86"/>
    <w:rsid w:val="2E5D790B"/>
    <w:rsid w:val="2E8857B6"/>
    <w:rsid w:val="2E9A3C18"/>
    <w:rsid w:val="2EBB0FEE"/>
    <w:rsid w:val="2EC63002"/>
    <w:rsid w:val="2EE05EE4"/>
    <w:rsid w:val="2EF23759"/>
    <w:rsid w:val="2F0A6B38"/>
    <w:rsid w:val="2F1D5E85"/>
    <w:rsid w:val="2F4309AA"/>
    <w:rsid w:val="2F736B61"/>
    <w:rsid w:val="2F804D60"/>
    <w:rsid w:val="2F946CCB"/>
    <w:rsid w:val="2FC83C1B"/>
    <w:rsid w:val="2FD25781"/>
    <w:rsid w:val="2FFD7934"/>
    <w:rsid w:val="304C71C8"/>
    <w:rsid w:val="30733ACD"/>
    <w:rsid w:val="308C3862"/>
    <w:rsid w:val="309379D8"/>
    <w:rsid w:val="30A270F7"/>
    <w:rsid w:val="30DF1478"/>
    <w:rsid w:val="30EC586F"/>
    <w:rsid w:val="319C6071"/>
    <w:rsid w:val="31AC537E"/>
    <w:rsid w:val="31E3679B"/>
    <w:rsid w:val="31E732FD"/>
    <w:rsid w:val="31F12C79"/>
    <w:rsid w:val="320F6CDC"/>
    <w:rsid w:val="32517576"/>
    <w:rsid w:val="32A64673"/>
    <w:rsid w:val="32A75AFA"/>
    <w:rsid w:val="32BE5C2C"/>
    <w:rsid w:val="32FB6478"/>
    <w:rsid w:val="33263B3F"/>
    <w:rsid w:val="336963EB"/>
    <w:rsid w:val="33816EEB"/>
    <w:rsid w:val="33884441"/>
    <w:rsid w:val="33B27EA1"/>
    <w:rsid w:val="33CC41C8"/>
    <w:rsid w:val="33EB55CD"/>
    <w:rsid w:val="33EC4C02"/>
    <w:rsid w:val="340D2360"/>
    <w:rsid w:val="3410665D"/>
    <w:rsid w:val="3412150E"/>
    <w:rsid w:val="34211214"/>
    <w:rsid w:val="342E63AB"/>
    <w:rsid w:val="3441723A"/>
    <w:rsid w:val="344F012B"/>
    <w:rsid w:val="345B2DEA"/>
    <w:rsid w:val="34950E68"/>
    <w:rsid w:val="34986E94"/>
    <w:rsid w:val="34AF62C9"/>
    <w:rsid w:val="34CB4388"/>
    <w:rsid w:val="34D9416C"/>
    <w:rsid w:val="34E713F0"/>
    <w:rsid w:val="34FA6E12"/>
    <w:rsid w:val="350C3926"/>
    <w:rsid w:val="35370EFE"/>
    <w:rsid w:val="354D7158"/>
    <w:rsid w:val="358D25A4"/>
    <w:rsid w:val="358D5588"/>
    <w:rsid w:val="358E7177"/>
    <w:rsid w:val="363A3B40"/>
    <w:rsid w:val="365302AE"/>
    <w:rsid w:val="36607A0A"/>
    <w:rsid w:val="366E227C"/>
    <w:rsid w:val="366F2E0D"/>
    <w:rsid w:val="367B6A5C"/>
    <w:rsid w:val="368B2EC8"/>
    <w:rsid w:val="36A463BA"/>
    <w:rsid w:val="36A74ADA"/>
    <w:rsid w:val="36AD60D5"/>
    <w:rsid w:val="36B224F9"/>
    <w:rsid w:val="36EC0CC9"/>
    <w:rsid w:val="373F410B"/>
    <w:rsid w:val="374A41B9"/>
    <w:rsid w:val="37BE56CE"/>
    <w:rsid w:val="37EE7094"/>
    <w:rsid w:val="38050FF2"/>
    <w:rsid w:val="38296C89"/>
    <w:rsid w:val="383002EB"/>
    <w:rsid w:val="38586797"/>
    <w:rsid w:val="385B22D8"/>
    <w:rsid w:val="38912AC0"/>
    <w:rsid w:val="38BC0149"/>
    <w:rsid w:val="38C12989"/>
    <w:rsid w:val="38D87D1C"/>
    <w:rsid w:val="3950430F"/>
    <w:rsid w:val="39636459"/>
    <w:rsid w:val="396B7F6C"/>
    <w:rsid w:val="39805E49"/>
    <w:rsid w:val="39B417A9"/>
    <w:rsid w:val="39EE41D7"/>
    <w:rsid w:val="39FC5695"/>
    <w:rsid w:val="3A006D8E"/>
    <w:rsid w:val="3A3651E5"/>
    <w:rsid w:val="3A744481"/>
    <w:rsid w:val="3A8C7BEF"/>
    <w:rsid w:val="3A906246"/>
    <w:rsid w:val="3AAA77AD"/>
    <w:rsid w:val="3AB72576"/>
    <w:rsid w:val="3ABD025E"/>
    <w:rsid w:val="3AED3FC9"/>
    <w:rsid w:val="3AFE01B5"/>
    <w:rsid w:val="3B2349B7"/>
    <w:rsid w:val="3B457B92"/>
    <w:rsid w:val="3B616CFF"/>
    <w:rsid w:val="3B6259F6"/>
    <w:rsid w:val="3B64027F"/>
    <w:rsid w:val="3B976654"/>
    <w:rsid w:val="3BC01EFC"/>
    <w:rsid w:val="3BCA786A"/>
    <w:rsid w:val="3BD31E2F"/>
    <w:rsid w:val="3BF15831"/>
    <w:rsid w:val="3C105946"/>
    <w:rsid w:val="3C471448"/>
    <w:rsid w:val="3C5F759A"/>
    <w:rsid w:val="3C6C525A"/>
    <w:rsid w:val="3CAC7473"/>
    <w:rsid w:val="3CCE23CB"/>
    <w:rsid w:val="3CD17D17"/>
    <w:rsid w:val="3D01066B"/>
    <w:rsid w:val="3D3C7F39"/>
    <w:rsid w:val="3D440F09"/>
    <w:rsid w:val="3D4504A0"/>
    <w:rsid w:val="3D8703E0"/>
    <w:rsid w:val="3D8734BB"/>
    <w:rsid w:val="3D9A11D4"/>
    <w:rsid w:val="3DA16D89"/>
    <w:rsid w:val="3DA364BE"/>
    <w:rsid w:val="3DE041CB"/>
    <w:rsid w:val="3DF01B80"/>
    <w:rsid w:val="3E013C0E"/>
    <w:rsid w:val="3E0D48F6"/>
    <w:rsid w:val="3E1868B4"/>
    <w:rsid w:val="3E241CE0"/>
    <w:rsid w:val="3E377251"/>
    <w:rsid w:val="3E42664B"/>
    <w:rsid w:val="3E5A7334"/>
    <w:rsid w:val="3E7B5D6B"/>
    <w:rsid w:val="3E843E66"/>
    <w:rsid w:val="3E8E6F34"/>
    <w:rsid w:val="3E8F51FE"/>
    <w:rsid w:val="3E926F87"/>
    <w:rsid w:val="3E9A59DE"/>
    <w:rsid w:val="3EAF4836"/>
    <w:rsid w:val="3EC33DFA"/>
    <w:rsid w:val="3EFA1269"/>
    <w:rsid w:val="3F060E16"/>
    <w:rsid w:val="3F103E47"/>
    <w:rsid w:val="3F1D1096"/>
    <w:rsid w:val="3F2F0234"/>
    <w:rsid w:val="3F49109D"/>
    <w:rsid w:val="3F6363FE"/>
    <w:rsid w:val="3F6E3E54"/>
    <w:rsid w:val="3F712A16"/>
    <w:rsid w:val="3F756B8F"/>
    <w:rsid w:val="3F95482B"/>
    <w:rsid w:val="40067BF6"/>
    <w:rsid w:val="4019356B"/>
    <w:rsid w:val="4024421B"/>
    <w:rsid w:val="40592157"/>
    <w:rsid w:val="406E1CAE"/>
    <w:rsid w:val="40A0133A"/>
    <w:rsid w:val="40C31A53"/>
    <w:rsid w:val="40D043A1"/>
    <w:rsid w:val="40FF545D"/>
    <w:rsid w:val="410067C8"/>
    <w:rsid w:val="418F0D2A"/>
    <w:rsid w:val="41D01505"/>
    <w:rsid w:val="41DE5C34"/>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097CF2"/>
    <w:rsid w:val="4430589B"/>
    <w:rsid w:val="44544367"/>
    <w:rsid w:val="445A3FC1"/>
    <w:rsid w:val="44873D87"/>
    <w:rsid w:val="449101DD"/>
    <w:rsid w:val="449D00C3"/>
    <w:rsid w:val="44DE1391"/>
    <w:rsid w:val="44E97F1E"/>
    <w:rsid w:val="44EF319E"/>
    <w:rsid w:val="450D7972"/>
    <w:rsid w:val="451B225C"/>
    <w:rsid w:val="452410C9"/>
    <w:rsid w:val="45317DFB"/>
    <w:rsid w:val="45333E46"/>
    <w:rsid w:val="456171DE"/>
    <w:rsid w:val="456D3CE4"/>
    <w:rsid w:val="45732218"/>
    <w:rsid w:val="4579042C"/>
    <w:rsid w:val="457F0571"/>
    <w:rsid w:val="45851176"/>
    <w:rsid w:val="45997C2E"/>
    <w:rsid w:val="459A50A1"/>
    <w:rsid w:val="45C63B94"/>
    <w:rsid w:val="45E018F6"/>
    <w:rsid w:val="46024EDA"/>
    <w:rsid w:val="46066954"/>
    <w:rsid w:val="460E7DA5"/>
    <w:rsid w:val="461A41DC"/>
    <w:rsid w:val="46422483"/>
    <w:rsid w:val="4659254A"/>
    <w:rsid w:val="465B0637"/>
    <w:rsid w:val="465E3F0D"/>
    <w:rsid w:val="466A16E6"/>
    <w:rsid w:val="46851764"/>
    <w:rsid w:val="46893F2B"/>
    <w:rsid w:val="46C4686E"/>
    <w:rsid w:val="477B778F"/>
    <w:rsid w:val="478203EC"/>
    <w:rsid w:val="47A649BA"/>
    <w:rsid w:val="47B025FA"/>
    <w:rsid w:val="4809698F"/>
    <w:rsid w:val="4811697D"/>
    <w:rsid w:val="4844218A"/>
    <w:rsid w:val="484641EE"/>
    <w:rsid w:val="4846652C"/>
    <w:rsid w:val="48622294"/>
    <w:rsid w:val="487A3E25"/>
    <w:rsid w:val="488B5503"/>
    <w:rsid w:val="48937E21"/>
    <w:rsid w:val="489A0361"/>
    <w:rsid w:val="48B94FF3"/>
    <w:rsid w:val="48E34290"/>
    <w:rsid w:val="48E37AAB"/>
    <w:rsid w:val="48FD4B4C"/>
    <w:rsid w:val="490A68E0"/>
    <w:rsid w:val="491055FE"/>
    <w:rsid w:val="493279A7"/>
    <w:rsid w:val="495F5B3E"/>
    <w:rsid w:val="496F77D7"/>
    <w:rsid w:val="497654FD"/>
    <w:rsid w:val="498B1257"/>
    <w:rsid w:val="499D14AD"/>
    <w:rsid w:val="49A12C44"/>
    <w:rsid w:val="49B64211"/>
    <w:rsid w:val="49F6167F"/>
    <w:rsid w:val="4A064FA0"/>
    <w:rsid w:val="4A16615C"/>
    <w:rsid w:val="4A2B48AC"/>
    <w:rsid w:val="4A4424D7"/>
    <w:rsid w:val="4A8833B6"/>
    <w:rsid w:val="4A8A2C48"/>
    <w:rsid w:val="4AB82D0F"/>
    <w:rsid w:val="4AC1191B"/>
    <w:rsid w:val="4AEB7664"/>
    <w:rsid w:val="4AFD7C19"/>
    <w:rsid w:val="4B0567D1"/>
    <w:rsid w:val="4B236AAE"/>
    <w:rsid w:val="4B6433B6"/>
    <w:rsid w:val="4B707271"/>
    <w:rsid w:val="4B9739F7"/>
    <w:rsid w:val="4BEE2503"/>
    <w:rsid w:val="4C245A30"/>
    <w:rsid w:val="4C676029"/>
    <w:rsid w:val="4C8D7957"/>
    <w:rsid w:val="4CB372A5"/>
    <w:rsid w:val="4CB607FA"/>
    <w:rsid w:val="4CB6685F"/>
    <w:rsid w:val="4CC367FE"/>
    <w:rsid w:val="4D077F3C"/>
    <w:rsid w:val="4D123355"/>
    <w:rsid w:val="4D2A3B31"/>
    <w:rsid w:val="4D312C52"/>
    <w:rsid w:val="4D905305"/>
    <w:rsid w:val="4D964A72"/>
    <w:rsid w:val="4D9C1254"/>
    <w:rsid w:val="4DF1794E"/>
    <w:rsid w:val="4E49427D"/>
    <w:rsid w:val="4E772300"/>
    <w:rsid w:val="4E793892"/>
    <w:rsid w:val="4E800872"/>
    <w:rsid w:val="4EC569ED"/>
    <w:rsid w:val="4ED50EA1"/>
    <w:rsid w:val="4EEA6022"/>
    <w:rsid w:val="4EEC050C"/>
    <w:rsid w:val="4F104EC3"/>
    <w:rsid w:val="4F47354A"/>
    <w:rsid w:val="4F4F615E"/>
    <w:rsid w:val="4F911C54"/>
    <w:rsid w:val="4FE145CA"/>
    <w:rsid w:val="4FE625E0"/>
    <w:rsid w:val="4FE813C7"/>
    <w:rsid w:val="50174CE2"/>
    <w:rsid w:val="5021480F"/>
    <w:rsid w:val="502516B7"/>
    <w:rsid w:val="5040549D"/>
    <w:rsid w:val="50962ECB"/>
    <w:rsid w:val="50A42E38"/>
    <w:rsid w:val="50A4577F"/>
    <w:rsid w:val="50B73D1F"/>
    <w:rsid w:val="50BD5BC9"/>
    <w:rsid w:val="50C11EEE"/>
    <w:rsid w:val="50D9738E"/>
    <w:rsid w:val="50E97CFC"/>
    <w:rsid w:val="50FA4028"/>
    <w:rsid w:val="510D65B7"/>
    <w:rsid w:val="511157AB"/>
    <w:rsid w:val="513553DE"/>
    <w:rsid w:val="5142540C"/>
    <w:rsid w:val="51646D99"/>
    <w:rsid w:val="516923D4"/>
    <w:rsid w:val="518832C8"/>
    <w:rsid w:val="51942748"/>
    <w:rsid w:val="51A0432A"/>
    <w:rsid w:val="51A86090"/>
    <w:rsid w:val="51B7396D"/>
    <w:rsid w:val="51C67A84"/>
    <w:rsid w:val="51C91D29"/>
    <w:rsid w:val="51DA390D"/>
    <w:rsid w:val="51DB5712"/>
    <w:rsid w:val="51E233BD"/>
    <w:rsid w:val="51E872B2"/>
    <w:rsid w:val="522E4CC3"/>
    <w:rsid w:val="5244713B"/>
    <w:rsid w:val="52615633"/>
    <w:rsid w:val="528663B7"/>
    <w:rsid w:val="52977FD4"/>
    <w:rsid w:val="52A25790"/>
    <w:rsid w:val="52A96B6F"/>
    <w:rsid w:val="52B45975"/>
    <w:rsid w:val="52D36E84"/>
    <w:rsid w:val="52D94AA4"/>
    <w:rsid w:val="52E92F91"/>
    <w:rsid w:val="52EA3A62"/>
    <w:rsid w:val="52F50BB8"/>
    <w:rsid w:val="52FB52AE"/>
    <w:rsid w:val="53097272"/>
    <w:rsid w:val="53544462"/>
    <w:rsid w:val="538A0372"/>
    <w:rsid w:val="539536DF"/>
    <w:rsid w:val="5397158E"/>
    <w:rsid w:val="53BF4ACF"/>
    <w:rsid w:val="53C4113B"/>
    <w:rsid w:val="54013861"/>
    <w:rsid w:val="543D116E"/>
    <w:rsid w:val="54487265"/>
    <w:rsid w:val="544D6070"/>
    <w:rsid w:val="54605E1E"/>
    <w:rsid w:val="54951BA0"/>
    <w:rsid w:val="54B3506A"/>
    <w:rsid w:val="54CA0D16"/>
    <w:rsid w:val="54DB0458"/>
    <w:rsid w:val="54DD4057"/>
    <w:rsid w:val="54E67898"/>
    <w:rsid w:val="54E7490F"/>
    <w:rsid w:val="55061018"/>
    <w:rsid w:val="550764A4"/>
    <w:rsid w:val="550B2BF6"/>
    <w:rsid w:val="55214EB5"/>
    <w:rsid w:val="55364EFD"/>
    <w:rsid w:val="555D4828"/>
    <w:rsid w:val="557A4C8B"/>
    <w:rsid w:val="558931E1"/>
    <w:rsid w:val="55923347"/>
    <w:rsid w:val="55925180"/>
    <w:rsid w:val="55983B1B"/>
    <w:rsid w:val="55A1262F"/>
    <w:rsid w:val="55A8376B"/>
    <w:rsid w:val="55DC29B6"/>
    <w:rsid w:val="55DD4241"/>
    <w:rsid w:val="56015B6A"/>
    <w:rsid w:val="562763BA"/>
    <w:rsid w:val="562F248D"/>
    <w:rsid w:val="565754A4"/>
    <w:rsid w:val="566B6D1E"/>
    <w:rsid w:val="569E129D"/>
    <w:rsid w:val="56BC7408"/>
    <w:rsid w:val="56C94866"/>
    <w:rsid w:val="57032A2C"/>
    <w:rsid w:val="57064221"/>
    <w:rsid w:val="570F5219"/>
    <w:rsid w:val="573011B4"/>
    <w:rsid w:val="573D10A5"/>
    <w:rsid w:val="575D12B5"/>
    <w:rsid w:val="57610A87"/>
    <w:rsid w:val="577B1140"/>
    <w:rsid w:val="577B7F21"/>
    <w:rsid w:val="577F181B"/>
    <w:rsid w:val="57921984"/>
    <w:rsid w:val="57961A49"/>
    <w:rsid w:val="579737F0"/>
    <w:rsid w:val="57AB7B30"/>
    <w:rsid w:val="57AF5251"/>
    <w:rsid w:val="57B26373"/>
    <w:rsid w:val="57B63F04"/>
    <w:rsid w:val="57CA6C3D"/>
    <w:rsid w:val="57CD20C2"/>
    <w:rsid w:val="57D675AB"/>
    <w:rsid w:val="57D95FDD"/>
    <w:rsid w:val="58196BC3"/>
    <w:rsid w:val="58387191"/>
    <w:rsid w:val="58917D2F"/>
    <w:rsid w:val="5894085C"/>
    <w:rsid w:val="58AE4F0C"/>
    <w:rsid w:val="58B85899"/>
    <w:rsid w:val="58E363A9"/>
    <w:rsid w:val="59141E07"/>
    <w:rsid w:val="591D139D"/>
    <w:rsid w:val="592310BA"/>
    <w:rsid w:val="593662A4"/>
    <w:rsid w:val="595E1678"/>
    <w:rsid w:val="596D5BD4"/>
    <w:rsid w:val="597E3DD8"/>
    <w:rsid w:val="59D47303"/>
    <w:rsid w:val="59F80043"/>
    <w:rsid w:val="5A09252F"/>
    <w:rsid w:val="5A0B2778"/>
    <w:rsid w:val="5A2A7C7B"/>
    <w:rsid w:val="5A3E2560"/>
    <w:rsid w:val="5A5D3B6E"/>
    <w:rsid w:val="5A637A76"/>
    <w:rsid w:val="5A6D33BA"/>
    <w:rsid w:val="5A792B1F"/>
    <w:rsid w:val="5A7B0A82"/>
    <w:rsid w:val="5A874767"/>
    <w:rsid w:val="5AA85BE2"/>
    <w:rsid w:val="5AAD6F28"/>
    <w:rsid w:val="5AB166D1"/>
    <w:rsid w:val="5ACD02B2"/>
    <w:rsid w:val="5AD63A24"/>
    <w:rsid w:val="5B0270FA"/>
    <w:rsid w:val="5B2E1A1D"/>
    <w:rsid w:val="5B843A1C"/>
    <w:rsid w:val="5B873E3F"/>
    <w:rsid w:val="5BAE335A"/>
    <w:rsid w:val="5BBD05CF"/>
    <w:rsid w:val="5C02690E"/>
    <w:rsid w:val="5C196DA7"/>
    <w:rsid w:val="5C2A048C"/>
    <w:rsid w:val="5C80234E"/>
    <w:rsid w:val="5C8A680C"/>
    <w:rsid w:val="5D0C4701"/>
    <w:rsid w:val="5D0F0395"/>
    <w:rsid w:val="5D221076"/>
    <w:rsid w:val="5D397964"/>
    <w:rsid w:val="5D5A391C"/>
    <w:rsid w:val="5D5F10C0"/>
    <w:rsid w:val="5D6337FE"/>
    <w:rsid w:val="5D883BE2"/>
    <w:rsid w:val="5D891B7B"/>
    <w:rsid w:val="5DAD38EE"/>
    <w:rsid w:val="5DD44B77"/>
    <w:rsid w:val="5E006862"/>
    <w:rsid w:val="5E0207B9"/>
    <w:rsid w:val="5E1834A1"/>
    <w:rsid w:val="5E261785"/>
    <w:rsid w:val="5E357674"/>
    <w:rsid w:val="5E4A2CDD"/>
    <w:rsid w:val="5E4A7017"/>
    <w:rsid w:val="5E513BFF"/>
    <w:rsid w:val="5E552BBA"/>
    <w:rsid w:val="5E611C10"/>
    <w:rsid w:val="5E7A0F3F"/>
    <w:rsid w:val="5EE41FF6"/>
    <w:rsid w:val="5EFC7377"/>
    <w:rsid w:val="5F012A1A"/>
    <w:rsid w:val="5F06174D"/>
    <w:rsid w:val="5F3A3602"/>
    <w:rsid w:val="5F45733B"/>
    <w:rsid w:val="5F6277C6"/>
    <w:rsid w:val="5F6D0B1D"/>
    <w:rsid w:val="5F8D0B82"/>
    <w:rsid w:val="5FCC5339"/>
    <w:rsid w:val="5FD55427"/>
    <w:rsid w:val="5FE34A5B"/>
    <w:rsid w:val="5FFE1E36"/>
    <w:rsid w:val="60232584"/>
    <w:rsid w:val="605864BB"/>
    <w:rsid w:val="6066775D"/>
    <w:rsid w:val="607330CE"/>
    <w:rsid w:val="60825176"/>
    <w:rsid w:val="609C3700"/>
    <w:rsid w:val="609F2AC4"/>
    <w:rsid w:val="60A62B0A"/>
    <w:rsid w:val="60B47851"/>
    <w:rsid w:val="60CD738E"/>
    <w:rsid w:val="60DF6A3A"/>
    <w:rsid w:val="60FA2EE8"/>
    <w:rsid w:val="61054A27"/>
    <w:rsid w:val="610A52BC"/>
    <w:rsid w:val="611D2366"/>
    <w:rsid w:val="61421856"/>
    <w:rsid w:val="615227C4"/>
    <w:rsid w:val="61654E3F"/>
    <w:rsid w:val="6182292A"/>
    <w:rsid w:val="619F7F92"/>
    <w:rsid w:val="61B706CE"/>
    <w:rsid w:val="61BA6334"/>
    <w:rsid w:val="61C21793"/>
    <w:rsid w:val="61F94C26"/>
    <w:rsid w:val="62000E56"/>
    <w:rsid w:val="62244584"/>
    <w:rsid w:val="624F3E49"/>
    <w:rsid w:val="62632286"/>
    <w:rsid w:val="626677C5"/>
    <w:rsid w:val="627825B4"/>
    <w:rsid w:val="627B3D15"/>
    <w:rsid w:val="62885958"/>
    <w:rsid w:val="629243F9"/>
    <w:rsid w:val="62F40B65"/>
    <w:rsid w:val="62FC2CFE"/>
    <w:rsid w:val="63024505"/>
    <w:rsid w:val="63370A08"/>
    <w:rsid w:val="635B1DB5"/>
    <w:rsid w:val="63711FED"/>
    <w:rsid w:val="63880DDC"/>
    <w:rsid w:val="638D750D"/>
    <w:rsid w:val="63AC6CC0"/>
    <w:rsid w:val="64053224"/>
    <w:rsid w:val="64055776"/>
    <w:rsid w:val="64240056"/>
    <w:rsid w:val="642A0284"/>
    <w:rsid w:val="64396AE1"/>
    <w:rsid w:val="643E143A"/>
    <w:rsid w:val="648B6EEF"/>
    <w:rsid w:val="64C158BF"/>
    <w:rsid w:val="64CC32E6"/>
    <w:rsid w:val="64CE2EAA"/>
    <w:rsid w:val="64D03DBB"/>
    <w:rsid w:val="64F546EB"/>
    <w:rsid w:val="6505265E"/>
    <w:rsid w:val="653C3090"/>
    <w:rsid w:val="65854376"/>
    <w:rsid w:val="658767BE"/>
    <w:rsid w:val="65892531"/>
    <w:rsid w:val="65F94E03"/>
    <w:rsid w:val="660109D5"/>
    <w:rsid w:val="66195831"/>
    <w:rsid w:val="662E75B1"/>
    <w:rsid w:val="66342C2E"/>
    <w:rsid w:val="663A30CA"/>
    <w:rsid w:val="663E784C"/>
    <w:rsid w:val="66551A38"/>
    <w:rsid w:val="668B6A45"/>
    <w:rsid w:val="66900F27"/>
    <w:rsid w:val="672F3F24"/>
    <w:rsid w:val="673153FE"/>
    <w:rsid w:val="673E055F"/>
    <w:rsid w:val="67551CE3"/>
    <w:rsid w:val="677457A5"/>
    <w:rsid w:val="67A22552"/>
    <w:rsid w:val="67B22DCC"/>
    <w:rsid w:val="67BE71AA"/>
    <w:rsid w:val="67BF4B9E"/>
    <w:rsid w:val="67CE0E6D"/>
    <w:rsid w:val="67D90273"/>
    <w:rsid w:val="67DE5875"/>
    <w:rsid w:val="67DE61E5"/>
    <w:rsid w:val="67E55852"/>
    <w:rsid w:val="67EB1AB4"/>
    <w:rsid w:val="67FA1285"/>
    <w:rsid w:val="68551F4F"/>
    <w:rsid w:val="687C10C9"/>
    <w:rsid w:val="68840C16"/>
    <w:rsid w:val="68876EFB"/>
    <w:rsid w:val="68884654"/>
    <w:rsid w:val="689F444F"/>
    <w:rsid w:val="68B96DBB"/>
    <w:rsid w:val="68CA2805"/>
    <w:rsid w:val="68E937A3"/>
    <w:rsid w:val="68F574AD"/>
    <w:rsid w:val="692D2772"/>
    <w:rsid w:val="693E15D3"/>
    <w:rsid w:val="69627681"/>
    <w:rsid w:val="6977531D"/>
    <w:rsid w:val="69CC2BFF"/>
    <w:rsid w:val="69D37C39"/>
    <w:rsid w:val="69D5500C"/>
    <w:rsid w:val="69FD55B8"/>
    <w:rsid w:val="6A0B1C62"/>
    <w:rsid w:val="6A1712BA"/>
    <w:rsid w:val="6A2406C8"/>
    <w:rsid w:val="6A735D3F"/>
    <w:rsid w:val="6A8F2B46"/>
    <w:rsid w:val="6AAC3DBC"/>
    <w:rsid w:val="6AD72BC4"/>
    <w:rsid w:val="6ADE0BD1"/>
    <w:rsid w:val="6AE57B8E"/>
    <w:rsid w:val="6AE96859"/>
    <w:rsid w:val="6B144CB4"/>
    <w:rsid w:val="6B147746"/>
    <w:rsid w:val="6B24787C"/>
    <w:rsid w:val="6B2B7159"/>
    <w:rsid w:val="6B2F08B0"/>
    <w:rsid w:val="6B573233"/>
    <w:rsid w:val="6B5B6274"/>
    <w:rsid w:val="6B901534"/>
    <w:rsid w:val="6B935D53"/>
    <w:rsid w:val="6B957B7D"/>
    <w:rsid w:val="6BD57D6A"/>
    <w:rsid w:val="6C057AC4"/>
    <w:rsid w:val="6C196F71"/>
    <w:rsid w:val="6C226FCB"/>
    <w:rsid w:val="6C31226F"/>
    <w:rsid w:val="6C552F0B"/>
    <w:rsid w:val="6C8C67B7"/>
    <w:rsid w:val="6C9D744C"/>
    <w:rsid w:val="6CD37D66"/>
    <w:rsid w:val="6CFE67A8"/>
    <w:rsid w:val="6D167928"/>
    <w:rsid w:val="6D26299B"/>
    <w:rsid w:val="6D3C724E"/>
    <w:rsid w:val="6D4772EC"/>
    <w:rsid w:val="6D497322"/>
    <w:rsid w:val="6D9078AF"/>
    <w:rsid w:val="6D93013A"/>
    <w:rsid w:val="6DA83533"/>
    <w:rsid w:val="6DAA3FEF"/>
    <w:rsid w:val="6DC0172B"/>
    <w:rsid w:val="6DCB690C"/>
    <w:rsid w:val="6DD0186C"/>
    <w:rsid w:val="6DD41A5B"/>
    <w:rsid w:val="6DF43C2E"/>
    <w:rsid w:val="6DF51CA3"/>
    <w:rsid w:val="6E8244D5"/>
    <w:rsid w:val="6E8335BD"/>
    <w:rsid w:val="6E8E12EF"/>
    <w:rsid w:val="6E972936"/>
    <w:rsid w:val="6EA11663"/>
    <w:rsid w:val="6ED446C5"/>
    <w:rsid w:val="6F2A7D94"/>
    <w:rsid w:val="6F4E46E0"/>
    <w:rsid w:val="6F8331F1"/>
    <w:rsid w:val="6FAE1A09"/>
    <w:rsid w:val="6FD75BF8"/>
    <w:rsid w:val="6FF9653C"/>
    <w:rsid w:val="700D7E01"/>
    <w:rsid w:val="70357BF9"/>
    <w:rsid w:val="704838E1"/>
    <w:rsid w:val="7072520E"/>
    <w:rsid w:val="707723D0"/>
    <w:rsid w:val="70C47335"/>
    <w:rsid w:val="70F5661B"/>
    <w:rsid w:val="71245A38"/>
    <w:rsid w:val="71360107"/>
    <w:rsid w:val="713B688E"/>
    <w:rsid w:val="71D43752"/>
    <w:rsid w:val="71E36DE0"/>
    <w:rsid w:val="71F1796A"/>
    <w:rsid w:val="720160E2"/>
    <w:rsid w:val="720642E5"/>
    <w:rsid w:val="72154626"/>
    <w:rsid w:val="72262B5D"/>
    <w:rsid w:val="72283FF7"/>
    <w:rsid w:val="722E7212"/>
    <w:rsid w:val="723269E0"/>
    <w:rsid w:val="723A0474"/>
    <w:rsid w:val="725923E4"/>
    <w:rsid w:val="72864BF7"/>
    <w:rsid w:val="729023FC"/>
    <w:rsid w:val="729B22F4"/>
    <w:rsid w:val="73256E58"/>
    <w:rsid w:val="73C0646E"/>
    <w:rsid w:val="73DE1B2A"/>
    <w:rsid w:val="741950C6"/>
    <w:rsid w:val="742222F5"/>
    <w:rsid w:val="74476126"/>
    <w:rsid w:val="74706664"/>
    <w:rsid w:val="747F3682"/>
    <w:rsid w:val="749C4185"/>
    <w:rsid w:val="74BA607F"/>
    <w:rsid w:val="74D077F7"/>
    <w:rsid w:val="74E31136"/>
    <w:rsid w:val="75067759"/>
    <w:rsid w:val="75271ADB"/>
    <w:rsid w:val="752E6DCD"/>
    <w:rsid w:val="753171A7"/>
    <w:rsid w:val="75323089"/>
    <w:rsid w:val="7551380D"/>
    <w:rsid w:val="75600BE5"/>
    <w:rsid w:val="7564475C"/>
    <w:rsid w:val="75711329"/>
    <w:rsid w:val="7583797F"/>
    <w:rsid w:val="75D20F1D"/>
    <w:rsid w:val="75D4668A"/>
    <w:rsid w:val="75DA2C18"/>
    <w:rsid w:val="75F54412"/>
    <w:rsid w:val="760F67F7"/>
    <w:rsid w:val="761D08E0"/>
    <w:rsid w:val="76562F27"/>
    <w:rsid w:val="765D347C"/>
    <w:rsid w:val="76731A4A"/>
    <w:rsid w:val="767C3E14"/>
    <w:rsid w:val="76826699"/>
    <w:rsid w:val="76C87133"/>
    <w:rsid w:val="76CD08D5"/>
    <w:rsid w:val="76D914DE"/>
    <w:rsid w:val="76DB4B92"/>
    <w:rsid w:val="77052AA4"/>
    <w:rsid w:val="77136511"/>
    <w:rsid w:val="77340A39"/>
    <w:rsid w:val="77351FD0"/>
    <w:rsid w:val="77472422"/>
    <w:rsid w:val="77613082"/>
    <w:rsid w:val="777F31F2"/>
    <w:rsid w:val="77D1700D"/>
    <w:rsid w:val="77EC04CC"/>
    <w:rsid w:val="780C402D"/>
    <w:rsid w:val="78775729"/>
    <w:rsid w:val="78A42DB0"/>
    <w:rsid w:val="78A656AB"/>
    <w:rsid w:val="78B2245C"/>
    <w:rsid w:val="78E172CC"/>
    <w:rsid w:val="78EA1D1F"/>
    <w:rsid w:val="7904172F"/>
    <w:rsid w:val="790A1833"/>
    <w:rsid w:val="790F7E27"/>
    <w:rsid w:val="792A231A"/>
    <w:rsid w:val="79316829"/>
    <w:rsid w:val="79541533"/>
    <w:rsid w:val="797E66A9"/>
    <w:rsid w:val="79A97383"/>
    <w:rsid w:val="79E27E8B"/>
    <w:rsid w:val="79F850CE"/>
    <w:rsid w:val="79FC627C"/>
    <w:rsid w:val="79FD443C"/>
    <w:rsid w:val="7A1D1975"/>
    <w:rsid w:val="7A2F64B4"/>
    <w:rsid w:val="7A3E5150"/>
    <w:rsid w:val="7A4670D6"/>
    <w:rsid w:val="7A534B63"/>
    <w:rsid w:val="7A615382"/>
    <w:rsid w:val="7A67303B"/>
    <w:rsid w:val="7A6D2D50"/>
    <w:rsid w:val="7A8E180C"/>
    <w:rsid w:val="7AAB1D04"/>
    <w:rsid w:val="7ABA4368"/>
    <w:rsid w:val="7AD05746"/>
    <w:rsid w:val="7AD135D9"/>
    <w:rsid w:val="7B1A68D4"/>
    <w:rsid w:val="7B257FFD"/>
    <w:rsid w:val="7B343476"/>
    <w:rsid w:val="7B3D7ADD"/>
    <w:rsid w:val="7B5A2978"/>
    <w:rsid w:val="7B5A7E4C"/>
    <w:rsid w:val="7B667AF9"/>
    <w:rsid w:val="7B6D1C23"/>
    <w:rsid w:val="7B7468F8"/>
    <w:rsid w:val="7BEE0103"/>
    <w:rsid w:val="7C0A0FE4"/>
    <w:rsid w:val="7C25327A"/>
    <w:rsid w:val="7C254906"/>
    <w:rsid w:val="7C527043"/>
    <w:rsid w:val="7C590818"/>
    <w:rsid w:val="7C6E4C43"/>
    <w:rsid w:val="7C7C10F6"/>
    <w:rsid w:val="7C853BEA"/>
    <w:rsid w:val="7C881368"/>
    <w:rsid w:val="7CA91A5C"/>
    <w:rsid w:val="7CE27788"/>
    <w:rsid w:val="7CE50649"/>
    <w:rsid w:val="7CE97914"/>
    <w:rsid w:val="7D0357E5"/>
    <w:rsid w:val="7D0C32F1"/>
    <w:rsid w:val="7D0F408D"/>
    <w:rsid w:val="7D2C43CA"/>
    <w:rsid w:val="7D473F98"/>
    <w:rsid w:val="7D491C6C"/>
    <w:rsid w:val="7D5429C0"/>
    <w:rsid w:val="7D6E6D43"/>
    <w:rsid w:val="7D7069D2"/>
    <w:rsid w:val="7DB57A34"/>
    <w:rsid w:val="7DE60973"/>
    <w:rsid w:val="7DEF0916"/>
    <w:rsid w:val="7E1E5218"/>
    <w:rsid w:val="7E545BB3"/>
    <w:rsid w:val="7E9A4E1F"/>
    <w:rsid w:val="7EA7723A"/>
    <w:rsid w:val="7EF56FBB"/>
    <w:rsid w:val="7F0768EB"/>
    <w:rsid w:val="7F143BEC"/>
    <w:rsid w:val="7F715AF2"/>
    <w:rsid w:val="7F8259C3"/>
    <w:rsid w:val="7F886E69"/>
    <w:rsid w:val="7FEC3323"/>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4"/>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0"/>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4"/>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4"/>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5"/>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79"/>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0"/>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6"/>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199"/>
    <w:autoRedefine/>
    <w:qFormat/>
    <w:uiPriority w:val="0"/>
    <w:pPr>
      <w:shd w:val="clear" w:color="auto" w:fill="000080"/>
    </w:pPr>
  </w:style>
  <w:style w:type="paragraph" w:styleId="19">
    <w:name w:val="annotation text"/>
    <w:basedOn w:val="1"/>
    <w:link w:val="341"/>
    <w:autoRedefine/>
    <w:qFormat/>
    <w:uiPriority w:val="99"/>
    <w:pPr>
      <w:jc w:val="left"/>
    </w:pPr>
  </w:style>
  <w:style w:type="paragraph" w:styleId="20">
    <w:name w:val="Salutation"/>
    <w:basedOn w:val="1"/>
    <w:next w:val="1"/>
    <w:link w:val="295"/>
    <w:autoRedefine/>
    <w:qFormat/>
    <w:uiPriority w:val="0"/>
    <w:rPr>
      <w:rFonts w:ascii="仿宋_GB2312" w:eastAsia="仿宋_GB2312"/>
      <w:sz w:val="28"/>
      <w:szCs w:val="20"/>
    </w:rPr>
  </w:style>
  <w:style w:type="paragraph" w:styleId="21">
    <w:name w:val="Body Text 3"/>
    <w:basedOn w:val="1"/>
    <w:link w:val="327"/>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318"/>
    <w:autoRedefine/>
    <w:qFormat/>
    <w:uiPriority w:val="0"/>
    <w:pPr>
      <w:ind w:firstLine="420"/>
    </w:pPr>
    <w:rPr>
      <w:rFonts w:hAnsi="Calibri" w:cs="Times New Roman"/>
      <w:snapToGrid/>
      <w:szCs w:val="20"/>
    </w:rPr>
  </w:style>
  <w:style w:type="paragraph" w:styleId="25">
    <w:name w:val="toc 6"/>
    <w:basedOn w:val="1"/>
    <w:next w:val="1"/>
    <w:autoRedefine/>
    <w:qFormat/>
    <w:uiPriority w:val="0"/>
    <w:pPr>
      <w:ind w:left="2100" w:leftChars="1000"/>
    </w:pPr>
  </w:style>
  <w:style w:type="paragraph" w:styleId="26">
    <w:name w:val="Body Text Indent"/>
    <w:basedOn w:val="1"/>
    <w:next w:val="1"/>
    <w:link w:val="262"/>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6"/>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2"/>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78"/>
    <w:autoRedefine/>
    <w:qFormat/>
    <w:uiPriority w:val="0"/>
    <w:pPr>
      <w:ind w:left="100" w:leftChars="2500"/>
    </w:pPr>
    <w:rPr>
      <w:rFonts w:ascii="宋体"/>
      <w:sz w:val="24"/>
      <w:szCs w:val="21"/>
      <w:lang w:val="zh-CN"/>
    </w:rPr>
  </w:style>
  <w:style w:type="paragraph" w:styleId="38">
    <w:name w:val="Body Text Indent 2"/>
    <w:basedOn w:val="1"/>
    <w:link w:val="305"/>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0"/>
    <w:autoRedefine/>
    <w:qFormat/>
    <w:uiPriority w:val="0"/>
    <w:rPr>
      <w:lang w:val="zh-CN"/>
    </w:rPr>
  </w:style>
  <w:style w:type="paragraph" w:styleId="40">
    <w:name w:val="Balloon Text"/>
    <w:basedOn w:val="1"/>
    <w:link w:val="185"/>
    <w:autoRedefine/>
    <w:qFormat/>
    <w:uiPriority w:val="0"/>
    <w:rPr>
      <w:sz w:val="18"/>
      <w:szCs w:val="18"/>
    </w:rPr>
  </w:style>
  <w:style w:type="paragraph" w:styleId="41">
    <w:name w:val="footer"/>
    <w:basedOn w:val="1"/>
    <w:link w:val="380"/>
    <w:autoRedefine/>
    <w:qFormat/>
    <w:uiPriority w:val="99"/>
    <w:pPr>
      <w:tabs>
        <w:tab w:val="center" w:pos="4153"/>
        <w:tab w:val="right" w:pos="8306"/>
      </w:tabs>
      <w:snapToGrid w:val="0"/>
      <w:jc w:val="left"/>
    </w:pPr>
    <w:rPr>
      <w:sz w:val="18"/>
      <w:szCs w:val="18"/>
    </w:rPr>
  </w:style>
  <w:style w:type="paragraph" w:styleId="42">
    <w:name w:val="header"/>
    <w:basedOn w:val="1"/>
    <w:link w:val="389"/>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0"/>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15"/>
    <w:link w:val="307"/>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2"/>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299"/>
    <w:autoRedefine/>
    <w:qFormat/>
    <w:uiPriority w:val="0"/>
    <w:pPr>
      <w:spacing w:after="120" w:line="480" w:lineRule="auto"/>
    </w:pPr>
  </w:style>
  <w:style w:type="paragraph" w:styleId="57">
    <w:name w:val="HTML Preformatted"/>
    <w:basedOn w:val="1"/>
    <w:link w:val="29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3"/>
    <w:autoRedefine/>
    <w:qFormat/>
    <w:uiPriority w:val="0"/>
    <w:rPr>
      <w:b/>
      <w:bCs/>
    </w:rPr>
  </w:style>
  <w:style w:type="paragraph" w:styleId="61">
    <w:name w:val="Body Text First Indent 2"/>
    <w:basedOn w:val="26"/>
    <w:next w:val="1"/>
    <w:link w:val="118"/>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character" w:customStyle="1" w:styleId="79">
    <w:name w:val="表格非标题文字 Char"/>
    <w:link w:val="80"/>
    <w:autoRedefine/>
    <w:qFormat/>
    <w:uiPriority w:val="0"/>
    <w:rPr>
      <w:rFonts w:ascii="Futura Bk" w:hAnsi="Futura Bk"/>
      <w:kern w:val="2"/>
      <w:sz w:val="18"/>
      <w:szCs w:val="21"/>
      <w:lang w:val="en-US" w:eastAsia="zh-CN" w:bidi="ar-SA"/>
    </w:rPr>
  </w:style>
  <w:style w:type="paragraph" w:customStyle="1" w:styleId="80">
    <w:name w:val="表格非标题文字"/>
    <w:link w:val="79"/>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autoRedefine/>
    <w:qFormat/>
    <w:locked/>
    <w:uiPriority w:val="0"/>
    <w:rPr>
      <w:rFonts w:ascii="宋体" w:hAnsi="宋体"/>
      <w:sz w:val="24"/>
    </w:rPr>
  </w:style>
  <w:style w:type="paragraph" w:customStyle="1" w:styleId="82">
    <w:name w:val="*正文"/>
    <w:basedOn w:val="1"/>
    <w:link w:val="81"/>
    <w:autoRedefine/>
    <w:qFormat/>
    <w:uiPriority w:val="0"/>
    <w:pPr>
      <w:snapToGrid w:val="0"/>
      <w:spacing w:line="360" w:lineRule="auto"/>
      <w:ind w:firstLine="482"/>
      <w:jc w:val="left"/>
    </w:pPr>
    <w:rPr>
      <w:rFonts w:ascii="宋体" w:hAnsi="宋体"/>
      <w:kern w:val="0"/>
      <w:sz w:val="24"/>
      <w:szCs w:val="20"/>
    </w:rPr>
  </w:style>
  <w:style w:type="character" w:customStyle="1" w:styleId="83">
    <w:name w:val="Char Char71"/>
    <w:autoRedefine/>
    <w:semiHidden/>
    <w:qFormat/>
    <w:uiPriority w:val="0"/>
    <w:rPr>
      <w:rFonts w:eastAsia="宋体"/>
      <w:kern w:val="2"/>
      <w:sz w:val="21"/>
      <w:szCs w:val="24"/>
      <w:lang w:val="en-US" w:eastAsia="zh-CN" w:bidi="ar-SA"/>
    </w:rPr>
  </w:style>
  <w:style w:type="character" w:customStyle="1" w:styleId="84">
    <w:name w:val="Char Char6"/>
    <w:autoRedefine/>
    <w:qFormat/>
    <w:uiPriority w:val="0"/>
    <w:rPr>
      <w:rFonts w:eastAsia="宋体"/>
      <w:kern w:val="2"/>
      <w:sz w:val="21"/>
      <w:szCs w:val="24"/>
      <w:lang w:val="en-US" w:eastAsia="zh-CN" w:bidi="ar-SA"/>
    </w:rPr>
  </w:style>
  <w:style w:type="character" w:customStyle="1" w:styleId="85">
    <w:name w:val="正文缩进 Char"/>
    <w:autoRedefine/>
    <w:qFormat/>
    <w:uiPriority w:val="0"/>
    <w:rPr>
      <w:rFonts w:eastAsia="宋体"/>
      <w:kern w:val="2"/>
      <w:sz w:val="21"/>
      <w:lang w:val="en-US" w:eastAsia="zh-CN"/>
    </w:rPr>
  </w:style>
  <w:style w:type="character" w:customStyle="1" w:styleId="86">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7">
    <w:name w:val="Char Char28"/>
    <w:autoRedefine/>
    <w:qFormat/>
    <w:uiPriority w:val="6"/>
    <w:rPr>
      <w:rFonts w:ascii="仿宋_GB2312" w:hAnsi="仿宋_GB2312" w:eastAsia="仿宋_GB2312"/>
      <w:kern w:val="1"/>
      <w:sz w:val="28"/>
    </w:rPr>
  </w:style>
  <w:style w:type="character" w:customStyle="1" w:styleId="88">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autoRedefine/>
    <w:qFormat/>
    <w:uiPriority w:val="6"/>
    <w:rPr>
      <w:rFonts w:ascii="Times New Roman" w:hAnsi="Times New Roman" w:eastAsia="黑体" w:cs="Times New Roman"/>
      <w:b/>
      <w:kern w:val="0"/>
      <w:sz w:val="24"/>
      <w:szCs w:val="24"/>
    </w:rPr>
  </w:style>
  <w:style w:type="character" w:customStyle="1" w:styleId="90">
    <w:name w:val="U_正文 Char"/>
    <w:link w:val="91"/>
    <w:autoRedefine/>
    <w:qFormat/>
    <w:uiPriority w:val="0"/>
    <w:rPr>
      <w:sz w:val="24"/>
      <w:szCs w:val="24"/>
    </w:rPr>
  </w:style>
  <w:style w:type="paragraph" w:customStyle="1" w:styleId="91">
    <w:name w:val="U_正文"/>
    <w:basedOn w:val="1"/>
    <w:link w:val="90"/>
    <w:autoRedefine/>
    <w:qFormat/>
    <w:uiPriority w:val="0"/>
    <w:pPr>
      <w:adjustRightInd/>
      <w:spacing w:beforeLines="20" w:afterLines="20" w:line="300" w:lineRule="auto"/>
      <w:ind w:firstLine="200" w:firstLineChars="200"/>
    </w:pPr>
    <w:rPr>
      <w:kern w:val="0"/>
      <w:sz w:val="24"/>
    </w:rPr>
  </w:style>
  <w:style w:type="character" w:customStyle="1" w:styleId="92">
    <w:name w:val="HTML 地址 Char1"/>
    <w:autoRedefine/>
    <w:qFormat/>
    <w:uiPriority w:val="0"/>
    <w:rPr>
      <w:rFonts w:ascii="Times New Roman" w:hAnsi="Times New Roman" w:eastAsia="宋体" w:cs="Times New Roman"/>
      <w:i/>
      <w:iCs/>
      <w:szCs w:val="24"/>
    </w:rPr>
  </w:style>
  <w:style w:type="character" w:customStyle="1" w:styleId="93">
    <w:name w:val="批注主题 Char1"/>
    <w:link w:val="60"/>
    <w:autoRedefine/>
    <w:qFormat/>
    <w:uiPriority w:val="0"/>
    <w:rPr>
      <w:b/>
      <w:bCs/>
      <w:kern w:val="2"/>
      <w:sz w:val="21"/>
      <w:szCs w:val="24"/>
    </w:rPr>
  </w:style>
  <w:style w:type="character" w:customStyle="1" w:styleId="94">
    <w:name w:val="Char Char51"/>
    <w:autoRedefine/>
    <w:qFormat/>
    <w:uiPriority w:val="0"/>
    <w:rPr>
      <w:rFonts w:ascii="宋体" w:hAnsi="Courier New" w:eastAsia="宋体"/>
      <w:kern w:val="2"/>
      <w:sz w:val="21"/>
      <w:lang w:val="en-US" w:eastAsia="zh-CN"/>
    </w:rPr>
  </w:style>
  <w:style w:type="character" w:customStyle="1" w:styleId="95">
    <w:name w:val="表正文 Char"/>
    <w:autoRedefine/>
    <w:qFormat/>
    <w:uiPriority w:val="0"/>
    <w:rPr>
      <w:rFonts w:ascii="宋体" w:eastAsia="宋体"/>
      <w:snapToGrid w:val="0"/>
      <w:color w:val="000000"/>
      <w:kern w:val="28"/>
      <w:sz w:val="28"/>
      <w:lang w:val="en-US" w:eastAsia="zh-CN" w:bidi="ar-SA"/>
    </w:rPr>
  </w:style>
  <w:style w:type="character" w:customStyle="1" w:styleId="96">
    <w:name w:val="Char Char34"/>
    <w:autoRedefine/>
    <w:qFormat/>
    <w:uiPriority w:val="6"/>
    <w:rPr>
      <w:b/>
      <w:kern w:val="1"/>
      <w:sz w:val="28"/>
      <w:szCs w:val="28"/>
    </w:rPr>
  </w:style>
  <w:style w:type="character" w:customStyle="1" w:styleId="97">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autoRedefine/>
    <w:qFormat/>
    <w:uiPriority w:val="0"/>
    <w:rPr>
      <w:rFonts w:ascii="宋体" w:hAnsi="宋体" w:eastAsia="宋体"/>
      <w:kern w:val="2"/>
      <w:sz w:val="24"/>
      <w:lang w:bidi="ar-SA"/>
    </w:rPr>
  </w:style>
  <w:style w:type="paragraph" w:customStyle="1" w:styleId="99">
    <w:name w:val="哈哈正文"/>
    <w:basedOn w:val="1"/>
    <w:link w:val="98"/>
    <w:autoRedefine/>
    <w:qFormat/>
    <w:uiPriority w:val="0"/>
    <w:pPr>
      <w:adjustRightInd/>
      <w:spacing w:line="360" w:lineRule="auto"/>
      <w:ind w:firstLine="200" w:firstLineChars="200"/>
    </w:pPr>
    <w:rPr>
      <w:rFonts w:ascii="宋体" w:hAnsi="宋体"/>
      <w:sz w:val="24"/>
      <w:szCs w:val="20"/>
    </w:rPr>
  </w:style>
  <w:style w:type="character" w:customStyle="1" w:styleId="100">
    <w:name w:val="未处理的提及1"/>
    <w:autoRedefine/>
    <w:qFormat/>
    <w:uiPriority w:val="0"/>
    <w:rPr>
      <w:color w:val="808080"/>
      <w:shd w:val="clear" w:color="auto" w:fill="E6E6E6"/>
    </w:rPr>
  </w:style>
  <w:style w:type="character" w:customStyle="1" w:styleId="101">
    <w:name w:val="txt"/>
    <w:autoRedefine/>
    <w:qFormat/>
    <w:uiPriority w:val="0"/>
    <w:rPr>
      <w:rFonts w:ascii="仿宋_GB2312" w:eastAsia="微软雅黑"/>
      <w:b/>
      <w:kern w:val="2"/>
      <w:sz w:val="32"/>
      <w:szCs w:val="32"/>
      <w:lang w:val="en-US" w:eastAsia="zh-CN" w:bidi="ar-SA"/>
    </w:rPr>
  </w:style>
  <w:style w:type="character" w:customStyle="1" w:styleId="102">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3">
    <w:name w:val="Char Char32"/>
    <w:autoRedefine/>
    <w:qFormat/>
    <w:uiPriority w:val="6"/>
    <w:rPr>
      <w:b/>
      <w:kern w:val="1"/>
      <w:sz w:val="24"/>
      <w:szCs w:val="24"/>
    </w:rPr>
  </w:style>
  <w:style w:type="character" w:customStyle="1" w:styleId="104">
    <w:name w:val="PI Char1"/>
    <w:autoRedefine/>
    <w:qFormat/>
    <w:uiPriority w:val="0"/>
    <w:rPr>
      <w:rFonts w:ascii="宋体" w:hAnsi="宋体"/>
      <w:kern w:val="2"/>
      <w:sz w:val="24"/>
      <w:szCs w:val="24"/>
    </w:rPr>
  </w:style>
  <w:style w:type="character" w:customStyle="1" w:styleId="105">
    <w:name w:val="tw4winTerm"/>
    <w:autoRedefine/>
    <w:qFormat/>
    <w:uiPriority w:val="0"/>
    <w:rPr>
      <w:color w:val="0000FF"/>
    </w:rPr>
  </w:style>
  <w:style w:type="character" w:customStyle="1" w:styleId="106">
    <w:name w:val="Footer Char"/>
    <w:autoRedefine/>
    <w:qFormat/>
    <w:locked/>
    <w:uiPriority w:val="0"/>
    <w:rPr>
      <w:rFonts w:eastAsia="宋体"/>
      <w:kern w:val="2"/>
      <w:sz w:val="18"/>
      <w:lang w:val="en-US" w:eastAsia="zh-CN" w:bidi="ar-SA"/>
    </w:rPr>
  </w:style>
  <w:style w:type="character" w:customStyle="1" w:styleId="107">
    <w:name w:val="普通文字 Char Char1"/>
    <w:autoRedefine/>
    <w:qFormat/>
    <w:uiPriority w:val="0"/>
    <w:rPr>
      <w:rFonts w:ascii="宋体" w:hAnsi="Courier New"/>
      <w:kern w:val="2"/>
      <w:sz w:val="21"/>
    </w:rPr>
  </w:style>
  <w:style w:type="character" w:customStyle="1" w:styleId="108">
    <w:name w:val="Char Char101"/>
    <w:autoRedefine/>
    <w:qFormat/>
    <w:uiPriority w:val="6"/>
    <w:rPr>
      <w:rFonts w:ascii="宋体" w:hAnsi="宋体"/>
      <w:kern w:val="2"/>
      <w:sz w:val="21"/>
      <w:szCs w:val="24"/>
      <w:lang w:val="en-US" w:eastAsia="zh-CN"/>
    </w:rPr>
  </w:style>
  <w:style w:type="character" w:customStyle="1" w:styleId="109">
    <w:name w:val="标题 4 Char"/>
    <w:autoRedefine/>
    <w:qFormat/>
    <w:uiPriority w:val="0"/>
    <w:rPr>
      <w:rFonts w:ascii="Arial" w:hAnsi="Arial" w:eastAsia="黑体"/>
      <w:b/>
      <w:kern w:val="2"/>
      <w:sz w:val="28"/>
    </w:rPr>
  </w:style>
  <w:style w:type="character" w:customStyle="1" w:styleId="110">
    <w:name w:val="链接"/>
    <w:autoRedefine/>
    <w:qFormat/>
    <w:uiPriority w:val="0"/>
    <w:rPr>
      <w:color w:val="0000FF"/>
      <w:sz w:val="21"/>
      <w:szCs w:val="21"/>
      <w:u w:val="single"/>
    </w:rPr>
  </w:style>
  <w:style w:type="character" w:customStyle="1" w:styleId="111">
    <w:name w:val="h4 Char"/>
    <w:autoRedefine/>
    <w:qFormat/>
    <w:uiPriority w:val="0"/>
    <w:rPr>
      <w:rFonts w:ascii="Arial" w:hAnsi="Arial" w:eastAsia="黑体"/>
      <w:b/>
      <w:bCs/>
      <w:kern w:val="2"/>
      <w:sz w:val="28"/>
      <w:szCs w:val="28"/>
      <w:lang w:val="zh-CN" w:eastAsia="zh-CN" w:bidi="ar-SA"/>
    </w:rPr>
  </w:style>
  <w:style w:type="character" w:customStyle="1" w:styleId="112">
    <w:name w:val="5正文 Char"/>
    <w:link w:val="113"/>
    <w:autoRedefine/>
    <w:qFormat/>
    <w:uiPriority w:val="0"/>
    <w:rPr>
      <w:rFonts w:ascii="仿宋_GB2312" w:hAnsi="微软雅黑" w:eastAsia="仿宋_GB2312"/>
      <w:sz w:val="28"/>
      <w:szCs w:val="21"/>
    </w:rPr>
  </w:style>
  <w:style w:type="paragraph" w:customStyle="1" w:styleId="113">
    <w:name w:val="5正文"/>
    <w:basedOn w:val="1"/>
    <w:link w:val="112"/>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autoRedefine/>
    <w:qFormat/>
    <w:uiPriority w:val="9"/>
    <w:rPr>
      <w:b/>
      <w:bCs/>
      <w:kern w:val="2"/>
      <w:sz w:val="32"/>
      <w:szCs w:val="32"/>
    </w:rPr>
  </w:style>
  <w:style w:type="character" w:customStyle="1" w:styleId="115">
    <w:name w:val="样式6 Char"/>
    <w:autoRedefine/>
    <w:qFormat/>
    <w:uiPriority w:val="0"/>
    <w:rPr>
      <w:rFonts w:ascii="仿宋_GB2312" w:hAnsi="宋体" w:eastAsia="仿宋_GB2312"/>
      <w:b/>
      <w:bCs/>
      <w:kern w:val="2"/>
      <w:sz w:val="24"/>
      <w:szCs w:val="24"/>
      <w:lang w:val="en-US" w:eastAsia="zh-CN" w:bidi="ar-SA"/>
    </w:rPr>
  </w:style>
  <w:style w:type="character" w:customStyle="1" w:styleId="116">
    <w:name w:val="Char Char14"/>
    <w:autoRedefine/>
    <w:qFormat/>
    <w:uiPriority w:val="6"/>
    <w:rPr>
      <w:rFonts w:ascii="黑体" w:hAnsi="黑体" w:eastAsia="黑体"/>
    </w:rPr>
  </w:style>
  <w:style w:type="character" w:customStyle="1" w:styleId="117">
    <w:name w:val="Heading 2 Hidden Char"/>
    <w:autoRedefine/>
    <w:qFormat/>
    <w:uiPriority w:val="0"/>
    <w:rPr>
      <w:rFonts w:ascii="仿宋_GB2312" w:eastAsia="仿宋_GB2312"/>
      <w:b/>
      <w:bCs/>
      <w:kern w:val="2"/>
      <w:sz w:val="24"/>
      <w:szCs w:val="24"/>
      <w:lang w:val="zh-CN" w:eastAsia="zh-CN" w:bidi="ar-SA"/>
    </w:rPr>
  </w:style>
  <w:style w:type="character" w:customStyle="1" w:styleId="118">
    <w:name w:val="正文首行缩进 2 Char"/>
    <w:link w:val="61"/>
    <w:autoRedefine/>
    <w:qFormat/>
    <w:uiPriority w:val="0"/>
    <w:rPr>
      <w:rFonts w:ascii="宋体" w:hAnsi="宋体"/>
      <w:kern w:val="2"/>
      <w:sz w:val="21"/>
      <w:szCs w:val="24"/>
    </w:rPr>
  </w:style>
  <w:style w:type="character" w:customStyle="1" w:styleId="119">
    <w:name w:val="font11"/>
    <w:basedOn w:val="69"/>
    <w:autoRedefine/>
    <w:qFormat/>
    <w:uiPriority w:val="0"/>
    <w:rPr>
      <w:rFonts w:hint="default" w:ascii="Times New Roman" w:hAnsi="Times New Roman" w:cs="Times New Roman"/>
      <w:color w:val="000000"/>
      <w:sz w:val="22"/>
      <w:szCs w:val="22"/>
      <w:u w:val="none"/>
    </w:rPr>
  </w:style>
  <w:style w:type="character" w:customStyle="1" w:styleId="120">
    <w:name w:val="表正文 Char1"/>
    <w:autoRedefine/>
    <w:qFormat/>
    <w:uiPriority w:val="0"/>
    <w:rPr>
      <w:rFonts w:ascii="宋体" w:eastAsia="宋体"/>
      <w:snapToGrid w:val="0"/>
      <w:color w:val="000000"/>
      <w:kern w:val="28"/>
      <w:sz w:val="28"/>
    </w:rPr>
  </w:style>
  <w:style w:type="character" w:customStyle="1" w:styleId="121">
    <w:name w:val="blue1"/>
    <w:basedOn w:val="69"/>
    <w:autoRedefine/>
    <w:qFormat/>
    <w:uiPriority w:val="0"/>
    <w:rPr>
      <w:rFonts w:ascii="Arial" w:hAnsi="Arial" w:eastAsia="黑体" w:cs="Arial"/>
      <w:snapToGrid w:val="0"/>
      <w:kern w:val="0"/>
      <w:szCs w:val="21"/>
    </w:rPr>
  </w:style>
  <w:style w:type="character" w:customStyle="1" w:styleId="122">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23">
    <w:name w:val="标书1 Char"/>
    <w:autoRedefine/>
    <w:qFormat/>
    <w:uiPriority w:val="0"/>
    <w:rPr>
      <w:rFonts w:eastAsia="宋体"/>
      <w:b/>
      <w:bCs/>
      <w:kern w:val="44"/>
      <w:sz w:val="44"/>
      <w:szCs w:val="44"/>
      <w:lang w:val="en-US" w:eastAsia="zh-CN" w:bidi="ar-SA"/>
    </w:rPr>
  </w:style>
  <w:style w:type="character" w:customStyle="1" w:styleId="124">
    <w:name w:val="样式5 Char"/>
    <w:autoRedefine/>
    <w:qFormat/>
    <w:uiPriority w:val="0"/>
    <w:rPr>
      <w:rFonts w:ascii="仿宋_GB2312" w:hAnsi="仿宋" w:eastAsia="仿宋_GB2312"/>
      <w:kern w:val="2"/>
      <w:sz w:val="24"/>
      <w:szCs w:val="24"/>
    </w:rPr>
  </w:style>
  <w:style w:type="character" w:customStyle="1" w:styleId="125">
    <w:name w:val="样式4 Char"/>
    <w:autoRedefine/>
    <w:qFormat/>
    <w:uiPriority w:val="0"/>
    <w:rPr>
      <w:rFonts w:ascii="仿宋_GB2312" w:hAnsi="仿宋" w:eastAsia="仿宋_GB2312"/>
      <w:b/>
      <w:kern w:val="2"/>
      <w:sz w:val="32"/>
      <w:szCs w:val="32"/>
      <w:lang w:bidi="ar-SA"/>
    </w:rPr>
  </w:style>
  <w:style w:type="character" w:customStyle="1" w:styleId="126">
    <w:name w:val="插图说明 Char"/>
    <w:autoRedefine/>
    <w:qFormat/>
    <w:uiPriority w:val="0"/>
    <w:rPr>
      <w:rFonts w:eastAsia="黑体"/>
      <w:sz w:val="24"/>
      <w:lang w:val="en-US" w:eastAsia="zh-CN"/>
    </w:rPr>
  </w:style>
  <w:style w:type="character" w:customStyle="1" w:styleId="127">
    <w:name w:val="正文2 Char Char"/>
    <w:link w:val="128"/>
    <w:autoRedefine/>
    <w:qFormat/>
    <w:uiPriority w:val="0"/>
    <w:rPr>
      <w:rFonts w:eastAsia="宋体"/>
      <w:kern w:val="2"/>
      <w:sz w:val="24"/>
      <w:lang w:val="en-US" w:eastAsia="zh-CN" w:bidi="ar-SA"/>
    </w:rPr>
  </w:style>
  <w:style w:type="paragraph" w:customStyle="1" w:styleId="128">
    <w:name w:val="正文2"/>
    <w:basedOn w:val="1"/>
    <w:link w:val="127"/>
    <w:autoRedefine/>
    <w:qFormat/>
    <w:uiPriority w:val="0"/>
    <w:pPr>
      <w:spacing w:before="156" w:line="360" w:lineRule="auto"/>
      <w:ind w:firstLine="510" w:firstLineChars="200"/>
    </w:pPr>
    <w:rPr>
      <w:sz w:val="24"/>
      <w:szCs w:val="20"/>
    </w:rPr>
  </w:style>
  <w:style w:type="character" w:customStyle="1" w:styleId="129">
    <w:name w:val="Char Char24"/>
    <w:autoRedefine/>
    <w:qFormat/>
    <w:uiPriority w:val="6"/>
    <w:rPr>
      <w:kern w:val="1"/>
      <w:sz w:val="21"/>
    </w:rPr>
  </w:style>
  <w:style w:type="character" w:customStyle="1" w:styleId="130">
    <w:name w:val="副标题 Char"/>
    <w:link w:val="48"/>
    <w:autoRedefine/>
    <w:qFormat/>
    <w:uiPriority w:val="0"/>
    <w:rPr>
      <w:rFonts w:ascii="Arial" w:hAnsi="Arial" w:eastAsia="隶书"/>
      <w:b/>
      <w:bCs/>
      <w:kern w:val="28"/>
      <w:sz w:val="44"/>
      <w:szCs w:val="32"/>
      <w:lang w:val="en-US" w:eastAsia="zh-CN" w:bidi="ar-SA"/>
    </w:rPr>
  </w:style>
  <w:style w:type="character" w:customStyle="1" w:styleId="131">
    <w:name w:val="普通文字 Char1 Char"/>
    <w:autoRedefine/>
    <w:qFormat/>
    <w:uiPriority w:val="0"/>
    <w:rPr>
      <w:rFonts w:ascii="宋体" w:hAnsi="Courier New" w:eastAsia="宋体"/>
      <w:kern w:val="2"/>
      <w:sz w:val="21"/>
      <w:szCs w:val="24"/>
      <w:lang w:val="en-US" w:eastAsia="zh-CN" w:bidi="ar-SA"/>
    </w:rPr>
  </w:style>
  <w:style w:type="character" w:customStyle="1" w:styleId="132">
    <w:name w:val="h3 Char1"/>
    <w:autoRedefine/>
    <w:qFormat/>
    <w:uiPriority w:val="0"/>
    <w:rPr>
      <w:rFonts w:eastAsia="宋体"/>
      <w:b/>
      <w:bCs/>
      <w:kern w:val="2"/>
      <w:sz w:val="32"/>
      <w:szCs w:val="32"/>
      <w:lang w:bidi="ar-SA"/>
    </w:rPr>
  </w:style>
  <w:style w:type="character" w:customStyle="1" w:styleId="133">
    <w:name w:val="标题 Char1"/>
    <w:autoRedefine/>
    <w:qFormat/>
    <w:uiPriority w:val="0"/>
    <w:rPr>
      <w:rFonts w:ascii="Cambria" w:hAnsi="Cambria" w:eastAsia="宋体" w:cs="Times New Roman"/>
      <w:b/>
      <w:bCs/>
      <w:sz w:val="32"/>
      <w:szCs w:val="32"/>
      <w:lang w:bidi="ar-SA"/>
    </w:rPr>
  </w:style>
  <w:style w:type="character" w:customStyle="1" w:styleId="134">
    <w:name w:val="gf正文1 Char"/>
    <w:autoRedefine/>
    <w:qFormat/>
    <w:uiPriority w:val="0"/>
    <w:rPr>
      <w:rFonts w:ascii="宋体" w:hAnsi="宋体" w:eastAsia="宋体" w:cs="宋体"/>
      <w:kern w:val="2"/>
      <w:sz w:val="24"/>
      <w:szCs w:val="24"/>
      <w:lang w:val="en-US" w:eastAsia="zh-CN" w:bidi="ar-SA"/>
    </w:rPr>
  </w:style>
  <w:style w:type="character" w:customStyle="1" w:styleId="135">
    <w:name w:val="正文文本缩进 Char1"/>
    <w:autoRedefine/>
    <w:qFormat/>
    <w:uiPriority w:val="0"/>
    <w:rPr>
      <w:rFonts w:ascii="Calibri" w:hAnsi="Calibri"/>
      <w:sz w:val="28"/>
    </w:rPr>
  </w:style>
  <w:style w:type="character" w:customStyle="1" w:styleId="136">
    <w:name w:val="No Spacing Char"/>
    <w:link w:val="137"/>
    <w:autoRedefine/>
    <w:qFormat/>
    <w:uiPriority w:val="1"/>
    <w:rPr>
      <w:sz w:val="22"/>
      <w:szCs w:val="22"/>
      <w:lang w:val="en-US" w:eastAsia="zh-CN" w:bidi="ar-SA"/>
    </w:rPr>
  </w:style>
  <w:style w:type="paragraph" w:customStyle="1" w:styleId="137">
    <w:name w:val="无间隔1"/>
    <w:link w:val="136"/>
    <w:autoRedefine/>
    <w:qFormat/>
    <w:uiPriority w:val="1"/>
    <w:rPr>
      <w:rFonts w:ascii="Times New Roman" w:hAnsi="Times New Roman" w:eastAsia="宋体" w:cs="Times New Roman"/>
      <w:sz w:val="22"/>
      <w:szCs w:val="22"/>
      <w:lang w:val="en-US" w:eastAsia="zh-CN" w:bidi="ar-SA"/>
    </w:rPr>
  </w:style>
  <w:style w:type="character" w:customStyle="1" w:styleId="138">
    <w:name w:val="样式7 Char"/>
    <w:autoRedefine/>
    <w:qFormat/>
    <w:uiPriority w:val="0"/>
    <w:rPr>
      <w:rFonts w:ascii="仿宋_GB2312" w:hAnsi="仿宋" w:eastAsia="仿宋_GB2312"/>
      <w:b/>
      <w:kern w:val="2"/>
      <w:sz w:val="24"/>
      <w:szCs w:val="24"/>
    </w:rPr>
  </w:style>
  <w:style w:type="character" w:customStyle="1" w:styleId="139">
    <w:name w:val="font12gray1"/>
    <w:autoRedefine/>
    <w:qFormat/>
    <w:uiPriority w:val="0"/>
    <w:rPr>
      <w:rFonts w:ascii="仿宋_GB2312" w:eastAsia="微软雅黑"/>
      <w:b/>
      <w:spacing w:val="300"/>
      <w:kern w:val="2"/>
      <w:sz w:val="18"/>
      <w:szCs w:val="18"/>
      <w:lang w:val="en-US" w:eastAsia="zh-CN" w:bidi="ar-SA"/>
    </w:rPr>
  </w:style>
  <w:style w:type="character" w:customStyle="1" w:styleId="140">
    <w:name w:val="Char Char7"/>
    <w:autoRedefine/>
    <w:semiHidden/>
    <w:qFormat/>
    <w:uiPriority w:val="0"/>
    <w:rPr>
      <w:rFonts w:eastAsia="宋体"/>
      <w:kern w:val="2"/>
      <w:sz w:val="21"/>
      <w:szCs w:val="24"/>
      <w:lang w:val="en-US" w:eastAsia="zh-CN" w:bidi="ar-SA"/>
    </w:rPr>
  </w:style>
  <w:style w:type="character" w:customStyle="1" w:styleId="141">
    <w:name w:val="表名 Char"/>
    <w:autoRedefine/>
    <w:qFormat/>
    <w:uiPriority w:val="0"/>
    <w:rPr>
      <w:rFonts w:eastAsia="宋体"/>
      <w:b/>
      <w:bCs/>
      <w:kern w:val="2"/>
      <w:sz w:val="24"/>
      <w:szCs w:val="24"/>
      <w:lang w:val="en-US" w:eastAsia="zh-CN" w:bidi="ar-SA"/>
    </w:rPr>
  </w:style>
  <w:style w:type="character" w:customStyle="1" w:styleId="142">
    <w:name w:val="Document Map Char"/>
    <w:autoRedefine/>
    <w:qFormat/>
    <w:locked/>
    <w:uiPriority w:val="0"/>
    <w:rPr>
      <w:rFonts w:eastAsia="宋体"/>
      <w:kern w:val="2"/>
      <w:sz w:val="21"/>
      <w:szCs w:val="24"/>
      <w:lang w:val="en-US" w:eastAsia="zh-CN" w:bidi="ar-SA"/>
    </w:rPr>
  </w:style>
  <w:style w:type="character" w:customStyle="1" w:styleId="143">
    <w:name w:val="font41"/>
    <w:autoRedefine/>
    <w:qFormat/>
    <w:uiPriority w:val="0"/>
    <w:rPr>
      <w:rFonts w:hint="eastAsia" w:ascii="仿宋_GB2312" w:eastAsia="仿宋_GB2312" w:cs="仿宋_GB2312"/>
      <w:color w:val="000000"/>
      <w:sz w:val="22"/>
      <w:szCs w:val="22"/>
      <w:u w:val="none"/>
    </w:rPr>
  </w:style>
  <w:style w:type="character" w:customStyle="1" w:styleId="144">
    <w:name w:val="标题 6 Char"/>
    <w:link w:val="7"/>
    <w:autoRedefine/>
    <w:qFormat/>
    <w:uiPriority w:val="0"/>
    <w:rPr>
      <w:rFonts w:ascii="Arial" w:hAnsi="Arial" w:eastAsia="黑体"/>
      <w:b/>
      <w:bCs/>
      <w:kern w:val="2"/>
      <w:sz w:val="24"/>
      <w:szCs w:val="24"/>
    </w:rPr>
  </w:style>
  <w:style w:type="character" w:customStyle="1" w:styleId="145">
    <w:name w:val="纯文本 Char_0"/>
    <w:link w:val="146"/>
    <w:autoRedefine/>
    <w:qFormat/>
    <w:uiPriority w:val="0"/>
    <w:rPr>
      <w:rFonts w:ascii="宋体" w:hAnsi="Courier New"/>
      <w:kern w:val="2"/>
      <w:sz w:val="21"/>
      <w:szCs w:val="21"/>
      <w:lang w:val="en-US" w:eastAsia="zh-CN"/>
    </w:rPr>
  </w:style>
  <w:style w:type="paragraph" w:customStyle="1" w:styleId="146">
    <w:name w:val="纯文本_0_0"/>
    <w:basedOn w:val="147"/>
    <w:link w:val="145"/>
    <w:autoRedefine/>
    <w:qFormat/>
    <w:uiPriority w:val="0"/>
    <w:rPr>
      <w:rFonts w:ascii="宋体" w:hAnsi="Courier New"/>
      <w:szCs w:val="21"/>
    </w:rPr>
  </w:style>
  <w:style w:type="paragraph" w:customStyle="1" w:styleId="14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autoRedefine/>
    <w:qFormat/>
    <w:locked/>
    <w:uiPriority w:val="0"/>
    <w:rPr>
      <w:rFonts w:eastAsia="宋体"/>
      <w:kern w:val="2"/>
      <w:sz w:val="18"/>
      <w:szCs w:val="18"/>
      <w:lang w:val="en-US" w:eastAsia="zh-CN" w:bidi="ar-SA"/>
    </w:rPr>
  </w:style>
  <w:style w:type="character" w:customStyle="1" w:styleId="149">
    <w:name w:val="正文 项目2 Char"/>
    <w:basedOn w:val="150"/>
    <w:autoRedefine/>
    <w:qFormat/>
    <w:uiPriority w:val="0"/>
    <w:rPr>
      <w:rFonts w:ascii="仿宋_GB2312" w:hAnsi="仿宋_GB2312" w:eastAsia="仿宋_GB2312"/>
      <w:kern w:val="2"/>
      <w:sz w:val="24"/>
      <w:lang w:bidi="ar-SA"/>
    </w:rPr>
  </w:style>
  <w:style w:type="character" w:customStyle="1" w:styleId="150">
    <w:name w:val="正文 项目 Char"/>
    <w:autoRedefine/>
    <w:qFormat/>
    <w:uiPriority w:val="0"/>
    <w:rPr>
      <w:rFonts w:ascii="仿宋_GB2312" w:hAnsi="仿宋_GB2312" w:eastAsia="仿宋_GB2312"/>
      <w:kern w:val="2"/>
      <w:sz w:val="24"/>
      <w:lang w:bidi="ar-SA"/>
    </w:rPr>
  </w:style>
  <w:style w:type="character" w:customStyle="1" w:styleId="151">
    <w:name w:val="h Char Char1"/>
    <w:autoRedefine/>
    <w:qFormat/>
    <w:uiPriority w:val="0"/>
    <w:rPr>
      <w:rFonts w:eastAsia="宋体"/>
      <w:kern w:val="2"/>
      <w:sz w:val="18"/>
      <w:szCs w:val="18"/>
      <w:lang w:val="en-US" w:eastAsia="zh-CN" w:bidi="ar-SA"/>
    </w:rPr>
  </w:style>
  <w:style w:type="character" w:customStyle="1" w:styleId="152">
    <w:name w:val="Char Char27"/>
    <w:autoRedefine/>
    <w:qFormat/>
    <w:uiPriority w:val="6"/>
    <w:rPr>
      <w:rFonts w:ascii="宋体" w:hAnsi="宋体" w:eastAsia="宋体"/>
      <w:color w:val="000000"/>
      <w:kern w:val="1"/>
      <w:sz w:val="28"/>
      <w:lang w:val="en-US" w:eastAsia="zh-CN" w:bidi="ar-SA"/>
    </w:rPr>
  </w:style>
  <w:style w:type="character" w:customStyle="1" w:styleId="153">
    <w:name w:val="px14"/>
    <w:autoRedefine/>
    <w:qFormat/>
    <w:uiPriority w:val="0"/>
    <w:rPr>
      <w:rFonts w:ascii="仿宋_GB2312" w:eastAsia="微软雅黑" w:cs="Times New Roman"/>
      <w:b/>
      <w:kern w:val="2"/>
      <w:sz w:val="32"/>
      <w:szCs w:val="32"/>
      <w:lang w:val="en-US" w:eastAsia="zh-CN" w:bidi="ar-SA"/>
    </w:rPr>
  </w:style>
  <w:style w:type="character" w:customStyle="1" w:styleId="154">
    <w:name w:val="HTML 预设格式 Char1"/>
    <w:autoRedefine/>
    <w:qFormat/>
    <w:uiPriority w:val="0"/>
    <w:rPr>
      <w:rFonts w:ascii="Courier New" w:hAnsi="Courier New" w:eastAsia="宋体" w:cs="Courier New"/>
      <w:sz w:val="20"/>
      <w:szCs w:val="20"/>
    </w:rPr>
  </w:style>
  <w:style w:type="character" w:customStyle="1" w:styleId="155">
    <w:name w:val="普通文字 Char1"/>
    <w:autoRedefine/>
    <w:qFormat/>
    <w:uiPriority w:val="0"/>
    <w:rPr>
      <w:rFonts w:ascii="宋体" w:hAnsi="Courier New" w:eastAsia="宋体"/>
      <w:kern w:val="2"/>
      <w:sz w:val="21"/>
      <w:lang w:val="en-US" w:eastAsia="zh-CN"/>
    </w:rPr>
  </w:style>
  <w:style w:type="character" w:customStyle="1" w:styleId="156">
    <w:name w:val="hei16b1"/>
    <w:autoRedefine/>
    <w:qFormat/>
    <w:uiPriority w:val="0"/>
    <w:rPr>
      <w:rFonts w:hint="default" w:ascii="Arial" w:hAnsi="Arial" w:cs="Arial"/>
      <w:b/>
      <w:bCs/>
      <w:color w:val="000000"/>
      <w:sz w:val="24"/>
      <w:szCs w:val="24"/>
    </w:rPr>
  </w:style>
  <w:style w:type="character" w:customStyle="1" w:styleId="157">
    <w:name w:val="正文（绿盟科技） Char"/>
    <w:link w:val="158"/>
    <w:autoRedefine/>
    <w:qFormat/>
    <w:uiPriority w:val="0"/>
    <w:rPr>
      <w:rFonts w:ascii="Arial" w:hAnsi="Arial"/>
      <w:sz w:val="21"/>
      <w:szCs w:val="21"/>
    </w:rPr>
  </w:style>
  <w:style w:type="paragraph" w:customStyle="1" w:styleId="158">
    <w:name w:val="正文（绿盟科技）"/>
    <w:link w:val="157"/>
    <w:autoRedefine/>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autoRedefine/>
    <w:qFormat/>
    <w:uiPriority w:val="6"/>
    <w:rPr>
      <w:rFonts w:ascii="宋体" w:hAnsi="宋体"/>
      <w:i/>
      <w:sz w:val="24"/>
      <w:szCs w:val="24"/>
    </w:rPr>
  </w:style>
  <w:style w:type="character" w:customStyle="1" w:styleId="160">
    <w:name w:val="页脚 Char"/>
    <w:autoRedefine/>
    <w:qFormat/>
    <w:uiPriority w:val="0"/>
    <w:rPr>
      <w:rFonts w:eastAsia="仿宋_GB2312"/>
      <w:kern w:val="2"/>
      <w:sz w:val="18"/>
      <w:lang w:val="en-US" w:eastAsia="zh-CN"/>
    </w:rPr>
  </w:style>
  <w:style w:type="character" w:customStyle="1" w:styleId="161">
    <w:name w:val="批注主题 Char"/>
    <w:autoRedefine/>
    <w:qFormat/>
    <w:uiPriority w:val="0"/>
    <w:rPr>
      <w:rFonts w:eastAsia="宋体"/>
      <w:b/>
      <w:bCs/>
      <w:kern w:val="2"/>
      <w:sz w:val="21"/>
      <w:szCs w:val="24"/>
      <w:lang w:val="en-US" w:eastAsia="zh-CN" w:bidi="ar-SA"/>
    </w:rPr>
  </w:style>
  <w:style w:type="character" w:customStyle="1" w:styleId="162">
    <w:name w:val="Comment Text Char"/>
    <w:autoRedefine/>
    <w:qFormat/>
    <w:locked/>
    <w:uiPriority w:val="0"/>
    <w:rPr>
      <w:rFonts w:ascii="宋体" w:hAnsi="宋体" w:eastAsia="宋体"/>
      <w:kern w:val="2"/>
      <w:sz w:val="24"/>
      <w:lang w:val="en-US" w:eastAsia="zh-CN" w:bidi="ar-SA"/>
    </w:rPr>
  </w:style>
  <w:style w:type="character" w:customStyle="1" w:styleId="163">
    <w:name w:val="标题 2 字符"/>
    <w:autoRedefine/>
    <w:qFormat/>
    <w:uiPriority w:val="1"/>
    <w:rPr>
      <w:rFonts w:ascii="仿宋_GB2312" w:hAnsi="Times New Roman" w:eastAsia="仿宋_GB2312" w:cs="Times New Roman"/>
      <w:b/>
      <w:kern w:val="2"/>
      <w:sz w:val="24"/>
      <w:lang w:val="zh-CN"/>
    </w:rPr>
  </w:style>
  <w:style w:type="character" w:customStyle="1" w:styleId="164">
    <w:name w:val="Char Char72"/>
    <w:autoRedefine/>
    <w:qFormat/>
    <w:uiPriority w:val="0"/>
    <w:rPr>
      <w:rFonts w:eastAsia="宋体"/>
      <w:kern w:val="2"/>
      <w:sz w:val="21"/>
      <w:szCs w:val="24"/>
      <w:lang w:val="en-US" w:eastAsia="zh-CN" w:bidi="ar-SA"/>
    </w:rPr>
  </w:style>
  <w:style w:type="character" w:customStyle="1" w:styleId="165">
    <w:name w:val="正文文本缩进 Char2"/>
    <w:autoRedefine/>
    <w:qFormat/>
    <w:uiPriority w:val="0"/>
    <w:rPr>
      <w:rFonts w:ascii="Times New Roman" w:hAnsi="Times New Roman" w:eastAsia="宋体" w:cs="Times New Roman"/>
      <w:snapToGrid w:val="0"/>
      <w:kern w:val="0"/>
      <w:szCs w:val="24"/>
    </w:rPr>
  </w:style>
  <w:style w:type="character" w:customStyle="1" w:styleId="166">
    <w:name w:val="样式2 Char"/>
    <w:autoRedefine/>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autoRedefine/>
    <w:qFormat/>
    <w:uiPriority w:val="0"/>
    <w:rPr>
      <w:sz w:val="32"/>
    </w:rPr>
  </w:style>
  <w:style w:type="paragraph" w:customStyle="1" w:styleId="168">
    <w:name w:val="表格名称"/>
    <w:basedOn w:val="2"/>
    <w:link w:val="167"/>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autoRedefine/>
    <w:qFormat/>
    <w:uiPriority w:val="0"/>
    <w:rPr>
      <w:rFonts w:eastAsia="宋体"/>
      <w:b/>
      <w:sz w:val="24"/>
      <w:lang w:val="en-GB" w:eastAsia="zh-CN" w:bidi="ar-SA"/>
    </w:rPr>
  </w:style>
  <w:style w:type="character" w:customStyle="1" w:styleId="170">
    <w:name w:val="c7 style3"/>
    <w:autoRedefine/>
    <w:qFormat/>
    <w:uiPriority w:val="0"/>
  </w:style>
  <w:style w:type="character" w:customStyle="1" w:styleId="171">
    <w:name w:val="正文文本 3 Char1"/>
    <w:autoRedefine/>
    <w:semiHidden/>
    <w:qFormat/>
    <w:uiPriority w:val="99"/>
    <w:rPr>
      <w:rFonts w:ascii="Times New Roman" w:hAnsi="Times New Roman" w:eastAsia="宋体" w:cs="Times New Roman"/>
      <w:sz w:val="16"/>
      <w:szCs w:val="16"/>
    </w:rPr>
  </w:style>
  <w:style w:type="character" w:customStyle="1" w:styleId="172">
    <w:name w:val="tw4winInternal"/>
    <w:autoRedefine/>
    <w:qFormat/>
    <w:uiPriority w:val="0"/>
    <w:rPr>
      <w:rFonts w:ascii="Courier New" w:hAnsi="Courier New" w:cs="Courier New"/>
      <w:color w:val="FF0000"/>
      <w:lang w:val="en-US" w:eastAsia="zh-CN"/>
    </w:rPr>
  </w:style>
  <w:style w:type="character" w:customStyle="1" w:styleId="173">
    <w:name w:val="Char Char10"/>
    <w:autoRedefine/>
    <w:semiHidden/>
    <w:qFormat/>
    <w:uiPriority w:val="0"/>
    <w:rPr>
      <w:rFonts w:ascii="宋体" w:hAnsi="宋体"/>
      <w:kern w:val="2"/>
      <w:sz w:val="21"/>
      <w:szCs w:val="24"/>
      <w:lang w:val="en-US" w:eastAsia="zh-CN"/>
    </w:rPr>
  </w:style>
  <w:style w:type="character" w:customStyle="1" w:styleId="174">
    <w:name w:val="shadow11"/>
    <w:autoRedefine/>
    <w:qFormat/>
    <w:uiPriority w:val="0"/>
    <w:rPr>
      <w:color w:val="000000"/>
      <w:sz w:val="21"/>
    </w:rPr>
  </w:style>
  <w:style w:type="character" w:customStyle="1" w:styleId="175">
    <w:name w:val="正文非缩进 Char3"/>
    <w:autoRedefine/>
    <w:qFormat/>
    <w:uiPriority w:val="0"/>
    <w:rPr>
      <w:rFonts w:ascii="宋体" w:eastAsia="宋体"/>
      <w:snapToGrid w:val="0"/>
      <w:color w:val="000000"/>
      <w:kern w:val="28"/>
      <w:sz w:val="28"/>
      <w:lang w:val="en-US" w:eastAsia="zh-CN" w:bidi="ar-SA"/>
    </w:rPr>
  </w:style>
  <w:style w:type="character" w:customStyle="1" w:styleId="176">
    <w:name w:val="Char Char"/>
    <w:autoRedefine/>
    <w:qFormat/>
    <w:uiPriority w:val="0"/>
    <w:rPr>
      <w:rFonts w:ascii="宋体" w:hAnsi="Courier New" w:eastAsia="宋体"/>
      <w:kern w:val="2"/>
      <w:sz w:val="21"/>
      <w:lang w:val="en-US" w:eastAsia="zh-CN" w:bidi="ar-SA"/>
    </w:rPr>
  </w:style>
  <w:style w:type="character" w:customStyle="1" w:styleId="177">
    <w:name w:val="签名 Char1"/>
    <w:autoRedefine/>
    <w:qFormat/>
    <w:uiPriority w:val="0"/>
    <w:rPr>
      <w:rFonts w:ascii="Times New Roman" w:hAnsi="Times New Roman" w:eastAsia="宋体" w:cs="Times New Roman"/>
      <w:szCs w:val="24"/>
    </w:rPr>
  </w:style>
  <w:style w:type="character" w:customStyle="1" w:styleId="178">
    <w:name w:val="日期 Char"/>
    <w:link w:val="37"/>
    <w:autoRedefine/>
    <w:qFormat/>
    <w:uiPriority w:val="0"/>
    <w:rPr>
      <w:rFonts w:ascii="宋体"/>
      <w:kern w:val="2"/>
      <w:sz w:val="24"/>
      <w:szCs w:val="21"/>
      <w:lang w:val="zh-CN"/>
    </w:rPr>
  </w:style>
  <w:style w:type="character" w:customStyle="1" w:styleId="179">
    <w:name w:val="标题 9 Char"/>
    <w:link w:val="10"/>
    <w:autoRedefine/>
    <w:qFormat/>
    <w:uiPriority w:val="0"/>
    <w:rPr>
      <w:rFonts w:ascii="Arial" w:hAnsi="Arial" w:eastAsia="黑体"/>
      <w:kern w:val="2"/>
      <w:sz w:val="21"/>
      <w:szCs w:val="21"/>
    </w:rPr>
  </w:style>
  <w:style w:type="character" w:customStyle="1" w:styleId="180">
    <w:name w:val="Char Char18"/>
    <w:autoRedefine/>
    <w:qFormat/>
    <w:uiPriority w:val="6"/>
    <w:rPr>
      <w:rFonts w:ascii="宋体" w:hAnsi="宋体"/>
      <w:sz w:val="28"/>
    </w:rPr>
  </w:style>
  <w:style w:type="character" w:customStyle="1" w:styleId="181">
    <w:name w:val="批注文字 Char"/>
    <w:autoRedefine/>
    <w:qFormat/>
    <w:uiPriority w:val="99"/>
    <w:rPr>
      <w:kern w:val="2"/>
      <w:sz w:val="21"/>
      <w:szCs w:val="24"/>
    </w:rPr>
  </w:style>
  <w:style w:type="character" w:customStyle="1" w:styleId="182">
    <w:name w:val="Char Char22"/>
    <w:autoRedefine/>
    <w:qFormat/>
    <w:uiPriority w:val="6"/>
    <w:rPr>
      <w:rFonts w:ascii="宋体" w:hAnsi="宋体"/>
      <w:kern w:val="1"/>
      <w:sz w:val="24"/>
      <w:szCs w:val="24"/>
    </w:rPr>
  </w:style>
  <w:style w:type="character" w:customStyle="1" w:styleId="183">
    <w:name w:val="pt141"/>
    <w:autoRedefine/>
    <w:qFormat/>
    <w:uiPriority w:val="0"/>
    <w:rPr>
      <w:color w:val="330066"/>
      <w:sz w:val="22"/>
      <w:szCs w:val="22"/>
    </w:rPr>
  </w:style>
  <w:style w:type="character" w:customStyle="1" w:styleId="184">
    <w:name w:val="正文文本缩进 2 Char1"/>
    <w:autoRedefine/>
    <w:semiHidden/>
    <w:qFormat/>
    <w:uiPriority w:val="99"/>
    <w:rPr>
      <w:rFonts w:ascii="Times New Roman" w:hAnsi="Times New Roman" w:eastAsia="宋体" w:cs="Times New Roman"/>
      <w:szCs w:val="24"/>
    </w:rPr>
  </w:style>
  <w:style w:type="character" w:customStyle="1" w:styleId="185">
    <w:name w:val="批注框文本 Char"/>
    <w:link w:val="40"/>
    <w:autoRedefine/>
    <w:qFormat/>
    <w:uiPriority w:val="0"/>
    <w:rPr>
      <w:kern w:val="2"/>
      <w:sz w:val="18"/>
      <w:szCs w:val="18"/>
    </w:rPr>
  </w:style>
  <w:style w:type="character" w:customStyle="1" w:styleId="186">
    <w:name w:val="Char Char611"/>
    <w:autoRedefine/>
    <w:qFormat/>
    <w:uiPriority w:val="0"/>
    <w:rPr>
      <w:rFonts w:eastAsia="宋体"/>
      <w:kern w:val="2"/>
      <w:sz w:val="21"/>
      <w:szCs w:val="24"/>
      <w:lang w:val="en-US" w:eastAsia="zh-CN" w:bidi="ar-SA"/>
    </w:rPr>
  </w:style>
  <w:style w:type="character" w:customStyle="1" w:styleId="187">
    <w:name w:val="highlight1"/>
    <w:autoRedefine/>
    <w:qFormat/>
    <w:uiPriority w:val="0"/>
    <w:rPr>
      <w:rFonts w:ascii="仿宋_GB2312" w:eastAsia="微软雅黑"/>
      <w:b/>
      <w:kern w:val="2"/>
      <w:sz w:val="23"/>
      <w:szCs w:val="23"/>
      <w:lang w:val="en-US" w:eastAsia="zh-CN" w:bidi="ar-SA"/>
    </w:rPr>
  </w:style>
  <w:style w:type="character" w:customStyle="1" w:styleId="188">
    <w:name w:val="my正文 Char"/>
    <w:link w:val="189"/>
    <w:autoRedefine/>
    <w:qFormat/>
    <w:locked/>
    <w:uiPriority w:val="0"/>
    <w:rPr>
      <w:rFonts w:ascii="Tahoma" w:hAnsi="Tahoma"/>
      <w:sz w:val="24"/>
      <w:szCs w:val="24"/>
    </w:rPr>
  </w:style>
  <w:style w:type="paragraph" w:customStyle="1" w:styleId="189">
    <w:name w:val="my正文"/>
    <w:basedOn w:val="1"/>
    <w:link w:val="188"/>
    <w:autoRedefine/>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5"/>
    <w:autoRedefine/>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autoRedefine/>
    <w:qFormat/>
    <w:uiPriority w:val="0"/>
    <w:rPr>
      <w:color w:val="0000FF"/>
      <w:sz w:val="21"/>
    </w:rPr>
  </w:style>
  <w:style w:type="character" w:customStyle="1" w:styleId="192">
    <w:name w:val="页眉 Char"/>
    <w:autoRedefine/>
    <w:qFormat/>
    <w:uiPriority w:val="0"/>
    <w:rPr>
      <w:rFonts w:eastAsia="仿宋_GB2312"/>
      <w:kern w:val="2"/>
      <w:sz w:val="18"/>
      <w:lang w:val="en-US" w:eastAsia="zh-CN"/>
    </w:rPr>
  </w:style>
  <w:style w:type="character" w:customStyle="1" w:styleId="193">
    <w:name w:val="FA正文 Char Char"/>
    <w:autoRedefine/>
    <w:qFormat/>
    <w:uiPriority w:val="0"/>
    <w:rPr>
      <w:rFonts w:hAnsi="宋体"/>
      <w:kern w:val="2"/>
      <w:sz w:val="24"/>
      <w:lang w:bidi="ar-SA"/>
    </w:rPr>
  </w:style>
  <w:style w:type="character" w:customStyle="1" w:styleId="194">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autoRedefine/>
    <w:qFormat/>
    <w:uiPriority w:val="0"/>
    <w:rPr>
      <w:rFonts w:ascii="宋体" w:hAnsi="宋体"/>
      <w:b/>
      <w:bCs/>
      <w:snapToGrid/>
      <w:sz w:val="28"/>
    </w:rPr>
  </w:style>
  <w:style w:type="paragraph" w:customStyle="1" w:styleId="196">
    <w:name w:val="3级"/>
    <w:basedOn w:val="197"/>
    <w:link w:val="195"/>
    <w:autoRedefine/>
    <w:qFormat/>
    <w:uiPriority w:val="0"/>
    <w:pPr>
      <w:ind w:left="0" w:right="466" w:firstLine="288"/>
    </w:pPr>
    <w:rPr>
      <w:rFonts w:hAnsi="宋体"/>
      <w:snapToGrid/>
    </w:rPr>
  </w:style>
  <w:style w:type="paragraph" w:customStyle="1" w:styleId="197">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autoRedefine/>
    <w:qFormat/>
    <w:uiPriority w:val="0"/>
    <w:rPr>
      <w:rFonts w:ascii="仿宋_GB2312" w:eastAsia="微软雅黑"/>
      <w:b/>
      <w:kern w:val="2"/>
      <w:sz w:val="32"/>
      <w:szCs w:val="32"/>
      <w:lang w:val="en-US" w:eastAsia="zh-CN" w:bidi="ar-SA"/>
    </w:rPr>
  </w:style>
  <w:style w:type="character" w:customStyle="1" w:styleId="199">
    <w:name w:val="文档结构图 Char1"/>
    <w:link w:val="18"/>
    <w:autoRedefine/>
    <w:qFormat/>
    <w:uiPriority w:val="0"/>
    <w:rPr>
      <w:kern w:val="2"/>
      <w:sz w:val="21"/>
      <w:szCs w:val="24"/>
      <w:shd w:val="clear" w:color="auto" w:fill="000080"/>
    </w:rPr>
  </w:style>
  <w:style w:type="character" w:customStyle="1" w:styleId="200">
    <w:name w:val="H6 Char"/>
    <w:autoRedefine/>
    <w:qFormat/>
    <w:uiPriority w:val="0"/>
    <w:rPr>
      <w:rFonts w:ascii="Arial" w:hAnsi="Arial" w:eastAsia="黑体"/>
      <w:b/>
      <w:bCs/>
      <w:kern w:val="2"/>
      <w:sz w:val="24"/>
      <w:szCs w:val="24"/>
    </w:rPr>
  </w:style>
  <w:style w:type="character" w:customStyle="1" w:styleId="201">
    <w:name w:val="Char Char91"/>
    <w:autoRedefine/>
    <w:qFormat/>
    <w:uiPriority w:val="0"/>
    <w:rPr>
      <w:rFonts w:eastAsia="宋体"/>
      <w:kern w:val="2"/>
      <w:sz w:val="18"/>
      <w:szCs w:val="18"/>
      <w:lang w:val="en-US" w:eastAsia="zh-CN" w:bidi="ar-SA"/>
    </w:rPr>
  </w:style>
  <w:style w:type="character" w:customStyle="1" w:styleId="202">
    <w:name w:val="副标题 Char1"/>
    <w:autoRedefine/>
    <w:qFormat/>
    <w:uiPriority w:val="0"/>
    <w:rPr>
      <w:rFonts w:ascii="Cambria" w:hAnsi="Cambria" w:eastAsia="宋体" w:cs="Times New Roman"/>
      <w:b/>
      <w:bCs/>
      <w:snapToGrid w:val="0"/>
      <w:kern w:val="28"/>
      <w:sz w:val="32"/>
      <w:szCs w:val="32"/>
    </w:rPr>
  </w:style>
  <w:style w:type="character" w:customStyle="1" w:styleId="203">
    <w:name w:val="font61"/>
    <w:autoRedefine/>
    <w:qFormat/>
    <w:uiPriority w:val="0"/>
    <w:rPr>
      <w:rFonts w:hint="eastAsia" w:ascii="仿宋" w:hAnsi="仿宋" w:eastAsia="仿宋" w:cs="仿宋"/>
      <w:color w:val="000000"/>
      <w:sz w:val="20"/>
      <w:szCs w:val="20"/>
      <w:u w:val="none"/>
    </w:rPr>
  </w:style>
  <w:style w:type="character" w:customStyle="1" w:styleId="204">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autoRedefine/>
    <w:qFormat/>
    <w:uiPriority w:val="0"/>
    <w:rPr>
      <w:rFonts w:eastAsia="宋体"/>
      <w:b/>
      <w:bCs/>
      <w:kern w:val="2"/>
      <w:sz w:val="21"/>
      <w:szCs w:val="24"/>
      <w:lang w:val="en-US" w:eastAsia="zh-CN" w:bidi="ar-SA"/>
    </w:rPr>
  </w:style>
  <w:style w:type="character" w:customStyle="1" w:styleId="206">
    <w:name w:val="标题 2 Char"/>
    <w:autoRedefine/>
    <w:qFormat/>
    <w:uiPriority w:val="0"/>
    <w:rPr>
      <w:rFonts w:ascii="Arial" w:hAnsi="Arial" w:eastAsia="黑体"/>
      <w:b/>
      <w:kern w:val="2"/>
      <w:sz w:val="32"/>
      <w:lang w:val="en-US" w:eastAsia="zh-CN"/>
    </w:rPr>
  </w:style>
  <w:style w:type="character" w:customStyle="1" w:styleId="207">
    <w:name w:val="maywed421"/>
    <w:autoRedefine/>
    <w:qFormat/>
    <w:uiPriority w:val="0"/>
    <w:rPr>
      <w:color w:val="366FB6"/>
      <w:u w:val="none"/>
    </w:rPr>
  </w:style>
  <w:style w:type="character" w:customStyle="1" w:styleId="208">
    <w:name w:val="正文文本缩进 Char"/>
    <w:autoRedefine/>
    <w:qFormat/>
    <w:uiPriority w:val="0"/>
    <w:rPr>
      <w:rFonts w:ascii="宋体" w:hAnsi="宋体"/>
      <w:kern w:val="2"/>
      <w:sz w:val="24"/>
      <w:szCs w:val="24"/>
    </w:rPr>
  </w:style>
  <w:style w:type="character" w:customStyle="1" w:styleId="209">
    <w:name w:val="Char Char102"/>
    <w:autoRedefine/>
    <w:semiHidden/>
    <w:qFormat/>
    <w:uiPriority w:val="0"/>
    <w:rPr>
      <w:rFonts w:ascii="宋体" w:hAnsi="宋体"/>
      <w:kern w:val="2"/>
      <w:sz w:val="21"/>
      <w:szCs w:val="24"/>
      <w:lang w:val="en-US" w:eastAsia="zh-CN"/>
    </w:rPr>
  </w:style>
  <w:style w:type="character" w:customStyle="1" w:styleId="210">
    <w:name w:val="页眉 Char1"/>
    <w:autoRedefine/>
    <w:qFormat/>
    <w:uiPriority w:val="0"/>
    <w:rPr>
      <w:rFonts w:eastAsia="宋体"/>
      <w:kern w:val="2"/>
      <w:sz w:val="18"/>
      <w:szCs w:val="18"/>
      <w:lang w:val="en-US" w:eastAsia="zh-CN" w:bidi="ar-SA"/>
    </w:rPr>
  </w:style>
  <w:style w:type="character" w:customStyle="1" w:styleId="211">
    <w:name w:val="md"/>
    <w:basedOn w:val="69"/>
    <w:autoRedefine/>
    <w:qFormat/>
    <w:uiPriority w:val="0"/>
    <w:rPr>
      <w:rFonts w:ascii="Arial" w:hAnsi="Arial" w:eastAsia="黑体" w:cs="Arial"/>
      <w:snapToGrid w:val="0"/>
      <w:kern w:val="0"/>
      <w:szCs w:val="21"/>
    </w:rPr>
  </w:style>
  <w:style w:type="character" w:customStyle="1" w:styleId="212">
    <w:name w:val="big1"/>
    <w:autoRedefine/>
    <w:qFormat/>
    <w:uiPriority w:val="0"/>
    <w:rPr>
      <w:rFonts w:hint="eastAsia" w:ascii="宋体" w:hAnsi="宋体" w:eastAsia="宋体"/>
      <w:color w:val="333333"/>
      <w:sz w:val="22"/>
      <w:szCs w:val="22"/>
    </w:rPr>
  </w:style>
  <w:style w:type="character" w:customStyle="1" w:styleId="213">
    <w:name w:val="Char Char311"/>
    <w:autoRedefine/>
    <w:qFormat/>
    <w:uiPriority w:val="0"/>
    <w:rPr>
      <w:rFonts w:eastAsia="宋体"/>
      <w:kern w:val="2"/>
      <w:sz w:val="21"/>
      <w:szCs w:val="24"/>
      <w:lang w:val="en-US" w:eastAsia="zh-CN" w:bidi="ar-SA"/>
    </w:rPr>
  </w:style>
  <w:style w:type="character" w:customStyle="1" w:styleId="214">
    <w:name w:val="Char Char81"/>
    <w:autoRedefine/>
    <w:qFormat/>
    <w:uiPriority w:val="6"/>
    <w:rPr>
      <w:rFonts w:eastAsia="宋体"/>
      <w:b/>
      <w:sz w:val="24"/>
      <w:lang w:val="en-GB" w:eastAsia="zh-CN"/>
    </w:rPr>
  </w:style>
  <w:style w:type="character" w:customStyle="1" w:styleId="215">
    <w:name w:val="样式3 Char"/>
    <w:basedOn w:val="166"/>
    <w:autoRedefine/>
    <w:qFormat/>
    <w:uiPriority w:val="0"/>
    <w:rPr>
      <w:rFonts w:ascii="仿宋_GB2312" w:hAnsi="仿宋" w:eastAsia="仿宋_GB2312" w:cs="仿宋_GB2312"/>
      <w:sz w:val="32"/>
      <w:szCs w:val="30"/>
      <w:lang w:val="zh-CN"/>
    </w:rPr>
  </w:style>
  <w:style w:type="character" w:customStyle="1" w:styleId="216">
    <w:name w:val="HTML 地址 Char"/>
    <w:link w:val="31"/>
    <w:autoRedefine/>
    <w:qFormat/>
    <w:uiPriority w:val="0"/>
    <w:rPr>
      <w:rFonts w:ascii="宋体" w:hAnsi="宋体"/>
      <w:i/>
      <w:iCs/>
      <w:sz w:val="24"/>
      <w:szCs w:val="24"/>
    </w:rPr>
  </w:style>
  <w:style w:type="character" w:customStyle="1" w:styleId="217">
    <w:name w:val="正文首行缩进 2 Char1"/>
    <w:autoRedefine/>
    <w:qFormat/>
    <w:uiPriority w:val="0"/>
    <w:rPr>
      <w:rFonts w:ascii="Times New Roman" w:hAnsi="Times New Roman" w:eastAsia="宋体" w:cs="Times New Roman"/>
      <w:kern w:val="2"/>
      <w:sz w:val="24"/>
      <w:szCs w:val="24"/>
    </w:rPr>
  </w:style>
  <w:style w:type="character" w:customStyle="1" w:styleId="218">
    <w:name w:val="副标题 Char2"/>
    <w:autoRedefine/>
    <w:qFormat/>
    <w:uiPriority w:val="0"/>
    <w:rPr>
      <w:rFonts w:ascii="Cambria" w:hAnsi="Cambria" w:eastAsia="宋体" w:cs="Times New Roman"/>
      <w:b/>
      <w:bCs/>
      <w:snapToGrid w:val="0"/>
      <w:kern w:val="28"/>
      <w:sz w:val="32"/>
      <w:szCs w:val="32"/>
    </w:rPr>
  </w:style>
  <w:style w:type="character" w:customStyle="1" w:styleId="219">
    <w:name w:val="标题4-dyf Char"/>
    <w:link w:val="220"/>
    <w:autoRedefine/>
    <w:qFormat/>
    <w:uiPriority w:val="0"/>
    <w:rPr>
      <w:rFonts w:ascii="Cambria" w:hAnsi="Cambria"/>
      <w:b/>
      <w:bCs/>
      <w:color w:val="000000"/>
      <w:kern w:val="2"/>
      <w:sz w:val="21"/>
      <w:szCs w:val="21"/>
    </w:rPr>
  </w:style>
  <w:style w:type="paragraph" w:customStyle="1" w:styleId="220">
    <w:name w:val="标题4-dyf"/>
    <w:basedOn w:val="5"/>
    <w:link w:val="219"/>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autoRedefine/>
    <w:qFormat/>
    <w:uiPriority w:val="0"/>
    <w:rPr>
      <w:rFonts w:ascii="宋体" w:hAnsi="宋体" w:eastAsia="宋体"/>
      <w:color w:val="333333"/>
      <w:sz w:val="21"/>
      <w:szCs w:val="21"/>
      <w:u w:val="none"/>
    </w:rPr>
  </w:style>
  <w:style w:type="character" w:customStyle="1" w:styleId="222">
    <w:name w:val="冯 Char"/>
    <w:link w:val="223"/>
    <w:autoRedefine/>
    <w:qFormat/>
    <w:uiPriority w:val="0"/>
    <w:rPr>
      <w:rFonts w:ascii="宋体" w:hAnsi="宋体"/>
      <w:color w:val="000000"/>
      <w:sz w:val="24"/>
      <w:szCs w:val="24"/>
    </w:rPr>
  </w:style>
  <w:style w:type="paragraph" w:customStyle="1" w:styleId="223">
    <w:name w:val="冯"/>
    <w:basedOn w:val="1"/>
    <w:link w:val="222"/>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autoRedefine/>
    <w:qFormat/>
    <w:locked/>
    <w:uiPriority w:val="0"/>
    <w:rPr>
      <w:rFonts w:eastAsia="宋体"/>
      <w:kern w:val="2"/>
      <w:sz w:val="18"/>
      <w:szCs w:val="18"/>
      <w:lang w:val="en-US" w:eastAsia="zh-CN" w:bidi="ar-SA"/>
    </w:rPr>
  </w:style>
  <w:style w:type="character" w:customStyle="1" w:styleId="225">
    <w:name w:val="Char Char12"/>
    <w:autoRedefine/>
    <w:qFormat/>
    <w:uiPriority w:val="0"/>
    <w:rPr>
      <w:rFonts w:ascii="仿宋_GB2312" w:eastAsia="仿宋_GB2312"/>
      <w:b/>
      <w:bCs/>
      <w:kern w:val="2"/>
      <w:sz w:val="24"/>
      <w:szCs w:val="24"/>
      <w:lang w:val="zh-CN" w:eastAsia="zh-CN" w:bidi="ar-SA"/>
    </w:rPr>
  </w:style>
  <w:style w:type="character" w:customStyle="1" w:styleId="226">
    <w:name w:val="题注 Char"/>
    <w:link w:val="16"/>
    <w:autoRedefine/>
    <w:qFormat/>
    <w:uiPriority w:val="0"/>
    <w:rPr>
      <w:b/>
      <w:kern w:val="2"/>
      <w:sz w:val="28"/>
    </w:rPr>
  </w:style>
  <w:style w:type="character" w:customStyle="1" w:styleId="227">
    <w:name w:val="普通文字 Char3"/>
    <w:autoRedefine/>
    <w:qFormat/>
    <w:uiPriority w:val="0"/>
    <w:rPr>
      <w:rFonts w:ascii="宋体" w:hAnsi="Courier New" w:eastAsia="宋体"/>
      <w:kern w:val="2"/>
      <w:sz w:val="21"/>
      <w:lang w:val="en-US" w:eastAsia="zh-CN" w:bidi="ar-SA"/>
    </w:rPr>
  </w:style>
  <w:style w:type="character" w:customStyle="1" w:styleId="228">
    <w:name w:val="公文正文 Char"/>
    <w:autoRedefine/>
    <w:qFormat/>
    <w:uiPriority w:val="0"/>
    <w:rPr>
      <w:rFonts w:ascii="仿宋_GB2312" w:eastAsia="仿宋_GB2312"/>
      <w:kern w:val="2"/>
      <w:sz w:val="24"/>
      <w:szCs w:val="24"/>
      <w:lang w:val="en-US" w:eastAsia="zh-CN" w:bidi="ar-SA"/>
    </w:rPr>
  </w:style>
  <w:style w:type="character" w:customStyle="1" w:styleId="229">
    <w:name w:val="正文首行缩进 Char Char Char Char Char"/>
    <w:autoRedefine/>
    <w:qFormat/>
    <w:uiPriority w:val="0"/>
    <w:rPr>
      <w:rFonts w:ascii="宋体"/>
      <w:kern w:val="2"/>
      <w:sz w:val="24"/>
      <w:lang w:val="zh-CN"/>
    </w:rPr>
  </w:style>
  <w:style w:type="character" w:customStyle="1" w:styleId="230">
    <w:name w:val="PI Char"/>
    <w:autoRedefine/>
    <w:qFormat/>
    <w:uiPriority w:val="0"/>
    <w:rPr>
      <w:rFonts w:ascii="宋体" w:hAnsi="宋体" w:eastAsia="宋体"/>
      <w:kern w:val="2"/>
      <w:sz w:val="24"/>
      <w:szCs w:val="24"/>
      <w:lang w:val="en-US" w:eastAsia="zh-CN" w:bidi="ar-SA"/>
    </w:rPr>
  </w:style>
  <w:style w:type="character" w:customStyle="1" w:styleId="231">
    <w:name w:val="Default Char"/>
    <w:link w:val="232"/>
    <w:autoRedefine/>
    <w:qFormat/>
    <w:uiPriority w:val="0"/>
    <w:rPr>
      <w:rFonts w:ascii="仿宋_GB2312" w:eastAsia="仿宋_GB2312" w:cs="仿宋_GB2312"/>
      <w:color w:val="000000"/>
      <w:sz w:val="24"/>
      <w:szCs w:val="24"/>
      <w:lang w:val="en-US" w:eastAsia="zh-CN" w:bidi="ar-SA"/>
    </w:rPr>
  </w:style>
  <w:style w:type="paragraph" w:customStyle="1" w:styleId="232">
    <w:name w:val="Default"/>
    <w:link w:val="23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autoRedefine/>
    <w:qFormat/>
    <w:uiPriority w:val="0"/>
    <w:rPr>
      <w:color w:val="333333"/>
    </w:rPr>
  </w:style>
  <w:style w:type="character" w:customStyle="1" w:styleId="234">
    <w:name w:val="列出段落 Char2"/>
    <w:autoRedefine/>
    <w:qFormat/>
    <w:uiPriority w:val="34"/>
    <w:rPr>
      <w:rFonts w:ascii="Calibri" w:hAnsi="Calibri"/>
      <w:kern w:val="2"/>
      <w:sz w:val="28"/>
    </w:rPr>
  </w:style>
  <w:style w:type="character" w:customStyle="1" w:styleId="235">
    <w:name w:val="mdeck"/>
    <w:autoRedefine/>
    <w:qFormat/>
    <w:uiPriority w:val="0"/>
    <w:rPr>
      <w:rFonts w:ascii="仿宋_GB2312" w:eastAsia="微软雅黑"/>
      <w:b/>
      <w:kern w:val="2"/>
      <w:sz w:val="32"/>
      <w:szCs w:val="32"/>
      <w:lang w:val="en-US" w:eastAsia="zh-CN" w:bidi="ar-SA"/>
    </w:rPr>
  </w:style>
  <w:style w:type="character" w:customStyle="1" w:styleId="236">
    <w:name w:val="unnamed11"/>
    <w:autoRedefine/>
    <w:qFormat/>
    <w:uiPriority w:val="0"/>
    <w:rPr>
      <w:sz w:val="20"/>
      <w:szCs w:val="20"/>
    </w:rPr>
  </w:style>
  <w:style w:type="character" w:customStyle="1" w:styleId="237">
    <w:name w:val="正文文本 Char2"/>
    <w:autoRedefine/>
    <w:semiHidden/>
    <w:qFormat/>
    <w:uiPriority w:val="99"/>
    <w:rPr>
      <w:rFonts w:ascii="Times New Roman" w:hAnsi="Times New Roman" w:eastAsia="宋体" w:cs="Times New Roman"/>
      <w:snapToGrid w:val="0"/>
      <w:kern w:val="0"/>
      <w:szCs w:val="24"/>
    </w:rPr>
  </w:style>
  <w:style w:type="character" w:customStyle="1" w:styleId="238">
    <w:name w:val="标书正文格式 Char"/>
    <w:autoRedefine/>
    <w:qFormat/>
    <w:uiPriority w:val="0"/>
    <w:rPr>
      <w:rFonts w:eastAsia="楷体_GB2312"/>
      <w:kern w:val="2"/>
      <w:sz w:val="24"/>
      <w:szCs w:val="24"/>
      <w:lang w:bidi="ar-SA"/>
    </w:rPr>
  </w:style>
  <w:style w:type="character" w:customStyle="1" w:styleId="239">
    <w:name w:val="Char Char11"/>
    <w:autoRedefine/>
    <w:qFormat/>
    <w:locked/>
    <w:uiPriority w:val="0"/>
    <w:rPr>
      <w:rFonts w:ascii="宋体" w:hAnsi="宋体" w:eastAsia="宋体"/>
      <w:b/>
      <w:kern w:val="2"/>
      <w:sz w:val="24"/>
      <w:szCs w:val="24"/>
      <w:lang w:val="en-US" w:eastAsia="zh-CN" w:bidi="ar-SA"/>
    </w:rPr>
  </w:style>
  <w:style w:type="character" w:customStyle="1" w:styleId="240">
    <w:name w:val="ca-131"/>
    <w:autoRedefine/>
    <w:qFormat/>
    <w:uiPriority w:val="0"/>
    <w:rPr>
      <w:rFonts w:hint="eastAsia" w:ascii="仿宋_GB2312" w:eastAsia="仿宋_GB2312"/>
      <w:b/>
      <w:bCs/>
      <w:color w:val="000000"/>
      <w:spacing w:val="-20"/>
      <w:sz w:val="24"/>
      <w:szCs w:val="24"/>
    </w:rPr>
  </w:style>
  <w:style w:type="character" w:customStyle="1" w:styleId="241">
    <w:name w:val="tw4winMark"/>
    <w:autoRedefine/>
    <w:qFormat/>
    <w:uiPriority w:val="0"/>
    <w:rPr>
      <w:rFonts w:ascii="Courier New" w:hAnsi="Courier New" w:cs="Courier New"/>
      <w:vanish/>
      <w:color w:val="800080"/>
      <w:sz w:val="24"/>
      <w:szCs w:val="24"/>
      <w:vertAlign w:val="subscript"/>
    </w:rPr>
  </w:style>
  <w:style w:type="character" w:customStyle="1" w:styleId="242">
    <w:name w:val="正文样式 Char"/>
    <w:link w:val="243"/>
    <w:autoRedefine/>
    <w:qFormat/>
    <w:uiPriority w:val="0"/>
    <w:rPr>
      <w:rFonts w:ascii="Calibri" w:hAnsi="Calibri"/>
      <w:sz w:val="24"/>
      <w:szCs w:val="24"/>
    </w:rPr>
  </w:style>
  <w:style w:type="paragraph" w:customStyle="1" w:styleId="243">
    <w:name w:val="正文样式"/>
    <w:basedOn w:val="1"/>
    <w:link w:val="242"/>
    <w:autoRedefine/>
    <w:qFormat/>
    <w:uiPriority w:val="0"/>
    <w:pPr>
      <w:adjustRightInd/>
      <w:spacing w:line="360" w:lineRule="auto"/>
      <w:ind w:firstLine="480" w:firstLineChars="200"/>
    </w:pPr>
    <w:rPr>
      <w:kern w:val="0"/>
      <w:sz w:val="24"/>
    </w:rPr>
  </w:style>
  <w:style w:type="character" w:customStyle="1" w:styleId="244">
    <w:name w:val="表正文 Char3"/>
    <w:autoRedefine/>
    <w:qFormat/>
    <w:uiPriority w:val="0"/>
    <w:rPr>
      <w:rFonts w:eastAsia="宋体"/>
    </w:rPr>
  </w:style>
  <w:style w:type="character" w:customStyle="1" w:styleId="245">
    <w:name w:val="H5 Char"/>
    <w:autoRedefine/>
    <w:qFormat/>
    <w:uiPriority w:val="0"/>
    <w:rPr>
      <w:b/>
      <w:bCs/>
      <w:kern w:val="2"/>
      <w:sz w:val="28"/>
      <w:szCs w:val="28"/>
    </w:rPr>
  </w:style>
  <w:style w:type="character" w:customStyle="1" w:styleId="246">
    <w:name w:val="Char Char3"/>
    <w:autoRedefine/>
    <w:qFormat/>
    <w:uiPriority w:val="0"/>
    <w:rPr>
      <w:rFonts w:eastAsia="宋体"/>
      <w:kern w:val="2"/>
      <w:sz w:val="21"/>
      <w:szCs w:val="24"/>
      <w:lang w:val="en-US" w:eastAsia="zh-CN" w:bidi="ar-SA"/>
    </w:rPr>
  </w:style>
  <w:style w:type="character" w:customStyle="1" w:styleId="247">
    <w:name w:val="正文 编号 Char"/>
    <w:autoRedefine/>
    <w:qFormat/>
    <w:uiPriority w:val="0"/>
    <w:rPr>
      <w:rFonts w:ascii="仿宋_GB2312" w:hAnsi="仿宋_GB2312" w:eastAsia="仿宋_GB2312"/>
      <w:kern w:val="2"/>
      <w:sz w:val="24"/>
      <w:lang w:bidi="ar-SA"/>
    </w:rPr>
  </w:style>
  <w:style w:type="character" w:customStyle="1" w:styleId="248">
    <w:name w:val="question-title2"/>
    <w:autoRedefine/>
    <w:qFormat/>
    <w:uiPriority w:val="6"/>
    <w:rPr>
      <w:rFonts w:ascii="Arial" w:hAnsi="Arial" w:eastAsia="黑体" w:cs="Arial"/>
      <w:snapToGrid w:val="0"/>
      <w:kern w:val="0"/>
      <w:szCs w:val="21"/>
    </w:rPr>
  </w:style>
  <w:style w:type="character" w:customStyle="1" w:styleId="249">
    <w:name w:val="gf正文1 Char Char"/>
    <w:link w:val="250"/>
    <w:autoRedefine/>
    <w:qFormat/>
    <w:uiPriority w:val="0"/>
    <w:rPr>
      <w:rFonts w:ascii="宋体" w:hAnsi="宋体" w:cs="宋体"/>
      <w:kern w:val="2"/>
      <w:sz w:val="24"/>
      <w:szCs w:val="24"/>
    </w:rPr>
  </w:style>
  <w:style w:type="paragraph" w:customStyle="1" w:styleId="250">
    <w:name w:val="gf正文1"/>
    <w:basedOn w:val="1"/>
    <w:link w:val="249"/>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autoRedefine/>
    <w:qFormat/>
    <w:uiPriority w:val="6"/>
    <w:rPr>
      <w:rFonts w:ascii="宋体" w:hAnsi="宋体"/>
      <w:kern w:val="1"/>
      <w:sz w:val="21"/>
    </w:rPr>
  </w:style>
  <w:style w:type="character" w:customStyle="1" w:styleId="252">
    <w:name w:val="正文缩进 Char3"/>
    <w:autoRedefine/>
    <w:qFormat/>
    <w:uiPriority w:val="0"/>
    <w:rPr>
      <w:rFonts w:ascii="宋体" w:eastAsia="宋体"/>
      <w:snapToGrid w:val="0"/>
      <w:color w:val="000000"/>
      <w:kern w:val="28"/>
      <w:sz w:val="28"/>
      <w:lang w:val="en-US" w:eastAsia="zh-CN" w:bidi="ar-SA"/>
    </w:rPr>
  </w:style>
  <w:style w:type="character" w:customStyle="1" w:styleId="253">
    <w:name w:val="列出段落 Char1"/>
    <w:link w:val="254"/>
    <w:autoRedefine/>
    <w:qFormat/>
    <w:uiPriority w:val="0"/>
    <w:rPr>
      <w:rFonts w:ascii="Calibri" w:hAnsi="Calibri"/>
      <w:sz w:val="24"/>
      <w:lang w:eastAsia="en-US"/>
    </w:rPr>
  </w:style>
  <w:style w:type="paragraph" w:customStyle="1" w:styleId="254">
    <w:name w:val="列表1"/>
    <w:basedOn w:val="1"/>
    <w:next w:val="255"/>
    <w:link w:val="253"/>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6">
    <w:name w:val="Char Char8"/>
    <w:autoRedefine/>
    <w:qFormat/>
    <w:uiPriority w:val="0"/>
    <w:rPr>
      <w:rFonts w:eastAsia="宋体"/>
      <w:b/>
      <w:sz w:val="24"/>
      <w:lang w:val="en-GB" w:eastAsia="zh-CN"/>
    </w:rPr>
  </w:style>
  <w:style w:type="character" w:customStyle="1" w:styleId="257">
    <w:name w:val="Normal Indent Char Char"/>
    <w:autoRedefine/>
    <w:qFormat/>
    <w:uiPriority w:val="0"/>
    <w:rPr>
      <w:rFonts w:eastAsia="宋体"/>
      <w:kern w:val="2"/>
      <w:sz w:val="21"/>
      <w:lang w:val="en-US" w:eastAsia="zh-CN" w:bidi="ar-SA"/>
    </w:rPr>
  </w:style>
  <w:style w:type="character" w:customStyle="1" w:styleId="258">
    <w:name w:val="列表段落 字符"/>
    <w:autoRedefine/>
    <w:qFormat/>
    <w:uiPriority w:val="99"/>
  </w:style>
  <w:style w:type="character" w:customStyle="1" w:styleId="259">
    <w:name w:val="Ò³Ã¼ Char Char1"/>
    <w:autoRedefine/>
    <w:qFormat/>
    <w:uiPriority w:val="0"/>
    <w:rPr>
      <w:rFonts w:eastAsia="宋体"/>
      <w:kern w:val="2"/>
      <w:sz w:val="18"/>
      <w:szCs w:val="18"/>
      <w:lang w:val="en-US" w:eastAsia="zh-CN" w:bidi="ar-SA"/>
    </w:rPr>
  </w:style>
  <w:style w:type="character" w:customStyle="1" w:styleId="260">
    <w:name w:val="方案正文 Char"/>
    <w:autoRedefine/>
    <w:qFormat/>
    <w:uiPriority w:val="0"/>
    <w:rPr>
      <w:rFonts w:ascii="仿宋_GB2312" w:eastAsia="仿宋_GB2312"/>
      <w:b/>
      <w:color w:val="000000"/>
      <w:kern w:val="2"/>
      <w:sz w:val="24"/>
      <w:lang w:val="en-US" w:eastAsia="zh-CN" w:bidi="ar-SA"/>
    </w:rPr>
  </w:style>
  <w:style w:type="character" w:customStyle="1" w:styleId="261">
    <w:name w:val="Char Char30"/>
    <w:autoRedefine/>
    <w:qFormat/>
    <w:uiPriority w:val="6"/>
    <w:rPr>
      <w:rFonts w:ascii="Arial" w:hAnsi="Arial" w:eastAsia="黑体"/>
      <w:kern w:val="1"/>
      <w:sz w:val="21"/>
      <w:szCs w:val="21"/>
    </w:rPr>
  </w:style>
  <w:style w:type="character" w:customStyle="1" w:styleId="262">
    <w:name w:val="正文文本缩进 Char3"/>
    <w:link w:val="26"/>
    <w:autoRedefine/>
    <w:qFormat/>
    <w:uiPriority w:val="0"/>
    <w:rPr>
      <w:rFonts w:ascii="宋体" w:hAnsi="宋体"/>
      <w:kern w:val="2"/>
      <w:sz w:val="24"/>
      <w:szCs w:val="24"/>
    </w:rPr>
  </w:style>
  <w:style w:type="character" w:customStyle="1" w:styleId="263">
    <w:name w:val="font01"/>
    <w:autoRedefine/>
    <w:qFormat/>
    <w:uiPriority w:val="0"/>
    <w:rPr>
      <w:rFonts w:hint="eastAsia" w:ascii="微软雅黑" w:hAnsi="微软雅黑" w:eastAsia="微软雅黑" w:cs="微软雅黑"/>
      <w:color w:val="000000"/>
      <w:sz w:val="20"/>
      <w:szCs w:val="20"/>
      <w:u w:val="none"/>
    </w:rPr>
  </w:style>
  <w:style w:type="character" w:customStyle="1" w:styleId="264">
    <w:name w:val="Char Char20"/>
    <w:autoRedefine/>
    <w:qFormat/>
    <w:uiPriority w:val="6"/>
    <w:rPr>
      <w:kern w:val="1"/>
      <w:sz w:val="24"/>
    </w:rPr>
  </w:style>
  <w:style w:type="character" w:customStyle="1" w:styleId="265">
    <w:name w:val="tw4winExternal"/>
    <w:autoRedefine/>
    <w:qFormat/>
    <w:uiPriority w:val="0"/>
    <w:rPr>
      <w:rFonts w:ascii="Courier New" w:hAnsi="Courier New" w:cs="Courier New"/>
      <w:color w:val="808080"/>
      <w:lang w:val="en-US" w:eastAsia="zh-CN"/>
    </w:rPr>
  </w:style>
  <w:style w:type="character" w:customStyle="1" w:styleId="266">
    <w:name w:val="标题 4 Char1"/>
    <w:autoRedefine/>
    <w:qFormat/>
    <w:uiPriority w:val="9"/>
    <w:rPr>
      <w:rFonts w:ascii="Cambria" w:hAnsi="Cambria" w:eastAsia="宋体" w:cs="Times New Roman"/>
      <w:b/>
      <w:bCs/>
      <w:kern w:val="2"/>
      <w:sz w:val="28"/>
      <w:szCs w:val="28"/>
    </w:rPr>
  </w:style>
  <w:style w:type="character" w:customStyle="1" w:styleId="267">
    <w:name w:val="批注文字 Char2"/>
    <w:autoRedefine/>
    <w:qFormat/>
    <w:uiPriority w:val="99"/>
    <w:rPr>
      <w:rFonts w:ascii="Times New Roman" w:hAnsi="Times New Roman" w:eastAsia="宋体" w:cs="Times New Roman"/>
      <w:snapToGrid w:val="0"/>
      <w:kern w:val="0"/>
      <w:szCs w:val="24"/>
    </w:rPr>
  </w:style>
  <w:style w:type="character" w:customStyle="1" w:styleId="268">
    <w:name w:val="正文文本 2 Char"/>
    <w:autoRedefine/>
    <w:qFormat/>
    <w:uiPriority w:val="0"/>
    <w:rPr>
      <w:rFonts w:eastAsia="宋体"/>
      <w:kern w:val="2"/>
      <w:sz w:val="21"/>
      <w:szCs w:val="24"/>
      <w:lang w:val="en-US" w:eastAsia="zh-CN" w:bidi="ar-SA"/>
    </w:rPr>
  </w:style>
  <w:style w:type="character" w:customStyle="1" w:styleId="269">
    <w:name w:val="Ò³Ã¼ Char Char"/>
    <w:autoRedefine/>
    <w:qFormat/>
    <w:uiPriority w:val="0"/>
    <w:rPr>
      <w:rFonts w:eastAsia="宋体"/>
      <w:kern w:val="2"/>
      <w:sz w:val="18"/>
      <w:lang w:val="en-US" w:eastAsia="zh-CN" w:bidi="ar-SA"/>
    </w:rPr>
  </w:style>
  <w:style w:type="character" w:customStyle="1" w:styleId="270">
    <w:name w:val="message1"/>
    <w:autoRedefine/>
    <w:qFormat/>
    <w:uiPriority w:val="0"/>
    <w:rPr>
      <w:rFonts w:hint="default" w:ascii="Tahoma" w:hAnsi="Tahoma" w:cs="Tahoma"/>
      <w:sz w:val="18"/>
      <w:szCs w:val="18"/>
    </w:rPr>
  </w:style>
  <w:style w:type="character" w:customStyle="1" w:styleId="271">
    <w:name w:val="Char Char23"/>
    <w:autoRedefine/>
    <w:qFormat/>
    <w:uiPriority w:val="6"/>
    <w:rPr>
      <w:color w:val="0000FF"/>
      <w:sz w:val="21"/>
    </w:rPr>
  </w:style>
  <w:style w:type="character" w:customStyle="1" w:styleId="272">
    <w:name w:val="批注框文本 字符"/>
    <w:autoRedefine/>
    <w:qFormat/>
    <w:uiPriority w:val="0"/>
    <w:rPr>
      <w:rFonts w:ascii="Arial" w:hAnsi="Arial" w:eastAsia="黑体" w:cs="Arial"/>
      <w:snapToGrid w:val="0"/>
      <w:kern w:val="0"/>
      <w:sz w:val="18"/>
      <w:szCs w:val="18"/>
    </w:rPr>
  </w:style>
  <w:style w:type="character" w:customStyle="1" w:styleId="273">
    <w:name w:val="纯文本 Char2"/>
    <w:autoRedefine/>
    <w:semiHidden/>
    <w:qFormat/>
    <w:uiPriority w:val="99"/>
    <w:rPr>
      <w:rFonts w:ascii="宋体" w:hAnsi="Courier New" w:eastAsia="宋体" w:cs="Courier New"/>
    </w:rPr>
  </w:style>
  <w:style w:type="character" w:customStyle="1" w:styleId="274">
    <w:name w:val="Char Char25"/>
    <w:autoRedefine/>
    <w:qFormat/>
    <w:uiPriority w:val="6"/>
    <w:rPr>
      <w:rFonts w:ascii="宋体" w:hAnsi="宋体"/>
      <w:kern w:val="1"/>
      <w:sz w:val="24"/>
      <w:lang w:val="zh-CN"/>
    </w:rPr>
  </w:style>
  <w:style w:type="character" w:customStyle="1" w:styleId="275">
    <w:name w:val="Char Char411"/>
    <w:autoRedefine/>
    <w:qFormat/>
    <w:uiPriority w:val="0"/>
    <w:rPr>
      <w:rFonts w:eastAsia="宋体"/>
      <w:b/>
      <w:sz w:val="24"/>
      <w:lang w:val="en-GB" w:eastAsia="zh-CN" w:bidi="ar-SA"/>
    </w:rPr>
  </w:style>
  <w:style w:type="character" w:customStyle="1" w:styleId="276">
    <w:name w:val="Heading 7 Char"/>
    <w:autoRedefine/>
    <w:qFormat/>
    <w:locked/>
    <w:uiPriority w:val="0"/>
    <w:rPr>
      <w:rFonts w:ascii="宋体" w:hAnsi="宋体" w:eastAsia="宋体"/>
      <w:b/>
      <w:bCs/>
      <w:kern w:val="2"/>
      <w:sz w:val="24"/>
      <w:szCs w:val="24"/>
      <w:lang w:val="en-US" w:eastAsia="zh-CN" w:bidi="ar-SA"/>
    </w:rPr>
  </w:style>
  <w:style w:type="character" w:customStyle="1" w:styleId="277">
    <w:name w:val="此正文 Char"/>
    <w:link w:val="278"/>
    <w:autoRedefine/>
    <w:qFormat/>
    <w:uiPriority w:val="0"/>
    <w:rPr>
      <w:kern w:val="2"/>
      <w:sz w:val="24"/>
      <w:szCs w:val="24"/>
    </w:rPr>
  </w:style>
  <w:style w:type="paragraph" w:customStyle="1" w:styleId="278">
    <w:name w:val="此正文"/>
    <w:basedOn w:val="1"/>
    <w:link w:val="277"/>
    <w:autoRedefine/>
    <w:qFormat/>
    <w:uiPriority w:val="0"/>
    <w:pPr>
      <w:adjustRightInd/>
      <w:spacing w:line="360" w:lineRule="auto"/>
      <w:ind w:firstLine="200" w:firstLineChars="200"/>
    </w:pPr>
    <w:rPr>
      <w:sz w:val="24"/>
    </w:rPr>
  </w:style>
  <w:style w:type="character" w:customStyle="1" w:styleId="279">
    <w:name w:val="Char Char2"/>
    <w:autoRedefine/>
    <w:qFormat/>
    <w:uiPriority w:val="0"/>
    <w:rPr>
      <w:rFonts w:eastAsia="宋体"/>
      <w:b/>
      <w:bCs/>
      <w:kern w:val="2"/>
      <w:sz w:val="21"/>
      <w:szCs w:val="24"/>
      <w:lang w:val="en-US" w:eastAsia="zh-CN" w:bidi="ar-SA"/>
    </w:rPr>
  </w:style>
  <w:style w:type="character" w:customStyle="1" w:styleId="280">
    <w:name w:val="标题 1 Char"/>
    <w:link w:val="3"/>
    <w:autoRedefine/>
    <w:qFormat/>
    <w:uiPriority w:val="9"/>
    <w:rPr>
      <w:b/>
      <w:bCs/>
      <w:kern w:val="44"/>
      <w:sz w:val="44"/>
      <w:szCs w:val="44"/>
    </w:rPr>
  </w:style>
  <w:style w:type="character" w:customStyle="1" w:styleId="281">
    <w:name w:val="Footer-Even Char1"/>
    <w:autoRedefine/>
    <w:qFormat/>
    <w:uiPriority w:val="0"/>
    <w:rPr>
      <w:rFonts w:eastAsia="宋体"/>
      <w:kern w:val="2"/>
      <w:sz w:val="18"/>
      <w:szCs w:val="18"/>
      <w:lang w:val="en-US" w:eastAsia="zh-CN" w:bidi="ar-SA"/>
    </w:rPr>
  </w:style>
  <w:style w:type="character" w:customStyle="1" w:styleId="282">
    <w:name w:val="Char Char29"/>
    <w:autoRedefine/>
    <w:qFormat/>
    <w:uiPriority w:val="6"/>
    <w:rPr>
      <w:rFonts w:ascii="Arial" w:hAnsi="Arial" w:eastAsia="微软雅黑"/>
      <w:b/>
      <w:kern w:val="1"/>
      <w:sz w:val="44"/>
      <w:szCs w:val="32"/>
      <w:lang w:val="en-US" w:eastAsia="zh-CN" w:bidi="ar-SA"/>
    </w:rPr>
  </w:style>
  <w:style w:type="character" w:customStyle="1" w:styleId="283">
    <w:name w:val="标题 Char2"/>
    <w:link w:val="59"/>
    <w:autoRedefine/>
    <w:qFormat/>
    <w:uiPriority w:val="10"/>
    <w:rPr>
      <w:b/>
      <w:sz w:val="24"/>
      <w:lang w:val="en-GB"/>
    </w:rPr>
  </w:style>
  <w:style w:type="character" w:customStyle="1" w:styleId="284">
    <w:name w:val="font81"/>
    <w:autoRedefine/>
    <w:qFormat/>
    <w:uiPriority w:val="0"/>
    <w:rPr>
      <w:rFonts w:ascii="微软雅黑" w:hAnsi="微软雅黑" w:eastAsia="微软雅黑" w:cs="微软雅黑"/>
      <w:color w:val="000000"/>
      <w:sz w:val="20"/>
      <w:szCs w:val="20"/>
      <w:u w:val="none"/>
    </w:rPr>
  </w:style>
  <w:style w:type="character" w:customStyle="1" w:styleId="285">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6">
    <w:name w:val="t21"/>
    <w:autoRedefine/>
    <w:qFormat/>
    <w:uiPriority w:val="0"/>
    <w:rPr>
      <w:rFonts w:ascii="仿宋_GB2312" w:eastAsia="微软雅黑"/>
      <w:b/>
      <w:kern w:val="2"/>
      <w:sz w:val="23"/>
      <w:szCs w:val="23"/>
      <w:lang w:val="en-US" w:eastAsia="zh-CN" w:bidi="ar-SA"/>
    </w:rPr>
  </w:style>
  <w:style w:type="character" w:customStyle="1" w:styleId="287">
    <w:name w:val="样式8 Char"/>
    <w:autoRedefine/>
    <w:qFormat/>
    <w:uiPriority w:val="0"/>
    <w:rPr>
      <w:rFonts w:ascii="仿宋_GB2312" w:hAnsi="宋体" w:eastAsia="仿宋_GB2312"/>
      <w:b/>
      <w:bCs/>
      <w:kern w:val="2"/>
      <w:sz w:val="24"/>
      <w:szCs w:val="24"/>
    </w:rPr>
  </w:style>
  <w:style w:type="character" w:customStyle="1" w:styleId="288">
    <w:name w:val="表格 Char Char"/>
    <w:autoRedefine/>
    <w:qFormat/>
    <w:uiPriority w:val="0"/>
    <w:rPr>
      <w:rFonts w:ascii="宋体" w:hAnsi="宋体" w:eastAsia="宋体"/>
      <w:lang w:bidi="ar-SA"/>
    </w:rPr>
  </w:style>
  <w:style w:type="character" w:customStyle="1" w:styleId="289">
    <w:name w:val="正文文本 字符1"/>
    <w:autoRedefine/>
    <w:qFormat/>
    <w:uiPriority w:val="0"/>
    <w:rPr>
      <w:rFonts w:ascii="Calibri" w:hAnsi="Calibri" w:eastAsia="黑体" w:cs="Arial"/>
      <w:snapToGrid w:val="0"/>
      <w:kern w:val="2"/>
      <w:sz w:val="28"/>
      <w:szCs w:val="21"/>
    </w:rPr>
  </w:style>
  <w:style w:type="character" w:customStyle="1" w:styleId="290">
    <w:name w:val="标题 5 Char"/>
    <w:link w:val="6"/>
    <w:autoRedefine/>
    <w:qFormat/>
    <w:uiPriority w:val="9"/>
    <w:rPr>
      <w:b/>
      <w:bCs/>
      <w:kern w:val="2"/>
      <w:sz w:val="28"/>
      <w:szCs w:val="28"/>
    </w:rPr>
  </w:style>
  <w:style w:type="character" w:customStyle="1" w:styleId="291">
    <w:name w:val="标题 6 Char1"/>
    <w:autoRedefine/>
    <w:qFormat/>
    <w:uiPriority w:val="0"/>
    <w:rPr>
      <w:rFonts w:ascii="Arial" w:hAnsi="Arial" w:eastAsia="黑体" w:cs="Times New Roman"/>
      <w:b/>
      <w:sz w:val="24"/>
      <w:szCs w:val="20"/>
      <w:lang w:bidi="ar-SA"/>
    </w:rPr>
  </w:style>
  <w:style w:type="character" w:customStyle="1" w:styleId="292">
    <w:name w:val="带编号样式 Char"/>
    <w:autoRedefine/>
    <w:qFormat/>
    <w:uiPriority w:val="0"/>
    <w:rPr>
      <w:rFonts w:ascii="仿宋_GB2312" w:eastAsia="仿宋_GB2312"/>
      <w:color w:val="000000"/>
      <w:sz w:val="24"/>
      <w:lang w:bidi="ar-SA"/>
    </w:rPr>
  </w:style>
  <w:style w:type="character" w:customStyle="1" w:styleId="293">
    <w:name w:val="unnamed31"/>
    <w:autoRedefine/>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autoRedefine/>
    <w:qFormat/>
    <w:uiPriority w:val="0"/>
    <w:rPr>
      <w:rFonts w:ascii="宋体" w:eastAsia="宋体"/>
      <w:kern w:val="2"/>
      <w:sz w:val="24"/>
      <w:szCs w:val="24"/>
      <w:lang w:val="zh-CN" w:bidi="ar-SA"/>
    </w:rPr>
  </w:style>
  <w:style w:type="character" w:customStyle="1" w:styleId="295">
    <w:name w:val="称呼 Char"/>
    <w:link w:val="20"/>
    <w:autoRedefine/>
    <w:qFormat/>
    <w:uiPriority w:val="0"/>
    <w:rPr>
      <w:rFonts w:ascii="仿宋_GB2312" w:eastAsia="仿宋_GB2312"/>
      <w:kern w:val="2"/>
      <w:sz w:val="28"/>
    </w:rPr>
  </w:style>
  <w:style w:type="character" w:customStyle="1" w:styleId="296">
    <w:name w:val="文本正文 Char Char"/>
    <w:autoRedefine/>
    <w:qFormat/>
    <w:locked/>
    <w:uiPriority w:val="0"/>
    <w:rPr>
      <w:sz w:val="24"/>
      <w:lang w:bidi="ar-SA"/>
    </w:rPr>
  </w:style>
  <w:style w:type="character" w:customStyle="1" w:styleId="297">
    <w:name w:val="正文缩进 字符"/>
    <w:autoRedefine/>
    <w:qFormat/>
    <w:uiPriority w:val="0"/>
    <w:rPr>
      <w:rFonts w:ascii="宋体" w:eastAsia="宋体"/>
      <w:snapToGrid w:val="0"/>
      <w:color w:val="000000"/>
      <w:kern w:val="28"/>
      <w:sz w:val="28"/>
      <w:lang w:val="en-US" w:eastAsia="zh-CN" w:bidi="ar-SA"/>
    </w:rPr>
  </w:style>
  <w:style w:type="character" w:customStyle="1" w:styleId="298">
    <w:name w:val="HTML 预设格式 Char"/>
    <w:link w:val="57"/>
    <w:autoRedefine/>
    <w:qFormat/>
    <w:uiPriority w:val="0"/>
    <w:rPr>
      <w:rFonts w:ascii="黑体" w:hAnsi="Courier New" w:eastAsia="黑体"/>
    </w:rPr>
  </w:style>
  <w:style w:type="character" w:customStyle="1" w:styleId="299">
    <w:name w:val="正文文本 2 Char1"/>
    <w:link w:val="56"/>
    <w:autoRedefine/>
    <w:qFormat/>
    <w:uiPriority w:val="0"/>
    <w:rPr>
      <w:kern w:val="2"/>
      <w:sz w:val="21"/>
      <w:szCs w:val="24"/>
    </w:rPr>
  </w:style>
  <w:style w:type="character" w:customStyle="1" w:styleId="300">
    <w:name w:val="样式 样式 标题 4h4H4Fab-4T5Ref Heading 1rh1Heading sqlsect 1.2.3.... +... Char"/>
    <w:link w:val="301"/>
    <w:autoRedefine/>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autoRedefine/>
    <w:qFormat/>
    <w:uiPriority w:val="0"/>
    <w:pPr>
      <w:tabs>
        <w:tab w:val="left" w:pos="2356"/>
      </w:tabs>
    </w:pPr>
  </w:style>
  <w:style w:type="paragraph" w:customStyle="1" w:styleId="302">
    <w:name w:val="样式 标题 4h4H4Fab-4T5Ref Heading 1rh1Heading sqlsect 1.2.3...."/>
    <w:basedOn w:val="5"/>
    <w:link w:val="410"/>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autoRedefine/>
    <w:qFormat/>
    <w:uiPriority w:val="0"/>
    <w:rPr>
      <w:rFonts w:ascii="宋体" w:eastAsia="宋体"/>
      <w:snapToGrid w:val="0"/>
      <w:color w:val="000000"/>
      <w:kern w:val="28"/>
      <w:sz w:val="28"/>
      <w:lang w:val="en-US" w:eastAsia="zh-CN" w:bidi="ar-SA"/>
    </w:rPr>
  </w:style>
  <w:style w:type="character" w:customStyle="1" w:styleId="304">
    <w:name w:val="标题 7 Char"/>
    <w:link w:val="8"/>
    <w:autoRedefine/>
    <w:qFormat/>
    <w:uiPriority w:val="0"/>
    <w:rPr>
      <w:b/>
      <w:bCs/>
      <w:kern w:val="2"/>
      <w:sz w:val="24"/>
      <w:szCs w:val="24"/>
    </w:rPr>
  </w:style>
  <w:style w:type="character" w:customStyle="1" w:styleId="305">
    <w:name w:val="正文文本缩进 2 Char"/>
    <w:link w:val="38"/>
    <w:autoRedefine/>
    <w:qFormat/>
    <w:uiPriority w:val="0"/>
    <w:rPr>
      <w:rFonts w:ascii="宋体"/>
      <w:sz w:val="28"/>
    </w:rPr>
  </w:style>
  <w:style w:type="character" w:customStyle="1" w:styleId="306">
    <w:name w:val="Char Char5"/>
    <w:autoRedefine/>
    <w:qFormat/>
    <w:uiPriority w:val="0"/>
    <w:rPr>
      <w:rFonts w:ascii="宋体" w:hAnsi="Courier New" w:eastAsia="宋体"/>
      <w:kern w:val="2"/>
      <w:sz w:val="21"/>
      <w:lang w:val="en-US" w:eastAsia="zh-CN"/>
    </w:rPr>
  </w:style>
  <w:style w:type="character" w:customStyle="1" w:styleId="307">
    <w:name w:val="脚注文本 Char"/>
    <w:link w:val="51"/>
    <w:autoRedefine/>
    <w:qFormat/>
    <w:uiPriority w:val="0"/>
    <w:rPr>
      <w:color w:val="0000FF"/>
      <w:sz w:val="21"/>
    </w:rPr>
  </w:style>
  <w:style w:type="character" w:customStyle="1" w:styleId="308">
    <w:name w:val="称呼 Char1"/>
    <w:autoRedefine/>
    <w:qFormat/>
    <w:uiPriority w:val="0"/>
    <w:rPr>
      <w:rFonts w:ascii="Times New Roman" w:hAnsi="Times New Roman" w:eastAsia="宋体" w:cs="Times New Roman"/>
      <w:szCs w:val="24"/>
    </w:rPr>
  </w:style>
  <w:style w:type="character" w:customStyle="1" w:styleId="309">
    <w:name w:val="正文1 Char"/>
    <w:autoRedefine/>
    <w:qFormat/>
    <w:uiPriority w:val="0"/>
    <w:rPr>
      <w:rFonts w:ascii="宋体" w:eastAsia="宋体"/>
      <w:snapToGrid w:val="0"/>
      <w:color w:val="000000"/>
      <w:kern w:val="28"/>
      <w:sz w:val="28"/>
      <w:lang w:val="en-US" w:eastAsia="zh-CN" w:bidi="ar-SA"/>
    </w:rPr>
  </w:style>
  <w:style w:type="character" w:customStyle="1" w:styleId="310">
    <w:name w:val="正文缩进 Char1"/>
    <w:autoRedefine/>
    <w:qFormat/>
    <w:uiPriority w:val="0"/>
    <w:rPr>
      <w:rFonts w:ascii="宋体" w:eastAsia="宋体"/>
      <w:snapToGrid w:val="0"/>
      <w:color w:val="000000"/>
      <w:kern w:val="28"/>
      <w:sz w:val="28"/>
      <w:lang w:val="en-US" w:eastAsia="zh-CN" w:bidi="ar-SA"/>
    </w:rPr>
  </w:style>
  <w:style w:type="character" w:customStyle="1" w:styleId="311">
    <w:name w:val="font21"/>
    <w:autoRedefine/>
    <w:qFormat/>
    <w:uiPriority w:val="0"/>
    <w:rPr>
      <w:rFonts w:hint="eastAsia" w:ascii="宋体" w:hAnsi="宋体" w:eastAsia="宋体"/>
      <w:kern w:val="2"/>
      <w:sz w:val="28"/>
      <w:szCs w:val="28"/>
      <w:lang w:val="en-US" w:eastAsia="zh-CN" w:bidi="ar-SA"/>
    </w:rPr>
  </w:style>
  <w:style w:type="character" w:customStyle="1" w:styleId="312">
    <w:name w:val="Char Char26"/>
    <w:autoRedefine/>
    <w:qFormat/>
    <w:uiPriority w:val="6"/>
    <w:rPr>
      <w:kern w:val="1"/>
      <w:sz w:val="21"/>
      <w:szCs w:val="24"/>
    </w:rPr>
  </w:style>
  <w:style w:type="character" w:customStyle="1" w:styleId="313">
    <w:name w:val="Item List Char"/>
    <w:link w:val="314"/>
    <w:autoRedefine/>
    <w:qFormat/>
    <w:uiPriority w:val="0"/>
    <w:rPr>
      <w:rFonts w:ascii="Arial"/>
      <w:bCs/>
      <w:sz w:val="21"/>
      <w:szCs w:val="21"/>
      <w:lang w:val="en-US" w:eastAsia="zh-CN" w:bidi="ar-SA"/>
    </w:rPr>
  </w:style>
  <w:style w:type="paragraph" w:customStyle="1" w:styleId="314">
    <w:name w:val="Item List"/>
    <w:link w:val="313"/>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autoRedefine/>
    <w:qFormat/>
    <w:uiPriority w:val="0"/>
    <w:rPr>
      <w:rFonts w:ascii="Times New Roman" w:hAnsi="Times New Roman" w:eastAsia="宋体" w:cs="Times New Roman"/>
      <w:sz w:val="18"/>
      <w:szCs w:val="18"/>
    </w:rPr>
  </w:style>
  <w:style w:type="character" w:customStyle="1" w:styleId="316">
    <w:name w:val="纯文本 Char1"/>
    <w:link w:val="317"/>
    <w:autoRedefine/>
    <w:qFormat/>
    <w:uiPriority w:val="0"/>
    <w:rPr>
      <w:rFonts w:ascii="宋体" w:hAnsi="Courier New"/>
    </w:rPr>
  </w:style>
  <w:style w:type="paragraph" w:customStyle="1" w:styleId="317">
    <w:name w:val="纯文本1"/>
    <w:basedOn w:val="1"/>
    <w:link w:val="316"/>
    <w:autoRedefine/>
    <w:qFormat/>
    <w:uiPriority w:val="0"/>
    <w:pPr>
      <w:adjustRightInd/>
    </w:pPr>
    <w:rPr>
      <w:rFonts w:ascii="宋体" w:hAnsi="Courier New"/>
      <w:kern w:val="0"/>
      <w:sz w:val="20"/>
      <w:szCs w:val="20"/>
    </w:rPr>
  </w:style>
  <w:style w:type="character" w:customStyle="1" w:styleId="318">
    <w:name w:val="正文首行缩进 Char"/>
    <w:link w:val="24"/>
    <w:autoRedefine/>
    <w:qFormat/>
    <w:uiPriority w:val="0"/>
    <w:rPr>
      <w:rFonts w:ascii="宋体"/>
      <w:kern w:val="2"/>
      <w:sz w:val="24"/>
      <w:lang w:val="zh-CN"/>
    </w:rPr>
  </w:style>
  <w:style w:type="character" w:customStyle="1" w:styleId="319">
    <w:name w:val="h3 Char"/>
    <w:autoRedefine/>
    <w:qFormat/>
    <w:uiPriority w:val="0"/>
    <w:rPr>
      <w:rFonts w:eastAsia="宋体"/>
      <w:b/>
      <w:kern w:val="2"/>
      <w:sz w:val="32"/>
      <w:lang w:val="en-US" w:eastAsia="zh-CN" w:bidi="ar-SA"/>
    </w:rPr>
  </w:style>
  <w:style w:type="character" w:customStyle="1" w:styleId="320">
    <w:name w:val="dandyren_title1"/>
    <w:autoRedefine/>
    <w:qFormat/>
    <w:uiPriority w:val="0"/>
    <w:rPr>
      <w:b/>
      <w:bCs/>
      <w:color w:val="FF6633"/>
      <w:sz w:val="18"/>
      <w:szCs w:val="18"/>
    </w:rPr>
  </w:style>
  <w:style w:type="character" w:customStyle="1" w:styleId="321">
    <w:name w:val="Char Char31"/>
    <w:autoRedefine/>
    <w:qFormat/>
    <w:uiPriority w:val="6"/>
    <w:rPr>
      <w:rFonts w:ascii="Arial" w:hAnsi="Arial" w:eastAsia="黑体"/>
      <w:kern w:val="1"/>
      <w:sz w:val="24"/>
      <w:szCs w:val="24"/>
    </w:rPr>
  </w:style>
  <w:style w:type="character" w:customStyle="1" w:styleId="322">
    <w:name w:val="h Char1"/>
    <w:autoRedefine/>
    <w:qFormat/>
    <w:uiPriority w:val="0"/>
    <w:rPr>
      <w:sz w:val="18"/>
      <w:szCs w:val="18"/>
    </w:rPr>
  </w:style>
  <w:style w:type="character" w:customStyle="1" w:styleId="323">
    <w:name w:val="solutionfonts"/>
    <w:autoRedefine/>
    <w:qFormat/>
    <w:uiPriority w:val="0"/>
  </w:style>
  <w:style w:type="character" w:customStyle="1" w:styleId="324">
    <w:name w:val="标题 4 Char2"/>
    <w:link w:val="5"/>
    <w:autoRedefine/>
    <w:qFormat/>
    <w:uiPriority w:val="9"/>
    <w:rPr>
      <w:rFonts w:ascii="Arial" w:hAnsi="Arial" w:eastAsia="黑体"/>
      <w:b/>
      <w:bCs/>
      <w:kern w:val="2"/>
      <w:sz w:val="28"/>
      <w:szCs w:val="28"/>
      <w:lang w:val="zh-CN"/>
    </w:rPr>
  </w:style>
  <w:style w:type="character" w:customStyle="1" w:styleId="325">
    <w:name w:val="首行缩进 Char"/>
    <w:autoRedefine/>
    <w:qFormat/>
    <w:uiPriority w:val="0"/>
    <w:rPr>
      <w:rFonts w:ascii="宋体" w:eastAsia="宋体"/>
      <w:kern w:val="2"/>
      <w:sz w:val="24"/>
      <w:lang w:val="en-US" w:eastAsia="zh-CN" w:bidi="ar-SA"/>
    </w:rPr>
  </w:style>
  <w:style w:type="character" w:customStyle="1" w:styleId="326">
    <w:name w:val="Char Char52"/>
    <w:autoRedefine/>
    <w:qFormat/>
    <w:uiPriority w:val="0"/>
    <w:rPr>
      <w:rFonts w:ascii="宋体" w:hAnsi="Courier New" w:eastAsia="宋体"/>
      <w:kern w:val="2"/>
      <w:sz w:val="21"/>
      <w:lang w:val="en-US" w:eastAsia="zh-CN"/>
    </w:rPr>
  </w:style>
  <w:style w:type="character" w:customStyle="1" w:styleId="327">
    <w:name w:val="正文文本 3 Char"/>
    <w:link w:val="21"/>
    <w:autoRedefine/>
    <w:qFormat/>
    <w:uiPriority w:val="0"/>
    <w:rPr>
      <w:kern w:val="2"/>
      <w:sz w:val="21"/>
    </w:rPr>
  </w:style>
  <w:style w:type="character" w:customStyle="1" w:styleId="328">
    <w:name w:val="font31"/>
    <w:autoRedefine/>
    <w:qFormat/>
    <w:uiPriority w:val="0"/>
    <w:rPr>
      <w:rFonts w:hint="eastAsia" w:ascii="仿宋" w:hAnsi="仿宋" w:eastAsia="仿宋" w:cs="仿宋"/>
      <w:color w:val="000000"/>
      <w:sz w:val="20"/>
      <w:szCs w:val="20"/>
      <w:u w:val="none"/>
    </w:rPr>
  </w:style>
  <w:style w:type="character" w:customStyle="1" w:styleId="329">
    <w:name w:val="正文说明 Char"/>
    <w:link w:val="330"/>
    <w:autoRedefine/>
    <w:qFormat/>
    <w:uiPriority w:val="0"/>
    <w:rPr>
      <w:sz w:val="24"/>
      <w:szCs w:val="24"/>
    </w:rPr>
  </w:style>
  <w:style w:type="paragraph" w:customStyle="1" w:styleId="330">
    <w:name w:val="正文说明"/>
    <w:basedOn w:val="1"/>
    <w:link w:val="329"/>
    <w:autoRedefine/>
    <w:qFormat/>
    <w:uiPriority w:val="0"/>
    <w:pPr>
      <w:adjustRightInd/>
      <w:spacing w:line="360" w:lineRule="auto"/>
    </w:pPr>
    <w:rPr>
      <w:kern w:val="0"/>
      <w:sz w:val="24"/>
    </w:rPr>
  </w:style>
  <w:style w:type="character" w:customStyle="1" w:styleId="331">
    <w:name w:val="脚注文本 Char1"/>
    <w:autoRedefine/>
    <w:qFormat/>
    <w:uiPriority w:val="0"/>
    <w:rPr>
      <w:rFonts w:ascii="Times New Roman" w:hAnsi="Times New Roman" w:eastAsia="宋体" w:cs="Times New Roman"/>
      <w:sz w:val="18"/>
      <w:szCs w:val="18"/>
    </w:rPr>
  </w:style>
  <w:style w:type="character" w:customStyle="1" w:styleId="332">
    <w:name w:val="Char Char1211"/>
    <w:autoRedefine/>
    <w:qFormat/>
    <w:uiPriority w:val="0"/>
    <w:rPr>
      <w:rFonts w:ascii="仿宋_GB2312" w:eastAsia="仿宋_GB2312"/>
      <w:b/>
      <w:bCs/>
      <w:kern w:val="2"/>
      <w:sz w:val="24"/>
      <w:szCs w:val="24"/>
      <w:lang w:val="zh-CN" w:eastAsia="zh-CN" w:bidi="ar-SA"/>
    </w:rPr>
  </w:style>
  <w:style w:type="character" w:customStyle="1" w:styleId="333">
    <w:name w:val="标题 Char"/>
    <w:autoRedefine/>
    <w:qFormat/>
    <w:uiPriority w:val="0"/>
    <w:rPr>
      <w:rFonts w:eastAsia="宋体"/>
      <w:b/>
      <w:sz w:val="24"/>
      <w:lang w:val="en-GB" w:eastAsia="zh-CN" w:bidi="ar-SA"/>
    </w:rPr>
  </w:style>
  <w:style w:type="character" w:customStyle="1" w:styleId="334">
    <w:name w:val="Char Char35"/>
    <w:autoRedefine/>
    <w:qFormat/>
    <w:uiPriority w:val="6"/>
    <w:rPr>
      <w:rFonts w:ascii="Arial" w:hAnsi="Arial" w:eastAsia="黑体"/>
      <w:b/>
      <w:kern w:val="1"/>
      <w:sz w:val="28"/>
      <w:szCs w:val="28"/>
      <w:lang w:val="zh-CN"/>
    </w:rPr>
  </w:style>
  <w:style w:type="character" w:customStyle="1" w:styleId="335">
    <w:name w:val="纯文本 Char Char Char"/>
    <w:autoRedefine/>
    <w:qFormat/>
    <w:uiPriority w:val="0"/>
    <w:rPr>
      <w:rFonts w:ascii="宋体" w:hAnsi="Courier New" w:eastAsia="宋体"/>
      <w:kern w:val="2"/>
      <w:sz w:val="21"/>
      <w:lang w:val="en-US" w:eastAsia="zh-CN" w:bidi="ar-SA"/>
    </w:rPr>
  </w:style>
  <w:style w:type="character" w:customStyle="1" w:styleId="336">
    <w:name w:val="Table Text Char"/>
    <w:link w:val="337"/>
    <w:autoRedefine/>
    <w:qFormat/>
    <w:uiPriority w:val="0"/>
    <w:rPr>
      <w:sz w:val="24"/>
      <w:szCs w:val="24"/>
    </w:rPr>
  </w:style>
  <w:style w:type="paragraph" w:customStyle="1" w:styleId="337">
    <w:name w:val="Table Text"/>
    <w:basedOn w:val="1"/>
    <w:link w:val="336"/>
    <w:autoRedefine/>
    <w:qFormat/>
    <w:uiPriority w:val="0"/>
    <w:pPr>
      <w:widowControl/>
      <w:spacing w:before="60" w:after="60"/>
      <w:jc w:val="left"/>
    </w:pPr>
    <w:rPr>
      <w:kern w:val="0"/>
      <w:sz w:val="24"/>
    </w:rPr>
  </w:style>
  <w:style w:type="character" w:customStyle="1" w:styleId="338">
    <w:name w:val="正文1 Char1"/>
    <w:autoRedefine/>
    <w:qFormat/>
    <w:uiPriority w:val="0"/>
    <w:rPr>
      <w:rFonts w:ascii="仿宋_GB2312" w:hAnsi="Courier New" w:eastAsia="仿宋_GB2312"/>
      <w:kern w:val="28"/>
      <w:sz w:val="24"/>
      <w:szCs w:val="24"/>
      <w:lang w:val="en-US" w:eastAsia="zh-CN"/>
    </w:rPr>
  </w:style>
  <w:style w:type="character" w:customStyle="1" w:styleId="339">
    <w:name w:val="页脚 Char1"/>
    <w:autoRedefine/>
    <w:qFormat/>
    <w:uiPriority w:val="0"/>
    <w:rPr>
      <w:rFonts w:eastAsia="宋体"/>
      <w:kern w:val="2"/>
      <w:sz w:val="18"/>
      <w:szCs w:val="18"/>
      <w:lang w:val="en-US" w:eastAsia="zh-CN" w:bidi="ar-SA"/>
    </w:rPr>
  </w:style>
  <w:style w:type="character" w:customStyle="1" w:styleId="340">
    <w:name w:val="Bold"/>
    <w:autoRedefine/>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autoRedefine/>
    <w:qFormat/>
    <w:uiPriority w:val="0"/>
    <w:rPr>
      <w:kern w:val="2"/>
      <w:sz w:val="21"/>
      <w:szCs w:val="24"/>
    </w:rPr>
  </w:style>
  <w:style w:type="character" w:customStyle="1" w:styleId="342">
    <w:name w:val="签名 Char"/>
    <w:link w:val="43"/>
    <w:autoRedefine/>
    <w:qFormat/>
    <w:uiPriority w:val="0"/>
    <w:rPr>
      <w:rFonts w:eastAsia="仿宋_GB2312"/>
      <w:sz w:val="24"/>
    </w:rPr>
  </w:style>
  <w:style w:type="character" w:customStyle="1" w:styleId="343">
    <w:name w:val="hui3"/>
    <w:autoRedefine/>
    <w:qFormat/>
    <w:uiPriority w:val="0"/>
    <w:rPr>
      <w:color w:val="333333"/>
    </w:rPr>
  </w:style>
  <w:style w:type="character" w:customStyle="1" w:styleId="344">
    <w:name w:val="Char Char17"/>
    <w:autoRedefine/>
    <w:qFormat/>
    <w:uiPriority w:val="6"/>
    <w:rPr>
      <w:rFonts w:eastAsia="仿宋_GB2312"/>
      <w:sz w:val="24"/>
    </w:rPr>
  </w:style>
  <w:style w:type="character" w:customStyle="1" w:styleId="345">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6">
    <w:name w:val="Char Char37"/>
    <w:autoRedefine/>
    <w:qFormat/>
    <w:uiPriority w:val="6"/>
    <w:rPr>
      <w:b/>
      <w:kern w:val="1"/>
      <w:sz w:val="44"/>
      <w:szCs w:val="44"/>
    </w:rPr>
  </w:style>
  <w:style w:type="character" w:customStyle="1" w:styleId="347">
    <w:name w:val="列出段落 Char"/>
    <w:autoRedefine/>
    <w:qFormat/>
    <w:uiPriority w:val="0"/>
    <w:rPr>
      <w:rFonts w:eastAsia="楷体_GB2312" w:cs="Lucida Sans"/>
      <w:kern w:val="2"/>
      <w:sz w:val="24"/>
      <w:szCs w:val="24"/>
      <w:lang w:val="en-US" w:eastAsia="zh-CN" w:bidi="ar-SA"/>
    </w:rPr>
  </w:style>
  <w:style w:type="character" w:customStyle="1" w:styleId="348">
    <w:name w:val="正文文本缩进 3 Char1"/>
    <w:autoRedefine/>
    <w:semiHidden/>
    <w:qFormat/>
    <w:uiPriority w:val="99"/>
    <w:rPr>
      <w:rFonts w:ascii="Times New Roman" w:hAnsi="Times New Roman" w:eastAsia="宋体" w:cs="Times New Roman"/>
      <w:sz w:val="16"/>
      <w:szCs w:val="16"/>
    </w:rPr>
  </w:style>
  <w:style w:type="character" w:customStyle="1" w:styleId="349">
    <w:name w:val="公文正文 Char Char"/>
    <w:link w:val="350"/>
    <w:autoRedefine/>
    <w:qFormat/>
    <w:uiPriority w:val="0"/>
    <w:rPr>
      <w:rFonts w:ascii="仿宋_GB2312" w:eastAsia="仿宋_GB2312"/>
      <w:kern w:val="2"/>
      <w:sz w:val="24"/>
      <w:szCs w:val="24"/>
    </w:rPr>
  </w:style>
  <w:style w:type="paragraph" w:customStyle="1" w:styleId="350">
    <w:name w:val="公文正文"/>
    <w:basedOn w:val="1"/>
    <w:link w:val="349"/>
    <w:autoRedefine/>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autoRedefine/>
    <w:qFormat/>
    <w:uiPriority w:val="0"/>
    <w:rPr>
      <w:rFonts w:eastAsia="宋体"/>
      <w:sz w:val="24"/>
      <w:szCs w:val="24"/>
      <w:lang w:val="en-US" w:eastAsia="zh-CN" w:bidi="ar-SA"/>
    </w:rPr>
  </w:style>
  <w:style w:type="character" w:customStyle="1" w:styleId="352">
    <w:name w:val="标题 1 Char Char"/>
    <w:autoRedefine/>
    <w:qFormat/>
    <w:uiPriority w:val="0"/>
    <w:rPr>
      <w:rFonts w:hint="eastAsia" w:ascii="宋体" w:hAnsi="宋体" w:eastAsia="宋体"/>
      <w:b/>
      <w:spacing w:val="-2"/>
      <w:sz w:val="24"/>
      <w:lang w:val="en-US" w:eastAsia="zh-CN" w:bidi="ar-SA"/>
    </w:rPr>
  </w:style>
  <w:style w:type="character" w:customStyle="1" w:styleId="353">
    <w:name w:val="正文（缩进2汉字） Char"/>
    <w:link w:val="354"/>
    <w:autoRedefine/>
    <w:qFormat/>
    <w:uiPriority w:val="0"/>
    <w:rPr>
      <w:rFonts w:ascii="宋体"/>
    </w:rPr>
  </w:style>
  <w:style w:type="paragraph" w:customStyle="1" w:styleId="354">
    <w:name w:val="正文（缩进2汉字）"/>
    <w:basedOn w:val="1"/>
    <w:link w:val="353"/>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9"/>
    <w:autoRedefine/>
    <w:qFormat/>
    <w:uiPriority w:val="0"/>
    <w:rPr>
      <w:rFonts w:ascii="Arial" w:hAnsi="Arial" w:eastAsia="黑体"/>
      <w:kern w:val="2"/>
      <w:sz w:val="24"/>
      <w:szCs w:val="24"/>
    </w:rPr>
  </w:style>
  <w:style w:type="character" w:customStyle="1" w:styleId="356">
    <w:name w:val="标书表格字体格式 Char"/>
    <w:autoRedefine/>
    <w:qFormat/>
    <w:uiPriority w:val="0"/>
    <w:rPr>
      <w:kern w:val="2"/>
      <w:sz w:val="21"/>
      <w:szCs w:val="24"/>
      <w:lang w:bidi="ar-SA"/>
    </w:rPr>
  </w:style>
  <w:style w:type="character" w:customStyle="1" w:styleId="357">
    <w:name w:val="tw4winError"/>
    <w:autoRedefine/>
    <w:qFormat/>
    <w:uiPriority w:val="0"/>
    <w:rPr>
      <w:rFonts w:ascii="Courier New" w:hAnsi="Courier New" w:cs="Courier New"/>
      <w:color w:val="00FF00"/>
      <w:sz w:val="40"/>
      <w:szCs w:val="40"/>
    </w:rPr>
  </w:style>
  <w:style w:type="character" w:customStyle="1" w:styleId="358">
    <w:name w:val="Body Text(ch) Char Char"/>
    <w:autoRedefine/>
    <w:qFormat/>
    <w:uiPriority w:val="0"/>
    <w:rPr>
      <w:rFonts w:ascii="宋体"/>
      <w:kern w:val="2"/>
      <w:sz w:val="24"/>
      <w:szCs w:val="21"/>
      <w:lang w:val="zh-CN"/>
    </w:rPr>
  </w:style>
  <w:style w:type="character" w:customStyle="1" w:styleId="359">
    <w:name w:val="正文首行缩进两字 Char"/>
    <w:autoRedefine/>
    <w:qFormat/>
    <w:uiPriority w:val="0"/>
    <w:rPr>
      <w:sz w:val="24"/>
      <w:szCs w:val="24"/>
      <w:lang w:val="en-US" w:eastAsia="zh-CN" w:bidi="ar-SA"/>
    </w:rPr>
  </w:style>
  <w:style w:type="character" w:customStyle="1" w:styleId="360">
    <w:name w:val="正文文本 Char"/>
    <w:autoRedefine/>
    <w:qFormat/>
    <w:uiPriority w:val="0"/>
    <w:rPr>
      <w:rFonts w:eastAsia="宋体"/>
      <w:kern w:val="2"/>
      <w:sz w:val="24"/>
      <w:szCs w:val="24"/>
      <w:lang w:val="en-US" w:eastAsia="zh-CN" w:bidi="ar-SA"/>
    </w:rPr>
  </w:style>
  <w:style w:type="character" w:customStyle="1" w:styleId="361">
    <w:name w:val="文档结构图 字符1"/>
    <w:autoRedefine/>
    <w:qFormat/>
    <w:uiPriority w:val="0"/>
    <w:rPr>
      <w:rFonts w:ascii="宋体" w:hAnsi="Calibri" w:eastAsia="黑体" w:cs="Arial"/>
      <w:snapToGrid w:val="0"/>
      <w:kern w:val="2"/>
      <w:sz w:val="18"/>
      <w:szCs w:val="18"/>
    </w:rPr>
  </w:style>
  <w:style w:type="character" w:customStyle="1" w:styleId="362">
    <w:name w:val="content"/>
    <w:autoRedefine/>
    <w:qFormat/>
    <w:uiPriority w:val="0"/>
  </w:style>
  <w:style w:type="character" w:customStyle="1" w:styleId="363">
    <w:name w:val="tw4winPopup"/>
    <w:autoRedefine/>
    <w:qFormat/>
    <w:uiPriority w:val="0"/>
    <w:rPr>
      <w:rFonts w:ascii="Courier New" w:hAnsi="Courier New" w:cs="Courier New"/>
      <w:color w:val="008000"/>
      <w:lang w:val="en-US" w:eastAsia="zh-CN"/>
    </w:rPr>
  </w:style>
  <w:style w:type="character" w:customStyle="1" w:styleId="364">
    <w:name w:val="param-name"/>
    <w:autoRedefine/>
    <w:qFormat/>
    <w:uiPriority w:val="99"/>
    <w:rPr>
      <w:rFonts w:ascii="Arial" w:hAnsi="Arial" w:eastAsia="黑体" w:cs="Arial"/>
      <w:snapToGrid w:val="0"/>
      <w:kern w:val="0"/>
      <w:szCs w:val="21"/>
    </w:rPr>
  </w:style>
  <w:style w:type="character" w:customStyle="1" w:styleId="365">
    <w:name w:val="标准正文格式 Char"/>
    <w:autoRedefine/>
    <w:qFormat/>
    <w:uiPriority w:val="0"/>
    <w:rPr>
      <w:rFonts w:ascii="宋体" w:eastAsia="仿宋_GB2312" w:cs="宋体"/>
      <w:color w:val="000000"/>
      <w:sz w:val="24"/>
      <w:lang w:val="en-US" w:eastAsia="zh-CN" w:bidi="ar-SA"/>
    </w:rPr>
  </w:style>
  <w:style w:type="character" w:customStyle="1" w:styleId="366">
    <w:name w:val="Char Char212"/>
    <w:autoRedefine/>
    <w:qFormat/>
    <w:uiPriority w:val="0"/>
    <w:rPr>
      <w:rFonts w:eastAsia="宋体"/>
      <w:b/>
      <w:bCs/>
      <w:kern w:val="2"/>
      <w:sz w:val="21"/>
      <w:szCs w:val="24"/>
      <w:lang w:val="en-US" w:eastAsia="zh-CN" w:bidi="ar-SA"/>
    </w:rPr>
  </w:style>
  <w:style w:type="character" w:customStyle="1" w:styleId="367">
    <w:name w:val="文档结构图 Char"/>
    <w:autoRedefine/>
    <w:qFormat/>
    <w:uiPriority w:val="0"/>
    <w:rPr>
      <w:rFonts w:eastAsia="宋体"/>
      <w:kern w:val="2"/>
      <w:sz w:val="21"/>
      <w:szCs w:val="24"/>
      <w:lang w:val="en-US" w:eastAsia="zh-CN" w:bidi="ar-SA"/>
    </w:rPr>
  </w:style>
  <w:style w:type="character" w:customStyle="1" w:styleId="368">
    <w:name w:val="zbggmain style9"/>
    <w:autoRedefine/>
    <w:qFormat/>
    <w:uiPriority w:val="0"/>
  </w:style>
  <w:style w:type="character" w:customStyle="1" w:styleId="369">
    <w:name w:val="Char Char16"/>
    <w:autoRedefine/>
    <w:qFormat/>
    <w:uiPriority w:val="6"/>
    <w:rPr>
      <w:kern w:val="1"/>
      <w:sz w:val="18"/>
      <w:szCs w:val="18"/>
    </w:rPr>
  </w:style>
  <w:style w:type="character" w:customStyle="1" w:styleId="370">
    <w:name w:val="font51"/>
    <w:autoRedefine/>
    <w:qFormat/>
    <w:uiPriority w:val="0"/>
    <w:rPr>
      <w:rFonts w:hint="eastAsia" w:ascii="仿宋" w:hAnsi="仿宋" w:eastAsia="仿宋" w:cs="仿宋"/>
      <w:color w:val="000000"/>
      <w:sz w:val="20"/>
      <w:szCs w:val="20"/>
      <w:u w:val="none"/>
    </w:rPr>
  </w:style>
  <w:style w:type="character" w:customStyle="1" w:styleId="371">
    <w:name w:val="Char Char82"/>
    <w:autoRedefine/>
    <w:qFormat/>
    <w:uiPriority w:val="0"/>
    <w:rPr>
      <w:rFonts w:eastAsia="宋体"/>
      <w:b/>
      <w:sz w:val="24"/>
      <w:lang w:val="en-GB" w:eastAsia="zh-CN"/>
    </w:rPr>
  </w:style>
  <w:style w:type="character" w:customStyle="1" w:styleId="372">
    <w:name w:val="正文文本缩进 3 Char"/>
    <w:link w:val="53"/>
    <w:autoRedefine/>
    <w:qFormat/>
    <w:uiPriority w:val="0"/>
    <w:rPr>
      <w:kern w:val="2"/>
      <w:sz w:val="24"/>
    </w:rPr>
  </w:style>
  <w:style w:type="character" w:customStyle="1" w:styleId="373">
    <w:name w:val="日期 Char1"/>
    <w:autoRedefine/>
    <w:semiHidden/>
    <w:qFormat/>
    <w:uiPriority w:val="99"/>
    <w:rPr>
      <w:rFonts w:ascii="Times New Roman" w:hAnsi="Times New Roman" w:eastAsia="宋体" w:cs="Times New Roman"/>
      <w:szCs w:val="24"/>
    </w:rPr>
  </w:style>
  <w:style w:type="character" w:customStyle="1" w:styleId="374">
    <w:name w:val="页眉 字符"/>
    <w:autoRedefine/>
    <w:qFormat/>
    <w:uiPriority w:val="99"/>
    <w:rPr>
      <w:kern w:val="2"/>
      <w:sz w:val="18"/>
      <w:szCs w:val="18"/>
    </w:rPr>
  </w:style>
  <w:style w:type="character" w:customStyle="1" w:styleId="375">
    <w:name w:val="Char Char33"/>
    <w:autoRedefine/>
    <w:qFormat/>
    <w:uiPriority w:val="6"/>
    <w:rPr>
      <w:rFonts w:ascii="Arial" w:hAnsi="Arial" w:eastAsia="黑体"/>
      <w:b/>
      <w:kern w:val="1"/>
      <w:sz w:val="24"/>
      <w:szCs w:val="24"/>
    </w:rPr>
  </w:style>
  <w:style w:type="character" w:customStyle="1" w:styleId="376">
    <w:name w:val="b11_01b Char"/>
    <w:link w:val="377"/>
    <w:autoRedefine/>
    <w:qFormat/>
    <w:uiPriority w:val="0"/>
    <w:rPr>
      <w:rFonts w:ascii="Verdana" w:hAnsi="Verdana"/>
      <w:b/>
      <w:bCs/>
      <w:color w:val="4A82CA"/>
      <w:sz w:val="17"/>
      <w:szCs w:val="17"/>
    </w:rPr>
  </w:style>
  <w:style w:type="paragraph" w:customStyle="1" w:styleId="377">
    <w:name w:val="b11_01b"/>
    <w:basedOn w:val="1"/>
    <w:next w:val="1"/>
    <w:link w:val="376"/>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autoRedefine/>
    <w:qFormat/>
    <w:uiPriority w:val="6"/>
    <w:rPr>
      <w:rFonts w:ascii="仿宋_GB2312" w:eastAsia="仿宋_GB2312"/>
      <w:b/>
      <w:bCs/>
      <w:kern w:val="2"/>
      <w:sz w:val="24"/>
      <w:szCs w:val="24"/>
      <w:lang w:val="zh-CN" w:eastAsia="zh-CN" w:bidi="ar-SA"/>
    </w:rPr>
  </w:style>
  <w:style w:type="character" w:customStyle="1" w:styleId="379">
    <w:name w:val="Footer-Even Char"/>
    <w:autoRedefine/>
    <w:qFormat/>
    <w:uiPriority w:val="0"/>
    <w:rPr>
      <w:rFonts w:eastAsia="宋体"/>
      <w:kern w:val="2"/>
      <w:sz w:val="18"/>
      <w:lang w:val="en-US" w:eastAsia="zh-CN" w:bidi="ar-SA"/>
    </w:rPr>
  </w:style>
  <w:style w:type="character" w:customStyle="1" w:styleId="380">
    <w:name w:val="页脚 Char2"/>
    <w:link w:val="41"/>
    <w:autoRedefine/>
    <w:qFormat/>
    <w:locked/>
    <w:uiPriority w:val="99"/>
    <w:rPr>
      <w:kern w:val="2"/>
      <w:sz w:val="18"/>
      <w:szCs w:val="18"/>
    </w:rPr>
  </w:style>
  <w:style w:type="character" w:customStyle="1" w:styleId="381">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2">
    <w:name w:val="Char Char61"/>
    <w:autoRedefine/>
    <w:qFormat/>
    <w:uiPriority w:val="6"/>
    <w:rPr>
      <w:rFonts w:eastAsia="宋体"/>
      <w:kern w:val="2"/>
      <w:sz w:val="21"/>
      <w:szCs w:val="24"/>
      <w:lang w:val="en-US" w:eastAsia="zh-CN" w:bidi="ar-SA"/>
    </w:rPr>
  </w:style>
  <w:style w:type="character" w:customStyle="1" w:styleId="383">
    <w:name w:val="正文文字缩进 2 Char Char"/>
    <w:autoRedefine/>
    <w:qFormat/>
    <w:uiPriority w:val="0"/>
    <w:rPr>
      <w:rFonts w:ascii="宋体"/>
      <w:sz w:val="28"/>
    </w:rPr>
  </w:style>
  <w:style w:type="character" w:customStyle="1" w:styleId="384">
    <w:name w:val="f141"/>
    <w:autoRedefine/>
    <w:qFormat/>
    <w:uiPriority w:val="0"/>
    <w:rPr>
      <w:rFonts w:ascii="Tahoma" w:hAnsi="Tahoma" w:eastAsia="宋体"/>
      <w:b/>
      <w:kern w:val="2"/>
      <w:sz w:val="21"/>
      <w:szCs w:val="21"/>
      <w:lang w:val="en-US" w:eastAsia="zh-CN" w:bidi="ar-SA"/>
    </w:rPr>
  </w:style>
  <w:style w:type="character" w:customStyle="1" w:styleId="385">
    <w:name w:val="段落 Char Char"/>
    <w:link w:val="386"/>
    <w:autoRedefine/>
    <w:qFormat/>
    <w:uiPriority w:val="0"/>
    <w:rPr>
      <w:rFonts w:ascii="宋体" w:hAnsi="宋体"/>
      <w:sz w:val="24"/>
    </w:rPr>
  </w:style>
  <w:style w:type="paragraph" w:customStyle="1" w:styleId="386">
    <w:name w:val="段落"/>
    <w:basedOn w:val="1"/>
    <w:link w:val="385"/>
    <w:autoRedefine/>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autoRedefine/>
    <w:qFormat/>
    <w:uiPriority w:val="0"/>
    <w:rPr>
      <w:rFonts w:eastAsia="宋体"/>
      <w:b/>
      <w:bCs/>
      <w:kern w:val="2"/>
      <w:sz w:val="32"/>
      <w:szCs w:val="32"/>
      <w:lang w:val="en-US" w:eastAsia="zh-CN" w:bidi="ar-SA"/>
    </w:rPr>
  </w:style>
  <w:style w:type="character" w:customStyle="1" w:styleId="388">
    <w:name w:val="apple-converted-space"/>
    <w:autoRedefine/>
    <w:qFormat/>
    <w:uiPriority w:val="0"/>
  </w:style>
  <w:style w:type="character" w:customStyle="1" w:styleId="389">
    <w:name w:val="页眉 Char2"/>
    <w:link w:val="42"/>
    <w:autoRedefine/>
    <w:qFormat/>
    <w:uiPriority w:val="99"/>
    <w:rPr>
      <w:kern w:val="2"/>
      <w:sz w:val="18"/>
      <w:szCs w:val="18"/>
    </w:rPr>
  </w:style>
  <w:style w:type="character" w:customStyle="1" w:styleId="390">
    <w:name w:val="Char Char9"/>
    <w:autoRedefine/>
    <w:qFormat/>
    <w:uiPriority w:val="0"/>
    <w:rPr>
      <w:rFonts w:eastAsia="宋体"/>
      <w:kern w:val="2"/>
      <w:sz w:val="18"/>
      <w:szCs w:val="18"/>
      <w:lang w:val="en-US" w:eastAsia="zh-CN" w:bidi="ar-SA"/>
    </w:rPr>
  </w:style>
  <w:style w:type="character" w:customStyle="1" w:styleId="391">
    <w:name w:val="Char Char41"/>
    <w:autoRedefine/>
    <w:qFormat/>
    <w:uiPriority w:val="0"/>
    <w:rPr>
      <w:rFonts w:eastAsia="宋体"/>
      <w:b/>
      <w:sz w:val="24"/>
      <w:lang w:val="en-GB" w:eastAsia="zh-CN" w:bidi="ar-SA"/>
    </w:rPr>
  </w:style>
  <w:style w:type="character" w:customStyle="1" w:styleId="392">
    <w:name w:val="large1"/>
    <w:autoRedefine/>
    <w:qFormat/>
    <w:uiPriority w:val="0"/>
    <w:rPr>
      <w:rFonts w:hint="eastAsia" w:ascii="宋体" w:hAnsi="宋体" w:eastAsia="宋体"/>
      <w:sz w:val="21"/>
      <w:szCs w:val="21"/>
    </w:rPr>
  </w:style>
  <w:style w:type="character" w:customStyle="1" w:styleId="393">
    <w:name w:val="正文段 Char"/>
    <w:link w:val="394"/>
    <w:autoRedefine/>
    <w:qFormat/>
    <w:uiPriority w:val="0"/>
    <w:rPr>
      <w:sz w:val="24"/>
    </w:rPr>
  </w:style>
  <w:style w:type="paragraph" w:customStyle="1" w:styleId="394">
    <w:name w:val="正文段"/>
    <w:basedOn w:val="1"/>
    <w:link w:val="393"/>
    <w:autoRedefine/>
    <w:qFormat/>
    <w:uiPriority w:val="0"/>
    <w:pPr>
      <w:widowControl/>
      <w:snapToGrid w:val="0"/>
      <w:spacing w:after="156" w:afterLines="50"/>
      <w:ind w:firstLine="200" w:firstLineChars="200"/>
    </w:pPr>
    <w:rPr>
      <w:kern w:val="0"/>
      <w:sz w:val="24"/>
      <w:szCs w:val="20"/>
    </w:rPr>
  </w:style>
  <w:style w:type="character" w:customStyle="1" w:styleId="395">
    <w:name w:val="Char Char13"/>
    <w:autoRedefine/>
    <w:qFormat/>
    <w:uiPriority w:val="6"/>
    <w:rPr>
      <w:rFonts w:ascii="宋体" w:hAnsi="宋体"/>
      <w:kern w:val="1"/>
      <w:sz w:val="21"/>
      <w:szCs w:val="24"/>
    </w:rPr>
  </w:style>
  <w:style w:type="character" w:customStyle="1" w:styleId="396">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autoRedefine/>
    <w:qFormat/>
    <w:uiPriority w:val="0"/>
    <w:rPr>
      <w:rFonts w:ascii="宋体" w:hAnsi="宋体"/>
      <w:kern w:val="2"/>
      <w:sz w:val="24"/>
      <w:szCs w:val="22"/>
    </w:rPr>
  </w:style>
  <w:style w:type="paragraph" w:customStyle="1" w:styleId="398">
    <w:name w:val="冯广丽"/>
    <w:basedOn w:val="1"/>
    <w:link w:val="397"/>
    <w:autoRedefine/>
    <w:qFormat/>
    <w:uiPriority w:val="0"/>
    <w:pPr>
      <w:adjustRightInd/>
      <w:spacing w:line="360" w:lineRule="auto"/>
      <w:ind w:firstLine="480" w:firstLineChars="200"/>
    </w:pPr>
    <w:rPr>
      <w:rFonts w:ascii="宋体" w:hAnsi="宋体"/>
      <w:sz w:val="24"/>
      <w:szCs w:val="22"/>
    </w:rPr>
  </w:style>
  <w:style w:type="character" w:customStyle="1" w:styleId="399">
    <w:name w:val="批注文字 字符"/>
    <w:autoRedefine/>
    <w:qFormat/>
    <w:uiPriority w:val="0"/>
    <w:rPr>
      <w:rFonts w:ascii="Arial" w:hAnsi="Arial" w:eastAsia="黑体" w:cs="Arial"/>
      <w:snapToGrid w:val="0"/>
      <w:kern w:val="0"/>
      <w:szCs w:val="21"/>
    </w:rPr>
  </w:style>
  <w:style w:type="character" w:customStyle="1" w:styleId="400">
    <w:name w:val="Char Char161"/>
    <w:autoRedefine/>
    <w:qFormat/>
    <w:uiPriority w:val="0"/>
    <w:rPr>
      <w:rFonts w:eastAsia="宋体"/>
      <w:b/>
      <w:kern w:val="2"/>
      <w:sz w:val="32"/>
      <w:lang w:val="en-US" w:eastAsia="zh-CN"/>
    </w:rPr>
  </w:style>
  <w:style w:type="character" w:customStyle="1" w:styleId="401">
    <w:name w:val="javascript"/>
    <w:autoRedefine/>
    <w:qFormat/>
    <w:uiPriority w:val="0"/>
  </w:style>
  <w:style w:type="character" w:customStyle="1" w:styleId="402">
    <w:name w:val="图名 Char"/>
    <w:autoRedefine/>
    <w:qFormat/>
    <w:uiPriority w:val="0"/>
    <w:rPr>
      <w:rFonts w:ascii="Arial" w:hAnsi="Arial" w:eastAsia="黑体"/>
      <w:kern w:val="2"/>
      <w:sz w:val="24"/>
      <w:szCs w:val="24"/>
      <w:lang w:val="en-US" w:eastAsia="zh-CN" w:bidi="ar-SA"/>
    </w:rPr>
  </w:style>
  <w:style w:type="character" w:customStyle="1" w:styleId="403">
    <w:name w:val="Used by Word for text of Help footnotes Char Char"/>
    <w:autoRedefine/>
    <w:qFormat/>
    <w:uiPriority w:val="0"/>
    <w:rPr>
      <w:rFonts w:ascii="Times New Roman" w:hAnsi="Times New Roman" w:eastAsia="宋体" w:cs="Times New Roman"/>
      <w:sz w:val="20"/>
      <w:szCs w:val="20"/>
    </w:rPr>
  </w:style>
  <w:style w:type="character" w:customStyle="1" w:styleId="404">
    <w:name w:val="编号，小四 Char"/>
    <w:link w:val="405"/>
    <w:autoRedefine/>
    <w:qFormat/>
    <w:uiPriority w:val="0"/>
    <w:rPr>
      <w:rFonts w:ascii="Arial" w:hAnsi="Arial"/>
      <w:sz w:val="24"/>
    </w:rPr>
  </w:style>
  <w:style w:type="paragraph" w:customStyle="1" w:styleId="405">
    <w:name w:val="编号，小四"/>
    <w:basedOn w:val="1"/>
    <w:link w:val="404"/>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autoRedefine/>
    <w:qFormat/>
    <w:uiPriority w:val="99"/>
    <w:rPr>
      <w:rFonts w:ascii="宋体" w:eastAsia="宋体" w:cs="宋体"/>
      <w:color w:val="000000"/>
      <w:sz w:val="14"/>
      <w:szCs w:val="14"/>
    </w:rPr>
  </w:style>
  <w:style w:type="character" w:customStyle="1" w:styleId="407">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8">
    <w:name w:val="未用 Char"/>
    <w:autoRedefine/>
    <w:qFormat/>
    <w:uiPriority w:val="0"/>
    <w:rPr>
      <w:rFonts w:ascii="Arial" w:hAnsi="Arial" w:eastAsia="黑体"/>
      <w:kern w:val="2"/>
      <w:sz w:val="21"/>
      <w:szCs w:val="21"/>
      <w:lang w:val="en-US" w:eastAsia="zh-CN" w:bidi="ar-SA"/>
    </w:rPr>
  </w:style>
  <w:style w:type="character" w:customStyle="1" w:styleId="409">
    <w:name w:val="myp1111"/>
    <w:autoRedefine/>
    <w:qFormat/>
    <w:uiPriority w:val="0"/>
    <w:rPr>
      <w:rFonts w:hint="default" w:ascii="ˎ̥" w:hAnsi="ˎ̥"/>
      <w:color w:val="000000"/>
      <w:sz w:val="20"/>
      <w:szCs w:val="20"/>
      <w:u w:val="none"/>
    </w:rPr>
  </w:style>
  <w:style w:type="character" w:customStyle="1" w:styleId="410">
    <w:name w:val="样式 标题 4h4H4Fab-4T5Ref Heading 1rh1Heading sqlsect 1.2.3.... Char"/>
    <w:link w:val="302"/>
    <w:autoRedefine/>
    <w:qFormat/>
    <w:uiPriority w:val="0"/>
    <w:rPr>
      <w:rFonts w:ascii="微软雅黑" w:hAnsi="微软雅黑" w:eastAsia="微软雅黑"/>
      <w:b/>
      <w:bCs/>
      <w:kern w:val="2"/>
      <w:sz w:val="24"/>
      <w:szCs w:val="28"/>
    </w:rPr>
  </w:style>
  <w:style w:type="character" w:customStyle="1" w:styleId="411">
    <w:name w:val="h Char Char"/>
    <w:autoRedefine/>
    <w:qFormat/>
    <w:uiPriority w:val="0"/>
    <w:rPr>
      <w:rFonts w:eastAsia="宋体"/>
      <w:kern w:val="2"/>
      <w:sz w:val="18"/>
      <w:lang w:val="en-US" w:eastAsia="zh-CN" w:bidi="ar-SA"/>
    </w:rPr>
  </w:style>
  <w:style w:type="character" w:customStyle="1" w:styleId="412">
    <w:name w:val="仿宋正文 Char"/>
    <w:link w:val="413"/>
    <w:autoRedefine/>
    <w:qFormat/>
    <w:uiPriority w:val="0"/>
    <w:rPr>
      <w:rFonts w:ascii="仿宋_GB2312" w:eastAsia="仿宋_GB2312"/>
      <w:kern w:val="2"/>
      <w:sz w:val="24"/>
      <w:lang w:val="en-US" w:eastAsia="zh-CN" w:bidi="ar-SA"/>
    </w:rPr>
  </w:style>
  <w:style w:type="paragraph" w:customStyle="1" w:styleId="413">
    <w:name w:val="仿宋正文"/>
    <w:basedOn w:val="1"/>
    <w:link w:val="412"/>
    <w:autoRedefine/>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autoRedefine/>
    <w:qFormat/>
    <w:uiPriority w:val="0"/>
    <w:rPr>
      <w:rFonts w:ascii="宋体" w:eastAsia="宋体"/>
      <w:kern w:val="2"/>
      <w:sz w:val="24"/>
      <w:lang w:val="zh-CN" w:bidi="ar-SA"/>
    </w:rPr>
  </w:style>
  <w:style w:type="character" w:customStyle="1" w:styleId="415">
    <w:name w:val="样式 宋体"/>
    <w:autoRedefine/>
    <w:qFormat/>
    <w:uiPriority w:val="0"/>
    <w:rPr>
      <w:rFonts w:ascii="宋体" w:hAnsi="宋体"/>
      <w:sz w:val="24"/>
    </w:rPr>
  </w:style>
  <w:style w:type="character" w:customStyle="1" w:styleId="416">
    <w:name w:val="tw4winJump"/>
    <w:autoRedefine/>
    <w:qFormat/>
    <w:uiPriority w:val="0"/>
    <w:rPr>
      <w:rFonts w:ascii="Courier New" w:hAnsi="Courier New" w:cs="Courier New"/>
      <w:color w:val="008080"/>
      <w:lang w:val="en-US" w:eastAsia="zh-CN"/>
    </w:rPr>
  </w:style>
  <w:style w:type="character" w:customStyle="1" w:styleId="417">
    <w:name w:val="标题 1 字符"/>
    <w:autoRedefine/>
    <w:qFormat/>
    <w:uiPriority w:val="9"/>
    <w:rPr>
      <w:rFonts w:ascii="Arial" w:hAnsi="Arial" w:eastAsia="黑体" w:cs="Arial"/>
      <w:b/>
      <w:bCs/>
      <w:snapToGrid w:val="0"/>
      <w:kern w:val="44"/>
      <w:sz w:val="44"/>
      <w:szCs w:val="44"/>
    </w:rPr>
  </w:style>
  <w:style w:type="character" w:customStyle="1" w:styleId="418">
    <w:name w:val="style36"/>
    <w:basedOn w:val="69"/>
    <w:autoRedefine/>
    <w:qFormat/>
    <w:uiPriority w:val="0"/>
    <w:rPr>
      <w:rFonts w:ascii="Arial" w:hAnsi="Arial" w:eastAsia="黑体" w:cs="Arial"/>
      <w:snapToGrid w:val="0"/>
      <w:kern w:val="0"/>
      <w:szCs w:val="21"/>
    </w:rPr>
  </w:style>
  <w:style w:type="character" w:customStyle="1" w:styleId="419">
    <w:name w:val="pt9"/>
    <w:autoRedefine/>
    <w:qFormat/>
    <w:uiPriority w:val="0"/>
    <w:rPr>
      <w:rFonts w:ascii="仿宋_GB2312" w:eastAsia="微软雅黑"/>
      <w:b/>
      <w:kern w:val="2"/>
      <w:sz w:val="32"/>
      <w:szCs w:val="32"/>
      <w:lang w:val="en-US" w:eastAsia="zh-CN" w:bidi="ar-SA"/>
    </w:rPr>
  </w:style>
  <w:style w:type="character" w:customStyle="1" w:styleId="420">
    <w:name w:val="DO_NOT_TRANSLATE"/>
    <w:autoRedefine/>
    <w:qFormat/>
    <w:uiPriority w:val="0"/>
    <w:rPr>
      <w:rFonts w:ascii="Courier New" w:hAnsi="Courier New" w:cs="Courier New"/>
      <w:color w:val="800000"/>
      <w:lang w:val="en-US" w:eastAsia="zh-CN"/>
    </w:rPr>
  </w:style>
  <w:style w:type="character" w:customStyle="1" w:styleId="421">
    <w:name w:val="标书1 Char1"/>
    <w:autoRedefine/>
    <w:qFormat/>
    <w:uiPriority w:val="0"/>
    <w:rPr>
      <w:rFonts w:eastAsia="宋体"/>
      <w:b/>
      <w:bCs/>
      <w:kern w:val="44"/>
      <w:sz w:val="44"/>
      <w:szCs w:val="44"/>
      <w:lang w:val="en-US" w:eastAsia="zh-CN" w:bidi="ar-SA"/>
    </w:rPr>
  </w:style>
  <w:style w:type="character" w:customStyle="1" w:styleId="422">
    <w:name w:val="页脚 字符"/>
    <w:autoRedefine/>
    <w:qFormat/>
    <w:uiPriority w:val="99"/>
    <w:rPr>
      <w:kern w:val="2"/>
      <w:sz w:val="18"/>
      <w:szCs w:val="18"/>
    </w:rPr>
  </w:style>
  <w:style w:type="character" w:customStyle="1" w:styleId="423">
    <w:name w:val="正文2 Char"/>
    <w:autoRedefine/>
    <w:qFormat/>
    <w:uiPriority w:val="0"/>
    <w:rPr>
      <w:rFonts w:eastAsia="宋体"/>
      <w:kern w:val="2"/>
      <w:sz w:val="24"/>
      <w:lang w:val="en-US" w:eastAsia="zh-CN" w:bidi="ar-SA"/>
    </w:rPr>
  </w:style>
  <w:style w:type="character" w:customStyle="1" w:styleId="424">
    <w:name w:val="Char Char21"/>
    <w:autoRedefine/>
    <w:qFormat/>
    <w:uiPriority w:val="6"/>
    <w:rPr>
      <w:rFonts w:ascii="宋体" w:hAnsi="宋体"/>
      <w:kern w:val="1"/>
      <w:sz w:val="24"/>
      <w:szCs w:val="21"/>
      <w:lang w:val="zh-CN"/>
    </w:rPr>
  </w:style>
  <w:style w:type="character" w:customStyle="1" w:styleId="425">
    <w:name w:val="样式 正文缩进 + 首行缩进:  2 字符 Char Char"/>
    <w:link w:val="426"/>
    <w:autoRedefine/>
    <w:qFormat/>
    <w:uiPriority w:val="0"/>
    <w:rPr>
      <w:rFonts w:cs="宋体"/>
      <w:kern w:val="2"/>
      <w:sz w:val="24"/>
    </w:rPr>
  </w:style>
  <w:style w:type="paragraph" w:customStyle="1" w:styleId="426">
    <w:name w:val="样式 正文缩进 + 首行缩进:  2 字符"/>
    <w:basedOn w:val="15"/>
    <w:link w:val="425"/>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28">
    <w:name w:val="gray6"/>
    <w:basedOn w:val="69"/>
    <w:autoRedefine/>
    <w:qFormat/>
    <w:uiPriority w:val="0"/>
    <w:rPr>
      <w:rFonts w:ascii="Arial" w:hAnsi="Arial" w:eastAsia="黑体" w:cs="Arial"/>
      <w:snapToGrid w:val="0"/>
      <w:kern w:val="0"/>
      <w:szCs w:val="21"/>
    </w:rPr>
  </w:style>
  <w:style w:type="character" w:customStyle="1" w:styleId="429">
    <w:name w:val="hui"/>
    <w:basedOn w:val="69"/>
    <w:autoRedefine/>
    <w:qFormat/>
    <w:uiPriority w:val="0"/>
    <w:rPr>
      <w:rFonts w:ascii="Arial" w:hAnsi="Arial" w:eastAsia="黑体" w:cs="Arial"/>
      <w:snapToGrid w:val="0"/>
      <w:kern w:val="0"/>
      <w:szCs w:val="21"/>
    </w:rPr>
  </w:style>
  <w:style w:type="character" w:customStyle="1" w:styleId="430">
    <w:name w:val="哈哈正文 Char Char"/>
    <w:autoRedefine/>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autoRedefine/>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autoRedefine/>
    <w:qFormat/>
    <w:uiPriority w:val="0"/>
    <w:pPr>
      <w:spacing w:before="120" w:line="360" w:lineRule="auto"/>
      <w:ind w:firstLine="567"/>
    </w:pPr>
    <w:rPr>
      <w:rFonts w:ascii="Arial" w:hAnsi="Arial"/>
      <w:sz w:val="20"/>
      <w:szCs w:val="20"/>
    </w:rPr>
  </w:style>
  <w:style w:type="paragraph" w:customStyle="1" w:styleId="441">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autoRedefine/>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autoRedefine/>
    <w:qFormat/>
    <w:uiPriority w:val="0"/>
    <w:pPr>
      <w:adjustRightInd/>
      <w:ind w:firstLine="200" w:firstLineChars="200"/>
    </w:pPr>
    <w:rPr>
      <w:rFonts w:ascii="Tahoma" w:hAnsi="Tahoma"/>
      <w:sz w:val="24"/>
      <w:szCs w:val="20"/>
    </w:rPr>
  </w:style>
  <w:style w:type="paragraph" w:customStyle="1" w:styleId="450">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autoRedefine/>
    <w:qFormat/>
    <w:uiPriority w:val="0"/>
    <w:pPr>
      <w:tabs>
        <w:tab w:val="left" w:pos="360"/>
      </w:tabs>
    </w:pPr>
    <w:rPr>
      <w:sz w:val="24"/>
      <w:szCs w:val="20"/>
    </w:rPr>
  </w:style>
  <w:style w:type="paragraph" w:customStyle="1" w:styleId="453">
    <w:name w:val="Char Char11 Char Char Char"/>
    <w:basedOn w:val="1"/>
    <w:autoRedefine/>
    <w:qFormat/>
    <w:uiPriority w:val="0"/>
    <w:pPr>
      <w:spacing w:line="360" w:lineRule="auto"/>
    </w:pPr>
    <w:rPr>
      <w:szCs w:val="20"/>
    </w:rPr>
  </w:style>
  <w:style w:type="paragraph" w:customStyle="1" w:styleId="454">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autoRedefine/>
    <w:qFormat/>
    <w:uiPriority w:val="0"/>
    <w:pPr>
      <w:tabs>
        <w:tab w:val="left" w:pos="2790"/>
        <w:tab w:val="left" w:pos="4230"/>
      </w:tabs>
      <w:spacing w:before="312" w:beforeLines="100"/>
      <w:jc w:val="left"/>
    </w:pPr>
  </w:style>
  <w:style w:type="paragraph" w:customStyle="1" w:styleId="457">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autoRedefine/>
    <w:qFormat/>
    <w:uiPriority w:val="0"/>
    <w:pPr>
      <w:tabs>
        <w:tab w:val="left" w:pos="840"/>
      </w:tabs>
      <w:ind w:left="840" w:hanging="420"/>
    </w:pPr>
    <w:rPr>
      <w:rFonts w:ascii="Tahoma" w:hAnsi="Tahoma"/>
      <w:sz w:val="24"/>
    </w:rPr>
  </w:style>
  <w:style w:type="paragraph" w:customStyle="1" w:styleId="459">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autoRedefine/>
    <w:qFormat/>
    <w:uiPriority w:val="0"/>
    <w:pPr>
      <w:adjustRightInd/>
      <w:spacing w:before="156" w:line="360" w:lineRule="auto"/>
      <w:ind w:firstLine="510" w:firstLineChars="200"/>
    </w:pPr>
    <w:rPr>
      <w:sz w:val="24"/>
      <w:szCs w:val="20"/>
    </w:rPr>
  </w:style>
  <w:style w:type="paragraph" w:customStyle="1" w:styleId="463">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autoRedefine/>
    <w:qFormat/>
    <w:uiPriority w:val="0"/>
    <w:rPr>
      <w:rFonts w:ascii="仿宋_GB2312" w:eastAsia="仿宋_GB2312"/>
      <w:b/>
      <w:sz w:val="32"/>
      <w:szCs w:val="32"/>
    </w:rPr>
  </w:style>
  <w:style w:type="paragraph" w:customStyle="1" w:styleId="466">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8">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69">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autoRedefine/>
    <w:qFormat/>
    <w:uiPriority w:val="0"/>
    <w:pPr>
      <w:keepNext/>
      <w:tabs>
        <w:tab w:val="left" w:pos="360"/>
      </w:tabs>
      <w:spacing w:before="0" w:after="0"/>
      <w:outlineLvl w:val="5"/>
    </w:pPr>
  </w:style>
  <w:style w:type="paragraph" w:customStyle="1" w:styleId="471">
    <w:name w:val="5级标题"/>
    <w:basedOn w:val="472"/>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4">
    <w:name w:val="Char2 Char Char"/>
    <w:basedOn w:val="1"/>
    <w:autoRedefine/>
    <w:qFormat/>
    <w:uiPriority w:val="0"/>
    <w:pPr>
      <w:adjustRightInd/>
    </w:pPr>
    <w:rPr>
      <w:rFonts w:ascii="Tahoma" w:hAnsi="Tahoma"/>
      <w:sz w:val="24"/>
      <w:szCs w:val="20"/>
    </w:rPr>
  </w:style>
  <w:style w:type="paragraph" w:customStyle="1" w:styleId="475">
    <w:name w:val="_Style 11"/>
    <w:basedOn w:val="1"/>
    <w:autoRedefine/>
    <w:qFormat/>
    <w:uiPriority w:val="34"/>
    <w:pPr>
      <w:adjustRightInd/>
      <w:ind w:firstLine="420" w:firstLineChars="200"/>
    </w:pPr>
    <w:rPr>
      <w:rFonts w:eastAsia="仿宋_GB2312"/>
      <w:sz w:val="28"/>
    </w:rPr>
  </w:style>
  <w:style w:type="paragraph" w:customStyle="1" w:styleId="476">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autoRedefine/>
    <w:qFormat/>
    <w:uiPriority w:val="0"/>
    <w:rPr>
      <w:rFonts w:ascii="Tahoma" w:hAnsi="Tahoma"/>
      <w:sz w:val="24"/>
      <w:szCs w:val="20"/>
    </w:rPr>
  </w:style>
  <w:style w:type="paragraph" w:customStyle="1" w:styleId="478">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7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1"/>
    <w:autoRedefine/>
    <w:qFormat/>
    <w:uiPriority w:val="99"/>
    <w:rPr>
      <w:szCs w:val="22"/>
    </w:rPr>
  </w:style>
  <w:style w:type="paragraph" w:customStyle="1" w:styleId="481">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autoRedefine/>
    <w:qFormat/>
    <w:uiPriority w:val="6"/>
    <w:rPr>
      <w:rFonts w:ascii="Tahoma" w:hAnsi="Tahoma" w:cs="仿宋_GB2312"/>
      <w:sz w:val="24"/>
      <w:szCs w:val="20"/>
    </w:rPr>
  </w:style>
  <w:style w:type="paragraph" w:customStyle="1" w:styleId="483">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autoRedefine/>
    <w:qFormat/>
    <w:uiPriority w:val="0"/>
    <w:pPr>
      <w:tabs>
        <w:tab w:val="left" w:pos="1260"/>
      </w:tabs>
      <w:ind w:left="1260" w:hanging="420"/>
    </w:pPr>
    <w:rPr>
      <w:rFonts w:ascii="Arial" w:hAnsi="Arial" w:eastAsia="黑体"/>
      <w:lang w:val="en-US"/>
    </w:rPr>
  </w:style>
  <w:style w:type="paragraph" w:customStyle="1" w:styleId="487">
    <w:name w:val="五级无标题条"/>
    <w:basedOn w:val="1"/>
    <w:autoRedefine/>
    <w:qFormat/>
    <w:uiPriority w:val="0"/>
    <w:pPr>
      <w:adjustRightInd/>
    </w:pPr>
  </w:style>
  <w:style w:type="paragraph" w:customStyle="1" w:styleId="488">
    <w:name w:val="Char5"/>
    <w:basedOn w:val="1"/>
    <w:autoRedefine/>
    <w:qFormat/>
    <w:uiPriority w:val="0"/>
    <w:rPr>
      <w:rFonts w:ascii="仿宋_GB2312" w:eastAsia="仿宋_GB2312"/>
      <w:b/>
      <w:sz w:val="32"/>
      <w:szCs w:val="32"/>
    </w:rPr>
  </w:style>
  <w:style w:type="paragraph" w:customStyle="1" w:styleId="489">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autoRedefine/>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autoRedefine/>
    <w:qFormat/>
    <w:uiPriority w:val="0"/>
    <w:rPr>
      <w:rFonts w:ascii="仿宋_GB2312" w:eastAsia="仿宋_GB2312"/>
      <w:b/>
      <w:sz w:val="32"/>
      <w:szCs w:val="32"/>
    </w:rPr>
  </w:style>
  <w:style w:type="paragraph" w:customStyle="1" w:styleId="493">
    <w:name w:val="数字标题3"/>
    <w:basedOn w:val="4"/>
    <w:next w:val="1"/>
    <w:autoRedefine/>
    <w:qFormat/>
    <w:uiPriority w:val="0"/>
    <w:pPr>
      <w:spacing w:line="240" w:lineRule="auto"/>
    </w:pPr>
    <w:rPr>
      <w:sz w:val="28"/>
      <w:szCs w:val="28"/>
    </w:rPr>
  </w:style>
  <w:style w:type="paragraph" w:customStyle="1" w:styleId="494">
    <w:name w:val="FA正文"/>
    <w:basedOn w:val="1"/>
    <w:autoRedefine/>
    <w:qFormat/>
    <w:uiPriority w:val="0"/>
    <w:pPr>
      <w:spacing w:line="360" w:lineRule="auto"/>
      <w:ind w:firstLine="480" w:firstLineChars="200"/>
    </w:pPr>
    <w:rPr>
      <w:rFonts w:hAnsi="宋体"/>
      <w:sz w:val="24"/>
      <w:szCs w:val="20"/>
    </w:rPr>
  </w:style>
  <w:style w:type="paragraph" w:customStyle="1" w:styleId="495">
    <w:name w:val="MM Topic 5"/>
    <w:basedOn w:val="6"/>
    <w:autoRedefine/>
    <w:qFormat/>
    <w:uiPriority w:val="0"/>
    <w:pPr>
      <w:tabs>
        <w:tab w:val="left" w:pos="2520"/>
      </w:tabs>
      <w:adjustRightInd/>
      <w:ind w:left="2520" w:hanging="420"/>
    </w:pPr>
  </w:style>
  <w:style w:type="paragraph" w:customStyle="1" w:styleId="496">
    <w:name w:val="Char Char Char Char Char Char Char Char Char Char1"/>
    <w:basedOn w:val="1"/>
    <w:autoRedefine/>
    <w:qFormat/>
    <w:uiPriority w:val="0"/>
    <w:rPr>
      <w:rFonts w:ascii="仿宋_GB2312" w:eastAsia="仿宋_GB2312"/>
      <w:b/>
      <w:sz w:val="32"/>
      <w:szCs w:val="32"/>
    </w:rPr>
  </w:style>
  <w:style w:type="paragraph" w:customStyle="1" w:styleId="497">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autoRedefine/>
    <w:qFormat/>
    <w:uiPriority w:val="0"/>
    <w:rPr>
      <w:rFonts w:ascii="仿宋_GB2312" w:eastAsia="仿宋_GB2312"/>
      <w:b/>
      <w:sz w:val="32"/>
      <w:szCs w:val="32"/>
    </w:rPr>
  </w:style>
  <w:style w:type="paragraph" w:customStyle="1" w:styleId="500">
    <w:name w:val="Char2 Char Char Char1"/>
    <w:basedOn w:val="1"/>
    <w:autoRedefine/>
    <w:qFormat/>
    <w:uiPriority w:val="6"/>
    <w:rPr>
      <w:rFonts w:ascii="仿宋_GB2312" w:eastAsia="仿宋_GB2312"/>
      <w:b/>
      <w:sz w:val="32"/>
      <w:szCs w:val="32"/>
    </w:rPr>
  </w:style>
  <w:style w:type="paragraph" w:customStyle="1" w:styleId="501">
    <w:name w:val="默认段落样式"/>
    <w:basedOn w:val="128"/>
    <w:autoRedefine/>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3">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autoRedefine/>
    <w:qFormat/>
    <w:uiPriority w:val="0"/>
    <w:pPr>
      <w:tabs>
        <w:tab w:val="left" w:pos="1680"/>
      </w:tabs>
      <w:adjustRightInd/>
      <w:ind w:left="1680" w:hanging="420"/>
    </w:pPr>
  </w:style>
  <w:style w:type="paragraph" w:customStyle="1" w:styleId="505">
    <w:name w:val="标准小四"/>
    <w:basedOn w:val="1"/>
    <w:autoRedefine/>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autoRedefine/>
    <w:qFormat/>
    <w:uiPriority w:val="0"/>
    <w:pPr>
      <w:adjustRightInd/>
      <w:snapToGrid w:val="0"/>
      <w:spacing w:line="300" w:lineRule="auto"/>
    </w:pPr>
    <w:rPr>
      <w:rFonts w:eastAsia="仿宋"/>
      <w:szCs w:val="21"/>
    </w:rPr>
  </w:style>
  <w:style w:type="paragraph" w:customStyle="1" w:styleId="508">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autoRedefine/>
    <w:qFormat/>
    <w:uiPriority w:val="6"/>
    <w:pPr>
      <w:adjustRightInd/>
    </w:pPr>
    <w:rPr>
      <w:rFonts w:ascii="Tahoma" w:hAnsi="Tahoma"/>
      <w:sz w:val="24"/>
      <w:szCs w:val="20"/>
    </w:rPr>
  </w:style>
  <w:style w:type="paragraph" w:customStyle="1" w:styleId="510">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1">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5"/>
    <w:autoRedefine/>
    <w:qFormat/>
    <w:uiPriority w:val="0"/>
    <w:pPr>
      <w:adjustRightInd/>
      <w:ind w:firstLine="200" w:firstLineChars="200"/>
    </w:pPr>
    <w:rPr>
      <w:rFonts w:ascii="Arial" w:hAnsi="Arial"/>
      <w:spacing w:val="-5"/>
      <w:kern w:val="0"/>
      <w:sz w:val="24"/>
      <w:szCs w:val="20"/>
    </w:rPr>
  </w:style>
  <w:style w:type="paragraph" w:customStyle="1" w:styleId="513">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7">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autoRedefine/>
    <w:qFormat/>
    <w:uiPriority w:val="0"/>
    <w:pPr>
      <w:adjustRightInd/>
      <w:ind w:firstLine="420" w:firstLineChars="200"/>
    </w:pPr>
    <w:rPr>
      <w:rFonts w:eastAsia="仿宋_GB2312"/>
      <w:sz w:val="28"/>
    </w:rPr>
  </w:style>
  <w:style w:type="paragraph" w:customStyle="1" w:styleId="519">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autoRedefine/>
    <w:qFormat/>
    <w:uiPriority w:val="0"/>
    <w:pPr>
      <w:adjustRightInd/>
      <w:ind w:firstLine="200" w:firstLineChars="200"/>
      <w:jc w:val="right"/>
    </w:pPr>
  </w:style>
  <w:style w:type="paragraph" w:customStyle="1" w:styleId="522">
    <w:name w:val="Char Char11 Char Char Char Char Char Char Char Char Char"/>
    <w:basedOn w:val="1"/>
    <w:autoRedefine/>
    <w:qFormat/>
    <w:uiPriority w:val="0"/>
    <w:pPr>
      <w:spacing w:line="360" w:lineRule="auto"/>
    </w:pPr>
    <w:rPr>
      <w:szCs w:val="20"/>
    </w:rPr>
  </w:style>
  <w:style w:type="paragraph" w:customStyle="1" w:styleId="523">
    <w:name w:val="正文1.25"/>
    <w:basedOn w:val="1"/>
    <w:autoRedefine/>
    <w:qFormat/>
    <w:uiPriority w:val="0"/>
    <w:pPr>
      <w:adjustRightInd/>
      <w:spacing w:line="300" w:lineRule="auto"/>
      <w:ind w:firstLine="480" w:firstLineChars="200"/>
    </w:pPr>
    <w:rPr>
      <w:sz w:val="24"/>
      <w:szCs w:val="20"/>
    </w:rPr>
  </w:style>
  <w:style w:type="paragraph" w:customStyle="1" w:styleId="524">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autoRedefine/>
    <w:qFormat/>
    <w:uiPriority w:val="6"/>
    <w:rPr>
      <w:rFonts w:ascii="仿宋_GB2312" w:eastAsia="仿宋_GB2312"/>
      <w:b/>
      <w:sz w:val="32"/>
      <w:szCs w:val="20"/>
    </w:rPr>
  </w:style>
  <w:style w:type="paragraph" w:customStyle="1" w:styleId="528">
    <w:name w:val="列出段落2"/>
    <w:basedOn w:val="1"/>
    <w:autoRedefine/>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autoRedefine/>
    <w:qFormat/>
    <w:uiPriority w:val="0"/>
    <w:rPr>
      <w:rFonts w:eastAsia="仿宋_GB2312"/>
      <w:sz w:val="28"/>
      <w:szCs w:val="20"/>
    </w:rPr>
  </w:style>
  <w:style w:type="paragraph" w:customStyle="1" w:styleId="530">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5"/>
    <w:autoRedefine/>
    <w:qFormat/>
    <w:uiPriority w:val="0"/>
    <w:pPr>
      <w:widowControl/>
      <w:jc w:val="left"/>
    </w:pPr>
    <w:rPr>
      <w:rFonts w:cs="宋体"/>
      <w:sz w:val="24"/>
      <w:szCs w:val="20"/>
    </w:rPr>
  </w:style>
  <w:style w:type="paragraph" w:customStyle="1" w:styleId="532">
    <w:name w:val="彩色列表 - 强调文字颜色 11"/>
    <w:basedOn w:val="1"/>
    <w:autoRedefine/>
    <w:qFormat/>
    <w:uiPriority w:val="0"/>
    <w:pPr>
      <w:adjustRightInd/>
      <w:ind w:firstLine="420" w:firstLineChars="200"/>
    </w:pPr>
    <w:rPr>
      <w:rFonts w:ascii="Calibri" w:hAnsi="Calibri"/>
      <w:szCs w:val="22"/>
    </w:rPr>
  </w:style>
  <w:style w:type="paragraph" w:customStyle="1" w:styleId="533">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autoRedefine/>
    <w:qFormat/>
    <w:uiPriority w:val="6"/>
    <w:rPr>
      <w:szCs w:val="20"/>
    </w:rPr>
  </w:style>
  <w:style w:type="paragraph" w:customStyle="1" w:styleId="537">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autoRedefine/>
    <w:qFormat/>
    <w:uiPriority w:val="0"/>
    <w:pPr>
      <w:spacing w:after="68"/>
    </w:pPr>
    <w:rPr>
      <w:rFonts w:ascii="FHLHE E+ Futura Bk" w:eastAsia="FHLHE E+ Futura Bk" w:cs="Times New Roman"/>
      <w:color w:val="auto"/>
    </w:rPr>
  </w:style>
  <w:style w:type="paragraph" w:customStyle="1" w:styleId="543">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autoRedefine/>
    <w:qFormat/>
    <w:uiPriority w:val="0"/>
    <w:rPr>
      <w:rFonts w:ascii="宋体" w:eastAsia="宋体" w:cs="Times New Roman"/>
      <w:color w:val="auto"/>
    </w:rPr>
  </w:style>
  <w:style w:type="paragraph" w:customStyle="1" w:styleId="547">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autoRedefine/>
    <w:qFormat/>
    <w:uiPriority w:val="0"/>
    <w:rPr>
      <w:rFonts w:ascii="仿宋_GB2312" w:eastAsia="仿宋_GB2312"/>
      <w:b/>
      <w:sz w:val="32"/>
      <w:szCs w:val="32"/>
    </w:rPr>
  </w:style>
  <w:style w:type="paragraph" w:customStyle="1" w:styleId="549">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autoRedefine/>
    <w:qFormat/>
    <w:uiPriority w:val="0"/>
    <w:pPr>
      <w:spacing w:line="360" w:lineRule="auto"/>
    </w:pPr>
    <w:rPr>
      <w:szCs w:val="20"/>
    </w:rPr>
  </w:style>
  <w:style w:type="paragraph" w:customStyle="1" w:styleId="552">
    <w:name w:val="Char"/>
    <w:basedOn w:val="1"/>
    <w:autoRedefine/>
    <w:qFormat/>
    <w:uiPriority w:val="0"/>
    <w:rPr>
      <w:rFonts w:ascii="仿宋_GB2312" w:eastAsia="仿宋_GB2312"/>
      <w:b/>
      <w:sz w:val="32"/>
      <w:szCs w:val="32"/>
    </w:rPr>
  </w:style>
  <w:style w:type="paragraph" w:customStyle="1" w:styleId="553">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autoRedefine/>
    <w:qFormat/>
    <w:uiPriority w:val="0"/>
    <w:rPr>
      <w:szCs w:val="20"/>
    </w:rPr>
  </w:style>
  <w:style w:type="paragraph" w:customStyle="1" w:styleId="556">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7">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59">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autoRedefine/>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1">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2">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autoRedefine/>
    <w:qFormat/>
    <w:uiPriority w:val="0"/>
    <w:rPr>
      <w:szCs w:val="20"/>
    </w:rPr>
  </w:style>
  <w:style w:type="paragraph" w:customStyle="1" w:styleId="579">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autoRedefine/>
    <w:qFormat/>
    <w:uiPriority w:val="0"/>
    <w:rPr>
      <w:rFonts w:ascii="Tahoma" w:hAnsi="Tahoma"/>
      <w:sz w:val="24"/>
      <w:szCs w:val="20"/>
    </w:rPr>
  </w:style>
  <w:style w:type="paragraph" w:customStyle="1" w:styleId="581">
    <w:name w:val="标题五"/>
    <w:basedOn w:val="1"/>
    <w:autoRedefine/>
    <w:qFormat/>
    <w:uiPriority w:val="0"/>
    <w:pPr>
      <w:adjustRightInd/>
      <w:spacing w:before="156" w:beforeLines="50" w:line="360" w:lineRule="auto"/>
    </w:pPr>
    <w:rPr>
      <w:b/>
      <w:sz w:val="24"/>
    </w:rPr>
  </w:style>
  <w:style w:type="paragraph" w:customStyle="1" w:styleId="582">
    <w:name w:val="Char Char1101"/>
    <w:basedOn w:val="1"/>
    <w:autoRedefine/>
    <w:qFormat/>
    <w:uiPriority w:val="0"/>
    <w:pPr>
      <w:spacing w:line="360" w:lineRule="auto"/>
    </w:pPr>
    <w:rPr>
      <w:rFonts w:ascii="Tahoma" w:hAnsi="Tahoma"/>
      <w:sz w:val="24"/>
      <w:szCs w:val="20"/>
    </w:rPr>
  </w:style>
  <w:style w:type="paragraph" w:customStyle="1" w:styleId="583">
    <w:name w:val="Char Char Char Char Char Char Char Char1"/>
    <w:basedOn w:val="1"/>
    <w:autoRedefine/>
    <w:qFormat/>
    <w:uiPriority w:val="0"/>
    <w:pPr>
      <w:tabs>
        <w:tab w:val="left" w:pos="360"/>
      </w:tabs>
    </w:pPr>
    <w:rPr>
      <w:sz w:val="24"/>
      <w:szCs w:val="20"/>
    </w:rPr>
  </w:style>
  <w:style w:type="paragraph" w:customStyle="1" w:styleId="584">
    <w:name w:val="Char Char Char 字元 字元"/>
    <w:basedOn w:val="1"/>
    <w:autoRedefine/>
    <w:qFormat/>
    <w:uiPriority w:val="0"/>
    <w:pPr>
      <w:adjustRightInd/>
      <w:spacing w:line="360" w:lineRule="auto"/>
      <w:ind w:firstLine="200" w:firstLineChars="200"/>
    </w:pPr>
    <w:rPr>
      <w:szCs w:val="20"/>
    </w:rPr>
  </w:style>
  <w:style w:type="paragraph" w:customStyle="1" w:styleId="585">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autoRedefine/>
    <w:qFormat/>
    <w:uiPriority w:val="0"/>
    <w:rPr>
      <w:rFonts w:ascii="仿宋_GB2312" w:eastAsia="仿宋_GB2312"/>
      <w:b/>
      <w:sz w:val="32"/>
      <w:szCs w:val="32"/>
    </w:rPr>
  </w:style>
  <w:style w:type="paragraph" w:customStyle="1" w:styleId="587">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autoRedefine/>
    <w:qFormat/>
    <w:uiPriority w:val="0"/>
    <w:pPr>
      <w:adjustRightInd/>
    </w:pPr>
    <w:rPr>
      <w:sz w:val="18"/>
      <w:szCs w:val="20"/>
    </w:rPr>
  </w:style>
  <w:style w:type="paragraph" w:customStyle="1" w:styleId="592">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7">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autoRedefine/>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autoRedefine/>
    <w:qFormat/>
    <w:uiPriority w:val="0"/>
    <w:pPr>
      <w:snapToGrid w:val="0"/>
      <w:spacing w:line="360" w:lineRule="auto"/>
    </w:pPr>
    <w:rPr>
      <w:rFonts w:ascii="宋体"/>
      <w:b/>
      <w:sz w:val="24"/>
      <w:szCs w:val="20"/>
    </w:rPr>
  </w:style>
  <w:style w:type="paragraph" w:customStyle="1" w:styleId="602">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autoRedefine/>
    <w:qFormat/>
    <w:uiPriority w:val="7"/>
    <w:pPr>
      <w:adjustRightInd/>
    </w:pPr>
    <w:rPr>
      <w:rFonts w:ascii="宋体" w:hAnsi="Courier New"/>
    </w:rPr>
  </w:style>
  <w:style w:type="paragraph" w:customStyle="1" w:styleId="605">
    <w:name w:val="Char3"/>
    <w:basedOn w:val="1"/>
    <w:autoRedefine/>
    <w:qFormat/>
    <w:uiPriority w:val="0"/>
    <w:pPr>
      <w:adjustRightInd/>
    </w:pPr>
    <w:rPr>
      <w:rFonts w:ascii="仿宋_GB2312" w:eastAsia="仿宋_GB2312"/>
      <w:b/>
      <w:sz w:val="32"/>
      <w:szCs w:val="32"/>
    </w:rPr>
  </w:style>
  <w:style w:type="paragraph" w:customStyle="1" w:styleId="606">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autoRedefine/>
    <w:qFormat/>
    <w:uiPriority w:val="0"/>
    <w:pPr>
      <w:widowControl/>
      <w:adjustRightInd/>
      <w:spacing w:after="160" w:line="240" w:lineRule="exact"/>
      <w:jc w:val="left"/>
    </w:pPr>
    <w:rPr>
      <w:szCs w:val="20"/>
    </w:rPr>
  </w:style>
  <w:style w:type="paragraph" w:customStyle="1" w:styleId="614">
    <w:name w:val="表格标题2"/>
    <w:basedOn w:val="615"/>
    <w:autoRedefine/>
    <w:qFormat/>
    <w:uiPriority w:val="0"/>
    <w:rPr>
      <w:b/>
    </w:rPr>
  </w:style>
  <w:style w:type="paragraph" w:customStyle="1" w:styleId="615">
    <w:name w:val="表格内文"/>
    <w:basedOn w:val="1"/>
    <w:autoRedefine/>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autoRedefine/>
    <w:qFormat/>
    <w:uiPriority w:val="0"/>
    <w:rPr>
      <w:rFonts w:ascii="仿宋_GB2312" w:eastAsia="仿宋_GB2312"/>
      <w:b/>
      <w:sz w:val="32"/>
      <w:szCs w:val="32"/>
    </w:rPr>
  </w:style>
  <w:style w:type="paragraph" w:customStyle="1" w:styleId="617">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autoRedefine/>
    <w:qFormat/>
    <w:uiPriority w:val="0"/>
    <w:pPr>
      <w:spacing w:line="360" w:lineRule="auto"/>
    </w:pPr>
    <w:rPr>
      <w:szCs w:val="20"/>
    </w:rPr>
  </w:style>
  <w:style w:type="paragraph" w:customStyle="1" w:styleId="620">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2">
    <w:name w:val="MM Topic 1"/>
    <w:basedOn w:val="3"/>
    <w:autoRedefine/>
    <w:qFormat/>
    <w:uiPriority w:val="0"/>
    <w:pPr>
      <w:tabs>
        <w:tab w:val="left" w:pos="840"/>
      </w:tabs>
      <w:adjustRightInd/>
      <w:ind w:left="840" w:hanging="420"/>
    </w:pPr>
  </w:style>
  <w:style w:type="paragraph" w:customStyle="1" w:styleId="623">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autoRedefine/>
    <w:qFormat/>
    <w:uiPriority w:val="0"/>
    <w:pPr>
      <w:spacing w:line="360" w:lineRule="auto"/>
      <w:ind w:firstLine="200" w:firstLineChars="200"/>
    </w:pPr>
    <w:rPr>
      <w:kern w:val="0"/>
      <w:sz w:val="24"/>
      <w:szCs w:val="20"/>
    </w:rPr>
  </w:style>
  <w:style w:type="paragraph" w:customStyle="1" w:styleId="625">
    <w:name w:val="表格"/>
    <w:basedOn w:val="1"/>
    <w:autoRedefine/>
    <w:qFormat/>
    <w:uiPriority w:val="0"/>
    <w:pPr>
      <w:snapToGrid w:val="0"/>
      <w:ind w:firstLine="42" w:firstLineChars="21"/>
    </w:pPr>
    <w:rPr>
      <w:rFonts w:ascii="宋体" w:hAnsi="宋体"/>
      <w:kern w:val="0"/>
      <w:sz w:val="20"/>
      <w:szCs w:val="20"/>
    </w:rPr>
  </w:style>
  <w:style w:type="paragraph" w:customStyle="1" w:styleId="626">
    <w:name w:val="标书标题4"/>
    <w:basedOn w:val="5"/>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autoRedefine/>
    <w:qFormat/>
    <w:uiPriority w:val="0"/>
    <w:pPr>
      <w:adjustRightInd/>
      <w:spacing w:line="300" w:lineRule="auto"/>
      <w:jc w:val="center"/>
    </w:pPr>
  </w:style>
  <w:style w:type="paragraph" w:customStyle="1" w:styleId="631">
    <w:name w:val="_Style 6"/>
    <w:basedOn w:val="1"/>
    <w:autoRedefine/>
    <w:qFormat/>
    <w:uiPriority w:val="34"/>
    <w:pPr>
      <w:adjustRightInd/>
      <w:ind w:firstLine="420" w:firstLineChars="200"/>
    </w:pPr>
    <w:rPr>
      <w:rFonts w:eastAsia="仿宋_GB2312"/>
      <w:sz w:val="28"/>
    </w:rPr>
  </w:style>
  <w:style w:type="paragraph" w:customStyle="1" w:styleId="632">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autoRedefine/>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autoRedefine/>
    <w:qFormat/>
    <w:uiPriority w:val="0"/>
    <w:rPr>
      <w:rFonts w:ascii="仿宋_GB2312" w:eastAsia="仿宋_GB2312"/>
      <w:b/>
      <w:sz w:val="32"/>
      <w:szCs w:val="20"/>
    </w:rPr>
  </w:style>
  <w:style w:type="paragraph" w:customStyle="1" w:styleId="642">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autoRedefine/>
    <w:qFormat/>
    <w:uiPriority w:val="0"/>
    <w:pPr>
      <w:adjustRightInd/>
      <w:ind w:firstLine="200" w:firstLineChars="200"/>
    </w:pPr>
    <w:rPr>
      <w:rFonts w:ascii="Tahoma" w:hAnsi="Tahoma"/>
      <w:sz w:val="24"/>
      <w:szCs w:val="20"/>
    </w:rPr>
  </w:style>
  <w:style w:type="paragraph" w:customStyle="1" w:styleId="644">
    <w:name w:val="a1"/>
    <w:basedOn w:val="1"/>
    <w:autoRedefine/>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autoRedefine/>
    <w:qFormat/>
    <w:uiPriority w:val="0"/>
    <w:pPr>
      <w:spacing w:after="156" w:afterLines="50"/>
      <w:jc w:val="left"/>
      <w:outlineLvl w:val="3"/>
    </w:pPr>
    <w:rPr>
      <w:sz w:val="24"/>
      <w:szCs w:val="24"/>
    </w:rPr>
  </w:style>
  <w:style w:type="paragraph" w:customStyle="1" w:styleId="646">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autoRedefine/>
    <w:qFormat/>
    <w:uiPriority w:val="0"/>
    <w:pPr>
      <w:adjustRightInd/>
    </w:pPr>
    <w:rPr>
      <w:rFonts w:ascii="Tahoma" w:hAnsi="Tahoma"/>
      <w:sz w:val="24"/>
      <w:szCs w:val="20"/>
    </w:rPr>
  </w:style>
  <w:style w:type="paragraph" w:customStyle="1" w:styleId="651">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autoRedefine/>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autoRedefine/>
    <w:qFormat/>
    <w:uiPriority w:val="0"/>
    <w:pPr>
      <w:tabs>
        <w:tab w:val="left" w:pos="1260"/>
        <w:tab w:val="left" w:pos="1680"/>
        <w:tab w:val="left" w:pos="2100"/>
      </w:tabs>
      <w:ind w:left="0"/>
      <w:outlineLvl w:val="3"/>
    </w:pPr>
  </w:style>
  <w:style w:type="paragraph" w:customStyle="1" w:styleId="654">
    <w:name w:val="一级条标题"/>
    <w:basedOn w:val="655"/>
    <w:next w:val="637"/>
    <w:autoRedefine/>
    <w:qFormat/>
    <w:uiPriority w:val="0"/>
    <w:pPr>
      <w:tabs>
        <w:tab w:val="left" w:pos="1260"/>
        <w:tab w:val="left" w:pos="1680"/>
      </w:tabs>
      <w:spacing w:before="0" w:beforeLines="0" w:after="0" w:afterLines="0"/>
      <w:ind w:left="1680"/>
      <w:outlineLvl w:val="2"/>
    </w:pPr>
  </w:style>
  <w:style w:type="paragraph" w:customStyle="1" w:styleId="655">
    <w:name w:val="章标题"/>
    <w:next w:val="637"/>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autoRedefine/>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autoRedefine/>
    <w:qFormat/>
    <w:uiPriority w:val="0"/>
    <w:pPr>
      <w:tabs>
        <w:tab w:val="left" w:pos="840"/>
      </w:tabs>
      <w:spacing w:after="0"/>
      <w:ind w:left="900"/>
    </w:pPr>
  </w:style>
  <w:style w:type="paragraph" w:customStyle="1" w:styleId="663">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autoRedefine/>
    <w:qFormat/>
    <w:uiPriority w:val="6"/>
    <w:pPr>
      <w:widowControl/>
      <w:adjustRightInd/>
      <w:ind w:left="720" w:hanging="720"/>
    </w:pPr>
    <w:rPr>
      <w:color w:val="000000"/>
      <w:kern w:val="0"/>
      <w:sz w:val="24"/>
      <w:szCs w:val="20"/>
      <w:lang w:val="en-GB"/>
    </w:rPr>
  </w:style>
  <w:style w:type="paragraph" w:customStyle="1" w:styleId="665">
    <w:name w:val="表1"/>
    <w:basedOn w:val="1"/>
    <w:autoRedefine/>
    <w:qFormat/>
    <w:uiPriority w:val="0"/>
    <w:pPr>
      <w:tabs>
        <w:tab w:val="left" w:pos="703"/>
      </w:tabs>
      <w:adjustRightInd/>
      <w:spacing w:line="360" w:lineRule="auto"/>
      <w:ind w:left="703"/>
      <w:jc w:val="center"/>
    </w:pPr>
  </w:style>
  <w:style w:type="paragraph" w:customStyle="1" w:styleId="666">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autoRedefine/>
    <w:qFormat/>
    <w:uiPriority w:val="0"/>
    <w:pPr>
      <w:jc w:val="left"/>
      <w:outlineLvl w:val="1"/>
    </w:pPr>
    <w:rPr>
      <w:rFonts w:ascii="Times New Roman" w:hAnsi="Times New Roman" w:eastAsia="仿宋"/>
      <w:sz w:val="30"/>
    </w:rPr>
  </w:style>
  <w:style w:type="paragraph" w:customStyle="1" w:styleId="670">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autoRedefine/>
    <w:qFormat/>
    <w:uiPriority w:val="0"/>
    <w:pPr>
      <w:tabs>
        <w:tab w:val="left" w:pos="840"/>
      </w:tabs>
      <w:adjustRightInd/>
      <w:ind w:left="840" w:hanging="420"/>
    </w:pPr>
  </w:style>
  <w:style w:type="paragraph" w:customStyle="1" w:styleId="676">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5"/>
    <w:autoRedefine/>
    <w:qFormat/>
    <w:uiPriority w:val="0"/>
    <w:pPr>
      <w:tabs>
        <w:tab w:val="left" w:pos="2100"/>
      </w:tabs>
      <w:adjustRightInd/>
      <w:ind w:left="2100" w:hanging="420"/>
    </w:pPr>
    <w:rPr>
      <w:lang w:val="en-US"/>
    </w:rPr>
  </w:style>
  <w:style w:type="paragraph" w:customStyle="1" w:styleId="684">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autoRedefine/>
    <w:qFormat/>
    <w:uiPriority w:val="6"/>
    <w:pPr>
      <w:spacing w:line="360" w:lineRule="auto"/>
    </w:pPr>
    <w:rPr>
      <w:szCs w:val="20"/>
    </w:rPr>
  </w:style>
  <w:style w:type="paragraph" w:customStyle="1" w:styleId="68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3">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autoRedefine/>
    <w:qFormat/>
    <w:uiPriority w:val="0"/>
    <w:pPr>
      <w:adjustRightInd/>
      <w:spacing w:line="360" w:lineRule="auto"/>
      <w:jc w:val="center"/>
    </w:pPr>
    <w:rPr>
      <w:sz w:val="24"/>
    </w:rPr>
  </w:style>
  <w:style w:type="paragraph" w:customStyle="1" w:styleId="697">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autoRedefine/>
    <w:qFormat/>
    <w:uiPriority w:val="6"/>
    <w:rPr>
      <w:rFonts w:ascii="仿宋_GB2312" w:eastAsia="仿宋_GB2312"/>
      <w:b/>
      <w:sz w:val="32"/>
      <w:szCs w:val="32"/>
    </w:rPr>
  </w:style>
  <w:style w:type="paragraph" w:customStyle="1" w:styleId="699">
    <w:name w:val="正文缩进1"/>
    <w:basedOn w:val="1"/>
    <w:next w:val="2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autoRedefine/>
    <w:qFormat/>
    <w:uiPriority w:val="0"/>
    <w:pPr>
      <w:widowControl/>
      <w:adjustRightInd/>
      <w:spacing w:after="160" w:line="240" w:lineRule="exact"/>
      <w:jc w:val="left"/>
    </w:pPr>
    <w:rPr>
      <w:szCs w:val="20"/>
    </w:rPr>
  </w:style>
  <w:style w:type="paragraph" w:customStyle="1" w:styleId="702">
    <w:name w:val="Char Char1121"/>
    <w:basedOn w:val="1"/>
    <w:autoRedefine/>
    <w:qFormat/>
    <w:uiPriority w:val="0"/>
    <w:pPr>
      <w:spacing w:line="360" w:lineRule="auto"/>
    </w:pPr>
    <w:rPr>
      <w:szCs w:val="20"/>
    </w:rPr>
  </w:style>
  <w:style w:type="paragraph" w:customStyle="1" w:styleId="703">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autoRedefine/>
    <w:qFormat/>
    <w:uiPriority w:val="0"/>
    <w:rPr>
      <w:rFonts w:ascii="Times New Roman" w:hAnsi="Times New Roman" w:eastAsia="宋体" w:cs="Times New Roman"/>
      <w:lang w:val="en-US" w:eastAsia="en-US" w:bidi="ar-SA"/>
    </w:rPr>
  </w:style>
  <w:style w:type="paragraph" w:customStyle="1" w:styleId="706">
    <w:name w:val="带编号样式"/>
    <w:basedOn w:val="624"/>
    <w:autoRedefine/>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0">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autoRedefine/>
    <w:qFormat/>
    <w:uiPriority w:val="0"/>
    <w:pPr>
      <w:spacing w:line="240" w:lineRule="atLeast"/>
      <w:ind w:left="420" w:firstLine="420"/>
    </w:pPr>
    <w:rPr>
      <w:sz w:val="24"/>
    </w:rPr>
  </w:style>
  <w:style w:type="paragraph" w:customStyle="1" w:styleId="713">
    <w:name w:val="WW-正文文字缩进 2"/>
    <w:basedOn w:val="1"/>
    <w:autoRedefine/>
    <w:qFormat/>
    <w:uiPriority w:val="0"/>
    <w:pPr>
      <w:suppressAutoHyphens/>
      <w:adjustRightInd/>
      <w:ind w:firstLine="420"/>
    </w:pPr>
    <w:rPr>
      <w:kern w:val="1"/>
      <w:szCs w:val="20"/>
    </w:rPr>
  </w:style>
  <w:style w:type="paragraph" w:customStyle="1" w:styleId="714">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autoRedefine/>
    <w:qFormat/>
    <w:uiPriority w:val="0"/>
    <w:pPr>
      <w:adjustRightInd/>
      <w:spacing w:line="400" w:lineRule="exact"/>
      <w:ind w:firstLine="200" w:firstLineChars="200"/>
    </w:pPr>
    <w:rPr>
      <w:rFonts w:ascii="Arial" w:hAnsi="Arial"/>
    </w:rPr>
  </w:style>
  <w:style w:type="paragraph" w:customStyle="1" w:styleId="717">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autoRedefine/>
    <w:qFormat/>
    <w:uiPriority w:val="0"/>
    <w:pPr>
      <w:spacing w:after="120" w:line="480" w:lineRule="auto"/>
      <w:ind w:left="420" w:leftChars="200"/>
    </w:pPr>
    <w:rPr>
      <w:sz w:val="24"/>
      <w:szCs w:val="20"/>
    </w:rPr>
  </w:style>
  <w:style w:type="paragraph" w:customStyle="1" w:styleId="720">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722"/>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标题一"/>
    <w:basedOn w:val="1"/>
    <w:autoRedefine/>
    <w:qFormat/>
    <w:uiPriority w:val="0"/>
    <w:rPr>
      <w:sz w:val="28"/>
    </w:rPr>
  </w:style>
  <w:style w:type="paragraph" w:customStyle="1" w:styleId="723">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5">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autoRedefine/>
    <w:qFormat/>
    <w:uiPriority w:val="0"/>
    <w:rPr>
      <w:rFonts w:ascii="仿宋_GB2312" w:eastAsia="仿宋_GB2312"/>
      <w:b/>
      <w:sz w:val="32"/>
      <w:szCs w:val="20"/>
    </w:rPr>
  </w:style>
  <w:style w:type="paragraph" w:customStyle="1" w:styleId="730">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autoRedefine/>
    <w:qFormat/>
    <w:uiPriority w:val="0"/>
    <w:rPr>
      <w:rFonts w:ascii="仿宋_GB2312" w:eastAsia="仿宋_GB2312"/>
      <w:b/>
      <w:sz w:val="32"/>
      <w:szCs w:val="32"/>
    </w:rPr>
  </w:style>
  <w:style w:type="paragraph" w:customStyle="1" w:styleId="734">
    <w:name w:val="Char3 Char Char Char1"/>
    <w:basedOn w:val="1"/>
    <w:autoRedefine/>
    <w:qFormat/>
    <w:uiPriority w:val="6"/>
    <w:pPr>
      <w:widowControl/>
      <w:adjustRightInd/>
      <w:spacing w:after="160" w:line="240" w:lineRule="exact"/>
      <w:jc w:val="left"/>
    </w:pPr>
    <w:rPr>
      <w:szCs w:val="20"/>
    </w:rPr>
  </w:style>
  <w:style w:type="paragraph" w:customStyle="1" w:styleId="735">
    <w:name w:val="Char1 Char Char Char21"/>
    <w:basedOn w:val="1"/>
    <w:autoRedefine/>
    <w:qFormat/>
    <w:uiPriority w:val="0"/>
    <w:rPr>
      <w:rFonts w:ascii="Tahoma" w:hAnsi="Tahoma"/>
      <w:sz w:val="24"/>
      <w:szCs w:val="20"/>
    </w:rPr>
  </w:style>
  <w:style w:type="paragraph" w:customStyle="1" w:styleId="736">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autoRedefine/>
    <w:qFormat/>
    <w:uiPriority w:val="0"/>
    <w:pPr>
      <w:spacing w:line="360" w:lineRule="auto"/>
      <w:ind w:firstLine="200" w:firstLineChars="200"/>
    </w:pPr>
    <w:rPr>
      <w:sz w:val="24"/>
    </w:rPr>
  </w:style>
  <w:style w:type="paragraph" w:customStyle="1" w:styleId="738">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autoRedefine/>
    <w:qFormat/>
    <w:uiPriority w:val="0"/>
    <w:pPr>
      <w:adjustRightInd/>
      <w:ind w:firstLine="200" w:firstLineChars="200"/>
    </w:pPr>
    <w:rPr>
      <w:rFonts w:ascii="Tahoma" w:hAnsi="Tahoma"/>
      <w:sz w:val="24"/>
      <w:szCs w:val="20"/>
    </w:rPr>
  </w:style>
  <w:style w:type="paragraph" w:customStyle="1" w:styleId="744">
    <w:name w:val="_标题2"/>
    <w:basedOn w:val="710"/>
    <w:next w:val="710"/>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1"/>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autoRedefine/>
    <w:qFormat/>
    <w:uiPriority w:val="0"/>
    <w:pPr>
      <w:adjustRightInd/>
      <w:spacing w:line="360" w:lineRule="auto"/>
    </w:pPr>
    <w:rPr>
      <w:rFonts w:ascii="宋体" w:hAnsi="宋体"/>
      <w:szCs w:val="20"/>
    </w:rPr>
  </w:style>
  <w:style w:type="paragraph" w:customStyle="1" w:styleId="750">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autoRedefine/>
    <w:qFormat/>
    <w:uiPriority w:val="0"/>
    <w:pPr>
      <w:adjustRightInd/>
    </w:pPr>
    <w:rPr>
      <w:rFonts w:ascii="Tahoma" w:hAnsi="Tahoma"/>
      <w:sz w:val="24"/>
    </w:rPr>
  </w:style>
  <w:style w:type="paragraph" w:customStyle="1" w:styleId="752">
    <w:name w:val="Char Char Char Char11"/>
    <w:basedOn w:val="1"/>
    <w:autoRedefine/>
    <w:qFormat/>
    <w:uiPriority w:val="0"/>
    <w:rPr>
      <w:rFonts w:ascii="Tahoma" w:hAnsi="Tahoma"/>
      <w:sz w:val="24"/>
      <w:szCs w:val="20"/>
    </w:rPr>
  </w:style>
  <w:style w:type="paragraph" w:customStyle="1" w:styleId="753">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autoRedefine/>
    <w:qFormat/>
    <w:uiPriority w:val="0"/>
    <w:rPr>
      <w:rFonts w:ascii="Tahoma" w:hAnsi="Tahoma"/>
      <w:sz w:val="24"/>
      <w:szCs w:val="20"/>
    </w:rPr>
  </w:style>
  <w:style w:type="paragraph" w:customStyle="1" w:styleId="755">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autoRedefine/>
    <w:qFormat/>
    <w:uiPriority w:val="0"/>
    <w:pPr>
      <w:adjustRightInd/>
    </w:pPr>
    <w:rPr>
      <w:szCs w:val="20"/>
    </w:rPr>
  </w:style>
  <w:style w:type="paragraph" w:customStyle="1" w:styleId="757">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autoRedefine/>
    <w:qFormat/>
    <w:uiPriority w:val="34"/>
    <w:pPr>
      <w:adjustRightInd/>
      <w:ind w:firstLine="420" w:firstLineChars="200"/>
    </w:pPr>
    <w:rPr>
      <w:rFonts w:eastAsia="仿宋_GB2312"/>
      <w:sz w:val="28"/>
    </w:rPr>
  </w:style>
  <w:style w:type="paragraph" w:customStyle="1" w:styleId="760">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autoRedefine/>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autoRedefine/>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8">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autoRedefine/>
    <w:qFormat/>
    <w:uiPriority w:val="0"/>
    <w:rPr>
      <w:rFonts w:ascii="宋体" w:hAnsi="Times New Roman" w:eastAsia="宋体" w:cs="Times New Roman"/>
      <w:kern w:val="2"/>
      <w:lang w:val="en-US" w:eastAsia="zh-CN" w:bidi="ar-SA"/>
    </w:rPr>
  </w:style>
  <w:style w:type="paragraph" w:customStyle="1" w:styleId="770">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autoRedefine/>
    <w:qFormat/>
    <w:uiPriority w:val="0"/>
    <w:pPr>
      <w:tabs>
        <w:tab w:val="left" w:pos="360"/>
      </w:tabs>
    </w:pPr>
    <w:rPr>
      <w:sz w:val="24"/>
      <w:szCs w:val="20"/>
    </w:rPr>
  </w:style>
  <w:style w:type="paragraph" w:customStyle="1" w:styleId="774">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autoRedefine/>
    <w:qFormat/>
    <w:uiPriority w:val="0"/>
    <w:pPr>
      <w:widowControl/>
      <w:adjustRightInd/>
    </w:pPr>
    <w:rPr>
      <w:kern w:val="0"/>
      <w:szCs w:val="21"/>
    </w:rPr>
  </w:style>
  <w:style w:type="paragraph" w:customStyle="1" w:styleId="783">
    <w:name w:val="Char6"/>
    <w:basedOn w:val="1"/>
    <w:autoRedefine/>
    <w:qFormat/>
    <w:uiPriority w:val="0"/>
    <w:rPr>
      <w:rFonts w:ascii="仿宋_GB2312" w:eastAsia="仿宋_GB2312"/>
      <w:b/>
      <w:sz w:val="32"/>
      <w:szCs w:val="32"/>
    </w:rPr>
  </w:style>
  <w:style w:type="paragraph" w:customStyle="1" w:styleId="784">
    <w:name w:val="Char111"/>
    <w:basedOn w:val="1"/>
    <w:autoRedefine/>
    <w:qFormat/>
    <w:uiPriority w:val="0"/>
    <w:rPr>
      <w:rFonts w:ascii="仿宋_GB2312" w:eastAsia="仿宋_GB2312"/>
      <w:b/>
      <w:sz w:val="32"/>
      <w:szCs w:val="32"/>
    </w:rPr>
  </w:style>
  <w:style w:type="paragraph" w:customStyle="1" w:styleId="785">
    <w:name w:val="标题3"/>
    <w:basedOn w:val="4"/>
    <w:next w:val="53"/>
    <w:autoRedefine/>
    <w:qFormat/>
    <w:uiPriority w:val="0"/>
    <w:pPr>
      <w:tabs>
        <w:tab w:val="clear" w:pos="900"/>
      </w:tabs>
      <w:spacing w:after="0" w:line="360" w:lineRule="auto"/>
    </w:pPr>
    <w:rPr>
      <w:rFonts w:ascii="仿宋" w:hAnsi="仿宋" w:eastAsia="仿宋" w:cs="仿宋"/>
    </w:rPr>
  </w:style>
  <w:style w:type="paragraph" w:customStyle="1" w:styleId="786">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autoRedefine/>
    <w:qFormat/>
    <w:uiPriority w:val="0"/>
    <w:pPr>
      <w:adjustRightInd/>
      <w:ind w:firstLine="200" w:firstLineChars="200"/>
    </w:pPr>
    <w:rPr>
      <w:rFonts w:ascii="Tahoma" w:hAnsi="Tahoma"/>
      <w:sz w:val="24"/>
      <w:szCs w:val="20"/>
    </w:rPr>
  </w:style>
  <w:style w:type="paragraph" w:customStyle="1" w:styleId="789">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autoRedefine/>
    <w:qFormat/>
    <w:uiPriority w:val="0"/>
    <w:rPr>
      <w:rFonts w:ascii="仿宋_GB2312" w:eastAsia="仿宋_GB2312"/>
      <w:b/>
      <w:sz w:val="32"/>
      <w:szCs w:val="32"/>
    </w:rPr>
  </w:style>
  <w:style w:type="paragraph" w:customStyle="1" w:styleId="792">
    <w:name w:val="五级条标题"/>
    <w:basedOn w:val="793"/>
    <w:next w:val="637"/>
    <w:autoRedefine/>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2"/>
    <w:next w:val="637"/>
    <w:autoRedefine/>
    <w:qFormat/>
    <w:uiPriority w:val="0"/>
    <w:pPr>
      <w:tabs>
        <w:tab w:val="left" w:pos="2940"/>
        <w:tab w:val="clear" w:pos="2520"/>
      </w:tabs>
      <w:ind w:left="2940"/>
      <w:outlineLvl w:val="5"/>
    </w:pPr>
  </w:style>
  <w:style w:type="paragraph" w:customStyle="1" w:styleId="794">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autoRedefine/>
    <w:qFormat/>
    <w:uiPriority w:val="0"/>
    <w:rPr>
      <w:rFonts w:ascii="仿宋_GB2312" w:eastAsia="仿宋_GB2312"/>
      <w:b/>
      <w:sz w:val="32"/>
      <w:szCs w:val="32"/>
    </w:rPr>
  </w:style>
  <w:style w:type="paragraph" w:customStyle="1" w:styleId="796">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autoRedefine/>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0">
    <w:name w:val="单元格左对齐"/>
    <w:basedOn w:val="1"/>
    <w:autoRedefine/>
    <w:qFormat/>
    <w:uiPriority w:val="0"/>
    <w:pPr>
      <w:adjustRightInd/>
      <w:spacing w:line="360" w:lineRule="auto"/>
    </w:pPr>
    <w:rPr>
      <w:sz w:val="24"/>
    </w:rPr>
  </w:style>
  <w:style w:type="paragraph" w:customStyle="1" w:styleId="801">
    <w:name w:val="正文主体"/>
    <w:basedOn w:val="621"/>
    <w:autoRedefine/>
    <w:qFormat/>
    <w:uiPriority w:val="0"/>
  </w:style>
  <w:style w:type="paragraph" w:customStyle="1" w:styleId="80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autoRedefine/>
    <w:qFormat/>
    <w:uiPriority w:val="0"/>
    <w:pPr>
      <w:adjustRightInd/>
      <w:spacing w:line="360" w:lineRule="auto"/>
      <w:ind w:firstLine="480" w:firstLineChars="200"/>
    </w:pPr>
    <w:rPr>
      <w:sz w:val="24"/>
      <w:szCs w:val="20"/>
    </w:rPr>
  </w:style>
  <w:style w:type="paragraph" w:customStyle="1" w:styleId="806">
    <w:name w:val="P1"/>
    <w:basedOn w:val="1"/>
    <w:autoRedefine/>
    <w:qFormat/>
    <w:uiPriority w:val="0"/>
    <w:pPr>
      <w:adjustRightInd/>
      <w:spacing w:line="288" w:lineRule="auto"/>
      <w:ind w:firstLine="425" w:firstLineChars="200"/>
    </w:pPr>
  </w:style>
  <w:style w:type="paragraph" w:customStyle="1" w:styleId="807">
    <w:name w:val="列表内容"/>
    <w:basedOn w:val="1"/>
    <w:next w:val="1"/>
    <w:autoRedefine/>
    <w:qFormat/>
    <w:uiPriority w:val="0"/>
    <w:pPr>
      <w:widowControl/>
      <w:tabs>
        <w:tab w:val="left" w:pos="840"/>
      </w:tabs>
      <w:ind w:left="840" w:hanging="420"/>
      <w:jc w:val="left"/>
    </w:pPr>
    <w:rPr>
      <w:kern w:val="0"/>
      <w:sz w:val="18"/>
    </w:rPr>
  </w:style>
  <w:style w:type="paragraph" w:customStyle="1" w:styleId="808">
    <w:name w:val="Char Char11 Char Char Char1"/>
    <w:basedOn w:val="1"/>
    <w:autoRedefine/>
    <w:qFormat/>
    <w:uiPriority w:val="6"/>
    <w:pPr>
      <w:spacing w:line="360" w:lineRule="auto"/>
    </w:pPr>
    <w:rPr>
      <w:szCs w:val="20"/>
    </w:rPr>
  </w:style>
  <w:style w:type="paragraph" w:customStyle="1" w:styleId="809">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0">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autoRedefine/>
    <w:qFormat/>
    <w:uiPriority w:val="0"/>
    <w:pPr>
      <w:spacing w:line="360" w:lineRule="auto"/>
    </w:pPr>
    <w:rPr>
      <w:szCs w:val="20"/>
    </w:rPr>
  </w:style>
  <w:style w:type="paragraph" w:customStyle="1" w:styleId="815">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autoRedefine/>
    <w:qFormat/>
    <w:uiPriority w:val="0"/>
    <w:rPr>
      <w:rFonts w:ascii="仿宋_GB2312" w:eastAsia="仿宋_GB2312"/>
      <w:b/>
      <w:sz w:val="32"/>
      <w:szCs w:val="32"/>
    </w:rPr>
  </w:style>
  <w:style w:type="paragraph" w:customStyle="1" w:styleId="818">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1">
    <w:name w:val="Char Char4 Char Char"/>
    <w:basedOn w:val="1"/>
    <w:autoRedefine/>
    <w:qFormat/>
    <w:uiPriority w:val="0"/>
    <w:pPr>
      <w:widowControl/>
      <w:adjustRightInd/>
      <w:spacing w:after="160" w:line="240" w:lineRule="exact"/>
      <w:jc w:val="left"/>
    </w:pPr>
  </w:style>
  <w:style w:type="paragraph" w:customStyle="1" w:styleId="822">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autoRedefine/>
    <w:qFormat/>
    <w:uiPriority w:val="0"/>
    <w:pPr>
      <w:spacing w:line="360" w:lineRule="auto"/>
    </w:pPr>
    <w:rPr>
      <w:szCs w:val="20"/>
    </w:rPr>
  </w:style>
  <w:style w:type="paragraph" w:customStyle="1" w:styleId="824">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5"/>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autoRedefine/>
    <w:qFormat/>
    <w:uiPriority w:val="0"/>
    <w:pPr>
      <w:adjustRightInd/>
      <w:ind w:firstLine="200" w:firstLineChars="200"/>
    </w:pPr>
    <w:rPr>
      <w:rFonts w:ascii="Tahoma" w:hAnsi="Tahoma"/>
      <w:sz w:val="24"/>
      <w:szCs w:val="20"/>
    </w:rPr>
  </w:style>
  <w:style w:type="paragraph" w:customStyle="1" w:styleId="831">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autoRedefine/>
    <w:qFormat/>
    <w:uiPriority w:val="0"/>
    <w:pPr>
      <w:tabs>
        <w:tab w:val="left" w:pos="0"/>
      </w:tabs>
      <w:ind w:left="900" w:firstLine="0" w:firstLineChars="0"/>
    </w:pPr>
  </w:style>
  <w:style w:type="paragraph" w:customStyle="1" w:styleId="834">
    <w:name w:val="Bulleted List"/>
    <w:basedOn w:val="1"/>
    <w:autoRedefine/>
    <w:qFormat/>
    <w:uiPriority w:val="0"/>
    <w:pPr>
      <w:tabs>
        <w:tab w:val="left" w:pos="1260"/>
      </w:tabs>
      <w:adjustRightInd/>
      <w:ind w:left="1260" w:hanging="420"/>
    </w:pPr>
  </w:style>
  <w:style w:type="paragraph" w:customStyle="1" w:styleId="835">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autoRedefine/>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autoRedefine/>
    <w:qFormat/>
    <w:uiPriority w:val="0"/>
    <w:rPr>
      <w:rFonts w:ascii="Tahoma" w:hAnsi="Tahoma" w:cs="仿宋_GB2312"/>
      <w:sz w:val="24"/>
      <w:szCs w:val="20"/>
    </w:rPr>
  </w:style>
  <w:style w:type="paragraph" w:customStyle="1" w:styleId="838">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autoRedefine/>
    <w:qFormat/>
    <w:uiPriority w:val="0"/>
    <w:rPr>
      <w:rFonts w:ascii="仿宋_GB2312" w:eastAsia="仿宋_GB2312"/>
      <w:b/>
      <w:sz w:val="32"/>
      <w:szCs w:val="20"/>
    </w:rPr>
  </w:style>
  <w:style w:type="paragraph" w:customStyle="1" w:styleId="843">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autoRedefine/>
    <w:qFormat/>
    <w:uiPriority w:val="0"/>
    <w:rPr>
      <w:rFonts w:ascii="仿宋_GB2312" w:eastAsia="仿宋_GB2312"/>
      <w:b/>
      <w:sz w:val="32"/>
      <w:szCs w:val="20"/>
    </w:rPr>
  </w:style>
  <w:style w:type="paragraph" w:customStyle="1" w:styleId="845">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2">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autoRedefine/>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6">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autoRedefine/>
    <w:qFormat/>
    <w:uiPriority w:val="0"/>
    <w:pPr>
      <w:widowControl/>
      <w:spacing w:after="160" w:line="240" w:lineRule="exact"/>
      <w:jc w:val="left"/>
    </w:pPr>
    <w:rPr>
      <w:rFonts w:eastAsia="仿宋_GB2312"/>
      <w:sz w:val="28"/>
    </w:rPr>
  </w:style>
  <w:style w:type="paragraph" w:customStyle="1" w:styleId="859">
    <w:name w:val="Char21"/>
    <w:basedOn w:val="1"/>
    <w:autoRedefine/>
    <w:qFormat/>
    <w:uiPriority w:val="0"/>
    <w:pPr>
      <w:adjustRightInd/>
      <w:ind w:firstLine="200" w:firstLineChars="200"/>
    </w:pPr>
    <w:rPr>
      <w:rFonts w:ascii="仿宋_GB2312" w:eastAsia="仿宋_GB2312"/>
      <w:b/>
      <w:sz w:val="32"/>
      <w:szCs w:val="32"/>
    </w:rPr>
  </w:style>
  <w:style w:type="paragraph" w:customStyle="1" w:styleId="860">
    <w:name w:val="列表段落1"/>
    <w:basedOn w:val="1"/>
    <w:autoRedefine/>
    <w:qFormat/>
    <w:uiPriority w:val="34"/>
    <w:pPr>
      <w:adjustRightInd/>
      <w:ind w:right="238" w:firstLine="420"/>
    </w:pPr>
    <w:rPr>
      <w:rFonts w:ascii="Calibri" w:hAnsi="Calibri"/>
      <w:sz w:val="24"/>
    </w:rPr>
  </w:style>
  <w:style w:type="paragraph" w:customStyle="1" w:styleId="861">
    <w:name w:val="Char Char110"/>
    <w:basedOn w:val="1"/>
    <w:autoRedefine/>
    <w:qFormat/>
    <w:uiPriority w:val="6"/>
    <w:pPr>
      <w:spacing w:line="360" w:lineRule="auto"/>
    </w:pPr>
    <w:rPr>
      <w:rFonts w:ascii="Tahoma" w:hAnsi="Tahoma"/>
      <w:sz w:val="24"/>
      <w:szCs w:val="20"/>
    </w:rPr>
  </w:style>
  <w:style w:type="paragraph" w:customStyle="1" w:styleId="862">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4">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autoRedefine/>
    <w:qFormat/>
    <w:uiPriority w:val="0"/>
    <w:rPr>
      <w:rFonts w:ascii="Tahoma" w:hAnsi="Tahoma" w:cs="仿宋_GB2312"/>
      <w:sz w:val="24"/>
      <w:szCs w:val="20"/>
    </w:rPr>
  </w:style>
  <w:style w:type="paragraph" w:customStyle="1" w:styleId="867">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4"/>
    <w:autoRedefine/>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1">
    <w:name w:val="_Style 12"/>
    <w:basedOn w:val="18"/>
    <w:autoRedefine/>
    <w:qFormat/>
    <w:uiPriority w:val="0"/>
    <w:pPr>
      <w:snapToGrid w:val="0"/>
      <w:spacing w:line="360" w:lineRule="auto"/>
    </w:pPr>
  </w:style>
  <w:style w:type="paragraph" w:customStyle="1" w:styleId="872">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5"/>
    <w:autoRedefine/>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69"/>
    <w:autoRedefine/>
    <w:qFormat/>
    <w:uiPriority w:val="0"/>
    <w:pPr>
      <w:outlineLvl w:val="2"/>
    </w:pPr>
  </w:style>
  <w:style w:type="paragraph" w:customStyle="1" w:styleId="879">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autoRedefine/>
    <w:qFormat/>
    <w:uiPriority w:val="0"/>
    <w:pPr>
      <w:adjustRightInd/>
      <w:ind w:firstLine="200" w:firstLineChars="200"/>
    </w:pPr>
    <w:rPr>
      <w:rFonts w:ascii="Tahoma" w:hAnsi="Tahoma"/>
      <w:sz w:val="24"/>
      <w:szCs w:val="20"/>
    </w:rPr>
  </w:style>
  <w:style w:type="paragraph" w:customStyle="1" w:styleId="881">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2">
    <w:name w:val="MM Empty"/>
    <w:basedOn w:val="1"/>
    <w:autoRedefine/>
    <w:qFormat/>
    <w:uiPriority w:val="0"/>
    <w:pPr>
      <w:adjustRightInd/>
    </w:pPr>
  </w:style>
  <w:style w:type="paragraph" w:customStyle="1" w:styleId="883">
    <w:name w:val="Char24"/>
    <w:basedOn w:val="1"/>
    <w:autoRedefine/>
    <w:qFormat/>
    <w:uiPriority w:val="0"/>
    <w:rPr>
      <w:rFonts w:ascii="仿宋_GB2312" w:eastAsia="仿宋_GB2312"/>
      <w:b/>
      <w:sz w:val="32"/>
      <w:szCs w:val="32"/>
    </w:rPr>
  </w:style>
  <w:style w:type="paragraph" w:customStyle="1" w:styleId="884">
    <w:name w:val="正文箭头"/>
    <w:basedOn w:val="535"/>
    <w:autoRedefine/>
    <w:qFormat/>
    <w:uiPriority w:val="0"/>
  </w:style>
  <w:style w:type="paragraph" w:customStyle="1" w:styleId="885">
    <w:name w:val="U_编号2"/>
    <w:basedOn w:val="1"/>
    <w:autoRedefine/>
    <w:qFormat/>
    <w:uiPriority w:val="0"/>
    <w:pPr>
      <w:tabs>
        <w:tab w:val="left" w:pos="785"/>
      </w:tabs>
      <w:adjustRightInd/>
      <w:spacing w:beforeLines="10" w:afterLines="10" w:line="300" w:lineRule="auto"/>
    </w:pPr>
    <w:rPr>
      <w:sz w:val="24"/>
    </w:rPr>
  </w:style>
  <w:style w:type="paragraph" w:customStyle="1" w:styleId="886">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autoRedefine/>
    <w:qFormat/>
    <w:uiPriority w:val="34"/>
    <w:pPr>
      <w:adjustRightInd/>
      <w:ind w:firstLine="420" w:firstLineChars="200"/>
    </w:pPr>
    <w:rPr>
      <w:rFonts w:eastAsia="仿宋_GB2312"/>
      <w:sz w:val="28"/>
    </w:rPr>
  </w:style>
  <w:style w:type="paragraph" w:customStyle="1" w:styleId="891">
    <w:name w:val="表格 内容"/>
    <w:basedOn w:val="727"/>
    <w:autoRedefine/>
    <w:qFormat/>
    <w:uiPriority w:val="0"/>
    <w:rPr>
      <w:b w:val="0"/>
      <w:sz w:val="20"/>
    </w:rPr>
  </w:style>
  <w:style w:type="paragraph" w:customStyle="1" w:styleId="892">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6"/>
    <w:next w:val="1"/>
    <w:autoRedefine/>
    <w:qFormat/>
    <w:uiPriority w:val="0"/>
    <w:pPr>
      <w:tabs>
        <w:tab w:val="left" w:pos="1080"/>
      </w:tabs>
      <w:ind w:left="1080" w:hanging="1080"/>
    </w:pPr>
  </w:style>
  <w:style w:type="paragraph" w:customStyle="1" w:styleId="895">
    <w:name w:val="数字标题1"/>
    <w:basedOn w:val="3"/>
    <w:next w:val="1"/>
    <w:autoRedefine/>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autoRedefine/>
    <w:qFormat/>
    <w:uiPriority w:val="0"/>
    <w:pPr>
      <w:widowControl/>
    </w:pPr>
    <w:rPr>
      <w:kern w:val="0"/>
      <w:sz w:val="24"/>
      <w:szCs w:val="20"/>
    </w:rPr>
  </w:style>
  <w:style w:type="paragraph" w:customStyle="1" w:styleId="903">
    <w:name w:val="Char Char113"/>
    <w:basedOn w:val="1"/>
    <w:autoRedefine/>
    <w:qFormat/>
    <w:uiPriority w:val="0"/>
    <w:pPr>
      <w:widowControl/>
      <w:spacing w:after="160" w:line="240" w:lineRule="exact"/>
      <w:jc w:val="left"/>
    </w:pPr>
    <w:rPr>
      <w:rFonts w:eastAsia="仿宋_GB2312"/>
      <w:sz w:val="28"/>
    </w:rPr>
  </w:style>
  <w:style w:type="paragraph" w:customStyle="1" w:styleId="904">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autoRedefine/>
    <w:qFormat/>
    <w:uiPriority w:val="34"/>
    <w:pPr>
      <w:adjustRightInd/>
      <w:ind w:firstLine="420" w:firstLineChars="200"/>
    </w:pPr>
    <w:rPr>
      <w:rFonts w:eastAsia="仿宋_GB2312"/>
      <w:sz w:val="28"/>
    </w:rPr>
  </w:style>
  <w:style w:type="paragraph" w:customStyle="1" w:styleId="906">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autoRedefine/>
    <w:qFormat/>
    <w:uiPriority w:val="6"/>
    <w:pPr>
      <w:widowControl/>
      <w:spacing w:after="160" w:line="240" w:lineRule="exact"/>
      <w:jc w:val="left"/>
    </w:pPr>
    <w:rPr>
      <w:rFonts w:eastAsia="仿宋_GB2312"/>
      <w:sz w:val="28"/>
    </w:rPr>
  </w:style>
  <w:style w:type="paragraph" w:customStyle="1" w:styleId="912">
    <w:name w:val="正文 图"/>
    <w:basedOn w:val="440"/>
    <w:autoRedefine/>
    <w:qFormat/>
    <w:uiPriority w:val="0"/>
    <w:pPr>
      <w:adjustRightInd/>
      <w:spacing w:before="0"/>
      <w:ind w:firstLine="0"/>
      <w:jc w:val="center"/>
    </w:pPr>
    <w:rPr>
      <w:rFonts w:ascii="微软雅黑" w:hAnsi="微软雅黑"/>
    </w:rPr>
  </w:style>
  <w:style w:type="paragraph" w:customStyle="1" w:styleId="913">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59"/>
    <w:autoRedefine/>
    <w:qFormat/>
    <w:uiPriority w:val="0"/>
    <w:pPr>
      <w:ind w:left="0"/>
    </w:pPr>
  </w:style>
  <w:style w:type="paragraph" w:customStyle="1" w:styleId="916">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autoRedefine/>
    <w:qFormat/>
    <w:uiPriority w:val="0"/>
    <w:pPr>
      <w:adjustRightInd/>
      <w:spacing w:line="360" w:lineRule="auto"/>
      <w:ind w:firstLine="480"/>
    </w:pPr>
    <w:rPr>
      <w:sz w:val="24"/>
    </w:rPr>
  </w:style>
  <w:style w:type="table" w:customStyle="1" w:styleId="919">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autoRedefine/>
    <w:qFormat/>
    <w:uiPriority w:val="34"/>
    <w:pPr>
      <w:ind w:firstLine="420" w:firstLineChars="200"/>
    </w:pPr>
  </w:style>
  <w:style w:type="character" w:customStyle="1" w:styleId="926">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autoRedefine/>
    <w:qFormat/>
    <w:uiPriority w:val="0"/>
    <w:rPr>
      <w:rFonts w:ascii="宋体" w:eastAsia="宋体"/>
      <w:snapToGrid w:val="0"/>
      <w:color w:val="000000"/>
      <w:kern w:val="28"/>
      <w:sz w:val="28"/>
      <w:lang w:val="en-US" w:eastAsia="zh-CN" w:bidi="ar-SA"/>
    </w:rPr>
  </w:style>
  <w:style w:type="character" w:customStyle="1" w:styleId="928">
    <w:name w:val="页脚 字符1"/>
    <w:autoRedefine/>
    <w:qFormat/>
    <w:locked/>
    <w:uiPriority w:val="99"/>
    <w:rPr>
      <w:kern w:val="2"/>
      <w:sz w:val="18"/>
      <w:szCs w:val="18"/>
    </w:rPr>
  </w:style>
  <w:style w:type="character" w:customStyle="1" w:styleId="929">
    <w:name w:val="页眉 字符1"/>
    <w:autoRedefine/>
    <w:qFormat/>
    <w:uiPriority w:val="99"/>
    <w:rPr>
      <w:kern w:val="2"/>
      <w:sz w:val="18"/>
      <w:szCs w:val="18"/>
    </w:rPr>
  </w:style>
  <w:style w:type="character" w:customStyle="1" w:styleId="930">
    <w:name w:val="尾注文本 Char"/>
    <w:link w:val="39"/>
    <w:autoRedefine/>
    <w:qFormat/>
    <w:uiPriority w:val="0"/>
    <w:rPr>
      <w:kern w:val="2"/>
      <w:sz w:val="21"/>
      <w:szCs w:val="24"/>
      <w:lang w:val="zh-CN"/>
    </w:rPr>
  </w:style>
  <w:style w:type="character" w:customStyle="1" w:styleId="931">
    <w:name w:val="无间隔 Char"/>
    <w:link w:val="480"/>
    <w:autoRedefine/>
    <w:qFormat/>
    <w:uiPriority w:val="99"/>
    <w:rPr>
      <w:kern w:val="2"/>
      <w:sz w:val="21"/>
      <w:szCs w:val="22"/>
    </w:rPr>
  </w:style>
  <w:style w:type="character" w:customStyle="1" w:styleId="932">
    <w:name w:val="标准文本 Char Char"/>
    <w:link w:val="933"/>
    <w:autoRedefine/>
    <w:qFormat/>
    <w:uiPriority w:val="0"/>
    <w:rPr>
      <w:rFonts w:cs="宋体"/>
      <w:kern w:val="2"/>
      <w:sz w:val="24"/>
    </w:rPr>
  </w:style>
  <w:style w:type="paragraph" w:customStyle="1" w:styleId="933">
    <w:name w:val="标准文本"/>
    <w:basedOn w:val="1"/>
    <w:link w:val="932"/>
    <w:autoRedefine/>
    <w:qFormat/>
    <w:uiPriority w:val="0"/>
    <w:pPr>
      <w:adjustRightInd/>
      <w:spacing w:line="360" w:lineRule="auto"/>
      <w:ind w:firstLine="480" w:firstLineChars="200"/>
    </w:pPr>
    <w:rPr>
      <w:rFonts w:cs="宋体"/>
      <w:sz w:val="24"/>
      <w:szCs w:val="20"/>
    </w:rPr>
  </w:style>
  <w:style w:type="character" w:customStyle="1" w:styleId="934">
    <w:name w:val="Char Char213"/>
    <w:autoRedefine/>
    <w:qFormat/>
    <w:uiPriority w:val="0"/>
    <w:rPr>
      <w:rFonts w:eastAsia="Century Gothic"/>
      <w:b/>
      <w:bCs/>
      <w:kern w:val="44"/>
      <w:sz w:val="32"/>
      <w:szCs w:val="44"/>
      <w:lang w:val="en-US" w:eastAsia="zh-CN" w:bidi="ar-SA"/>
    </w:rPr>
  </w:style>
  <w:style w:type="character" w:customStyle="1" w:styleId="935">
    <w:name w:val="apple-style-span"/>
    <w:autoRedefine/>
    <w:qFormat/>
    <w:uiPriority w:val="0"/>
    <w:rPr>
      <w:rFonts w:ascii="Arial" w:hAnsi="Arial" w:eastAsia="黑体" w:cs="Arial"/>
      <w:snapToGrid w:val="0"/>
      <w:kern w:val="0"/>
      <w:szCs w:val="21"/>
    </w:rPr>
  </w:style>
  <w:style w:type="character" w:customStyle="1" w:styleId="936">
    <w:name w:val="15"/>
    <w:autoRedefine/>
    <w:qFormat/>
    <w:uiPriority w:val="0"/>
    <w:rPr>
      <w:rFonts w:hint="default" w:ascii="Calibri" w:hAnsi="Calibri"/>
      <w:color w:val="0000FF"/>
      <w:u w:val="single"/>
    </w:rPr>
  </w:style>
  <w:style w:type="character" w:customStyle="1" w:styleId="937">
    <w:name w:val="16"/>
    <w:autoRedefine/>
    <w:qFormat/>
    <w:uiPriority w:val="0"/>
    <w:rPr>
      <w:rFonts w:hint="eastAsia" w:ascii="宋体" w:hAnsi="宋体" w:eastAsia="宋体"/>
      <w:color w:val="000000"/>
      <w:sz w:val="20"/>
      <w:szCs w:val="20"/>
    </w:rPr>
  </w:style>
  <w:style w:type="character" w:customStyle="1" w:styleId="938">
    <w:name w:val="edui-unclickable"/>
    <w:autoRedefine/>
    <w:qFormat/>
    <w:uiPriority w:val="0"/>
    <w:rPr>
      <w:color w:val="808080"/>
    </w:rPr>
  </w:style>
  <w:style w:type="character" w:customStyle="1" w:styleId="939">
    <w:name w:val="tpc_content1"/>
    <w:autoRedefine/>
    <w:qFormat/>
    <w:uiPriority w:val="0"/>
    <w:rPr>
      <w:sz w:val="20"/>
      <w:szCs w:val="20"/>
    </w:rPr>
  </w:style>
  <w:style w:type="character" w:customStyle="1" w:styleId="940">
    <w:name w:val="正文文本缩进 字符"/>
    <w:autoRedefine/>
    <w:qFormat/>
    <w:uiPriority w:val="0"/>
    <w:rPr>
      <w:rFonts w:ascii="Century Gothic" w:hAnsi="Century Gothic" w:eastAsia="Century Gothic"/>
      <w:kern w:val="2"/>
      <w:sz w:val="24"/>
      <w:lang w:val="en-US" w:eastAsia="zh-CN" w:bidi="ar-SA"/>
    </w:rPr>
  </w:style>
  <w:style w:type="character" w:customStyle="1" w:styleId="941">
    <w:name w:val="正文文本 2 字符"/>
    <w:autoRedefine/>
    <w:qFormat/>
    <w:uiPriority w:val="0"/>
    <w:rPr>
      <w:rFonts w:ascii="Arial" w:hAnsi="Arial" w:eastAsia="宋体"/>
      <w:kern w:val="2"/>
      <w:sz w:val="24"/>
      <w:szCs w:val="24"/>
      <w:lang w:val="en-US" w:eastAsia="zh-CN" w:bidi="ar-SA"/>
    </w:rPr>
  </w:style>
  <w:style w:type="character" w:customStyle="1" w:styleId="942">
    <w:name w:val="edui-clickable2"/>
    <w:autoRedefine/>
    <w:qFormat/>
    <w:uiPriority w:val="0"/>
    <w:rPr>
      <w:color w:val="0000FF"/>
      <w:u w:val="single"/>
    </w:rPr>
  </w:style>
  <w:style w:type="character" w:customStyle="1" w:styleId="943">
    <w:name w:val="style1"/>
    <w:autoRedefine/>
    <w:qFormat/>
    <w:uiPriority w:val="0"/>
    <w:rPr>
      <w:rFonts w:ascii="Arial" w:hAnsi="Arial" w:eastAsia="黑体" w:cs="Arial"/>
      <w:snapToGrid w:val="0"/>
      <w:kern w:val="0"/>
      <w:szCs w:val="21"/>
    </w:rPr>
  </w:style>
  <w:style w:type="character" w:customStyle="1" w:styleId="944">
    <w:name w:val="zbggtop11 style5"/>
    <w:autoRedefine/>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6">
    <w:name w:val="bulletintext1"/>
    <w:autoRedefine/>
    <w:qFormat/>
    <w:uiPriority w:val="0"/>
    <w:rPr>
      <w:color w:val="000000"/>
      <w:sz w:val="18"/>
    </w:rPr>
  </w:style>
  <w:style w:type="paragraph" w:customStyle="1" w:styleId="947">
    <w:name w:val="_Style 947"/>
    <w:basedOn w:val="1"/>
    <w:next w:val="255"/>
    <w:autoRedefine/>
    <w:qFormat/>
    <w:uiPriority w:val="34"/>
    <w:pPr>
      <w:adjustRightInd/>
      <w:ind w:firstLine="420" w:firstLineChars="200"/>
    </w:pPr>
  </w:style>
  <w:style w:type="paragraph" w:customStyle="1" w:styleId="94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2"/>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autoRedefine/>
    <w:qFormat/>
    <w:uiPriority w:val="0"/>
    <w:pPr>
      <w:adjustRightInd/>
      <w:jc w:val="left"/>
    </w:pPr>
    <w:rPr>
      <w:rFonts w:ascii="Calibri" w:hAnsi="Calibri"/>
      <w:kern w:val="0"/>
      <w:sz w:val="22"/>
      <w:szCs w:val="22"/>
      <w:lang w:eastAsia="en-US"/>
    </w:rPr>
  </w:style>
  <w:style w:type="paragraph" w:customStyle="1" w:styleId="95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autoRedefine/>
    <w:qFormat/>
    <w:uiPriority w:val="0"/>
    <w:rPr>
      <w:color w:val="000000"/>
      <w:shd w:val="clear" w:color="auto" w:fill="EFD200"/>
    </w:rPr>
  </w:style>
  <w:style w:type="character" w:customStyle="1" w:styleId="960">
    <w:name w:val="font71"/>
    <w:autoRedefine/>
    <w:qFormat/>
    <w:uiPriority w:val="0"/>
    <w:rPr>
      <w:rFonts w:hint="eastAsia" w:ascii="宋体" w:hAnsi="宋体" w:eastAsia="宋体" w:cs="宋体"/>
      <w:color w:val="000000"/>
      <w:sz w:val="22"/>
      <w:szCs w:val="22"/>
      <w:u w:val="none"/>
    </w:rPr>
  </w:style>
  <w:style w:type="character" w:customStyle="1" w:styleId="961">
    <w:name w:val="font91"/>
    <w:autoRedefine/>
    <w:qFormat/>
    <w:uiPriority w:val="0"/>
    <w:rPr>
      <w:rFonts w:hint="eastAsia" w:ascii="仿宋" w:hAnsi="仿宋" w:eastAsia="仿宋" w:cs="仿宋"/>
      <w:color w:val="000000"/>
      <w:sz w:val="22"/>
      <w:szCs w:val="22"/>
      <w:u w:val="none"/>
    </w:rPr>
  </w:style>
  <w:style w:type="paragraph" w:customStyle="1" w:styleId="962">
    <w:name w:val="[Normal]"/>
    <w:autoRedefine/>
    <w:qFormat/>
    <w:uiPriority w:val="0"/>
    <w:rPr>
      <w:rFonts w:ascii="宋体" w:hAnsi="宋体" w:eastAsia="宋体" w:cs="Times New Roman"/>
      <w:sz w:val="24"/>
      <w:szCs w:val="22"/>
      <w:lang w:val="zh-CN" w:eastAsia="zh-CN" w:bidi="ar-SA"/>
    </w:rPr>
  </w:style>
  <w:style w:type="character" w:customStyle="1" w:styleId="963">
    <w:name w:val="font101"/>
    <w:basedOn w:val="69"/>
    <w:autoRedefine/>
    <w:qFormat/>
    <w:uiPriority w:val="0"/>
    <w:rPr>
      <w:rFonts w:hint="eastAsia" w:ascii="宋体" w:hAnsi="宋体" w:eastAsia="宋体" w:cs="宋体"/>
      <w:color w:val="000000"/>
      <w:sz w:val="18"/>
      <w:szCs w:val="18"/>
      <w:u w:val="none"/>
    </w:rPr>
  </w:style>
  <w:style w:type="character" w:customStyle="1" w:styleId="964">
    <w:name w:val="font111"/>
    <w:basedOn w:val="69"/>
    <w:autoRedefine/>
    <w:qFormat/>
    <w:uiPriority w:val="0"/>
    <w:rPr>
      <w:rFonts w:ascii="宋体" w:hAnsi="宋体" w:eastAsia="宋体" w:cs="宋体"/>
      <w:color w:val="000000"/>
      <w:sz w:val="18"/>
      <w:szCs w:val="18"/>
      <w:u w:val="none"/>
    </w:rPr>
  </w:style>
  <w:style w:type="paragraph" w:customStyle="1" w:styleId="965">
    <w:name w:val="A_正文"/>
    <w:basedOn w:val="1"/>
    <w:autoRedefine/>
    <w:qFormat/>
    <w:uiPriority w:val="0"/>
    <w:pPr>
      <w:ind w:firstLine="200" w:firstLineChars="200"/>
    </w:pPr>
    <w:rPr>
      <w:szCs w:val="24"/>
    </w:rPr>
  </w:style>
  <w:style w:type="paragraph" w:customStyle="1" w:styleId="966">
    <w:name w:val="z正文"/>
    <w:basedOn w:val="34"/>
    <w:autoRedefine/>
    <w:qFormat/>
    <w:uiPriority w:val="99"/>
    <w:pPr>
      <w:tabs>
        <w:tab w:val="left" w:pos="525"/>
      </w:tabs>
      <w:snapToGrid w:val="0"/>
      <w:spacing w:line="360" w:lineRule="auto"/>
    </w:pPr>
    <w:rPr>
      <w:rFonts w:hAnsi="宋体" w:eastAsia="宋体"/>
      <w:kern w:val="2"/>
      <w:sz w:val="24"/>
      <w:szCs w:val="20"/>
    </w:rPr>
  </w:style>
  <w:style w:type="character" w:customStyle="1" w:styleId="967">
    <w:name w:val="NormalCharacter"/>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70</Pages>
  <Words>33347</Words>
  <Characters>35082</Characters>
  <Lines>293</Lines>
  <Paragraphs>82</Paragraphs>
  <TotalTime>7</TotalTime>
  <ScaleCrop>false</ScaleCrop>
  <LinksUpToDate>false</LinksUpToDate>
  <CharactersWithSpaces>40009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小布布</cp:lastModifiedBy>
  <cp:lastPrinted>2024-03-26T01:18:00Z</cp:lastPrinted>
  <dcterms:modified xsi:type="dcterms:W3CDTF">2024-03-26T06:13:07Z</dcterms:modified>
  <dc:title>杭州市市民卡扩大发卡工程</dc:title>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55FCFB8B6A7C4793B4721913DE54622A_13</vt:lpwstr>
  </property>
</Properties>
</file>