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firstLine="0"/>
        <w:rPr>
          <w:color w:val="auto"/>
        </w:rPr>
      </w:pPr>
      <w:bookmarkStart w:id="780" w:name="_GoBack"/>
    </w:p>
    <w:p>
      <w:pPr>
        <w:adjustRightInd/>
        <w:spacing w:line="360" w:lineRule="auto"/>
        <w:jc w:val="center"/>
        <w:rPr>
          <w:rFonts w:ascii="宋体" w:hAnsi="宋体" w:cs="宋体"/>
          <w:b/>
          <w:bCs/>
          <w:color w:val="auto"/>
          <w:sz w:val="52"/>
          <w:szCs w:val="52"/>
        </w:rPr>
      </w:pPr>
      <w:r>
        <w:rPr>
          <w:rFonts w:hint="eastAsia" w:ascii="宋体" w:hAnsi="宋体" w:cs="宋体"/>
          <w:b/>
          <w:bCs/>
          <w:color w:val="auto"/>
          <w:sz w:val="52"/>
          <w:szCs w:val="52"/>
        </w:rPr>
        <w:t>杭州市萧山区卫生健康局区域基层信息系统一体化升级政府采购项目</w:t>
      </w:r>
    </w:p>
    <w:p>
      <w:pPr>
        <w:pStyle w:val="80"/>
        <w:rPr>
          <w:color w:val="auto"/>
        </w:rPr>
      </w:pPr>
    </w:p>
    <w:p>
      <w:pPr>
        <w:adjustRightInd/>
        <w:spacing w:line="360" w:lineRule="auto"/>
        <w:jc w:val="center"/>
        <w:rPr>
          <w:rFonts w:ascii="宋体" w:hAnsi="宋体" w:cs="宋体"/>
          <w:b/>
          <w:bCs/>
          <w:color w:val="auto"/>
          <w:sz w:val="72"/>
          <w:szCs w:val="72"/>
        </w:rPr>
      </w:pPr>
      <w:r>
        <w:rPr>
          <w:rFonts w:hint="eastAsia" w:ascii="宋体" w:hAnsi="宋体" w:cs="宋体"/>
          <w:b/>
          <w:bCs/>
          <w:color w:val="auto"/>
          <w:sz w:val="72"/>
          <w:szCs w:val="72"/>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编号:BWZBDL2023-308</w:t>
      </w:r>
    </w:p>
    <w:p>
      <w:pPr>
        <w:adjustRightInd/>
        <w:spacing w:line="360" w:lineRule="auto"/>
        <w:rPr>
          <w:rFonts w:ascii="宋体" w:hAnsi="宋体" w:cs="宋体"/>
          <w:color w:val="auto"/>
          <w:sz w:val="28"/>
          <w:szCs w:val="20"/>
        </w:rPr>
      </w:pPr>
    </w:p>
    <w:p>
      <w:pPr>
        <w:rPr>
          <w:color w:val="auto"/>
        </w:rPr>
      </w:pPr>
      <w:r>
        <w:rPr>
          <w:rFonts w:hint="eastAsia"/>
          <w:color w:val="auto"/>
        </w:rPr>
        <w:t xml:space="preserve"> </w:t>
      </w:r>
    </w:p>
    <w:p>
      <w:pPr>
        <w:rPr>
          <w:color w:val="auto"/>
        </w:rPr>
      </w:pPr>
    </w:p>
    <w:p>
      <w:pPr>
        <w:rPr>
          <w:color w:val="auto"/>
        </w:rPr>
      </w:pPr>
    </w:p>
    <w:p>
      <w:pPr>
        <w:rPr>
          <w:color w:val="auto"/>
        </w:rPr>
      </w:pPr>
    </w:p>
    <w:p>
      <w:pPr>
        <w:rPr>
          <w:color w:val="auto"/>
        </w:rPr>
      </w:pPr>
    </w:p>
    <w:p>
      <w:pPr>
        <w:rPr>
          <w:color w:val="auto"/>
        </w:rPr>
      </w:pPr>
    </w:p>
    <w:p>
      <w:pPr>
        <w:spacing w:line="360" w:lineRule="auto"/>
        <w:rPr>
          <w:rFonts w:ascii="宋体" w:hAnsi="宋体" w:cs="宋体"/>
          <w:color w:val="auto"/>
          <w:sz w:val="32"/>
          <w:szCs w:val="32"/>
        </w:rPr>
      </w:pPr>
    </w:p>
    <w:p>
      <w:pPr>
        <w:pStyle w:val="80"/>
        <w:rPr>
          <w:rFonts w:ascii="宋体" w:hAnsi="宋体" w:cs="宋体"/>
          <w:color w:val="auto"/>
          <w:sz w:val="32"/>
          <w:szCs w:val="32"/>
        </w:rPr>
      </w:pPr>
    </w:p>
    <w:p>
      <w:pPr>
        <w:pStyle w:val="81"/>
        <w:rPr>
          <w:rFonts w:ascii="宋体" w:hAnsi="宋体" w:cs="宋体"/>
          <w:color w:val="auto"/>
          <w:sz w:val="32"/>
          <w:szCs w:val="32"/>
        </w:rPr>
      </w:pPr>
    </w:p>
    <w:p>
      <w:pPr>
        <w:rPr>
          <w:rFonts w:ascii="宋体" w:hAnsi="宋体" w:cs="宋体"/>
          <w:color w:val="auto"/>
          <w:sz w:val="32"/>
          <w:szCs w:val="32"/>
        </w:rPr>
      </w:pPr>
    </w:p>
    <w:p>
      <w:pPr>
        <w:pStyle w:val="80"/>
        <w:rPr>
          <w:rFonts w:ascii="宋体" w:hAnsi="宋体" w:cs="宋体"/>
          <w:color w:val="auto"/>
          <w:sz w:val="32"/>
          <w:szCs w:val="32"/>
        </w:rPr>
      </w:pPr>
    </w:p>
    <w:p>
      <w:pPr>
        <w:pStyle w:val="81"/>
        <w:rPr>
          <w:color w:val="auto"/>
        </w:rPr>
      </w:pP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杭州市萧山区卫生健康局</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杭州博望建设工程招标投标代理有限公司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2023年11月</w:t>
      </w:r>
      <w:r>
        <w:rPr>
          <w:rFonts w:hint="eastAsia" w:ascii="宋体" w:hAnsi="宋体" w:cs="宋体"/>
          <w:bCs/>
          <w:color w:val="auto"/>
          <w:sz w:val="32"/>
          <w:szCs w:val="32"/>
          <w:lang w:val="en-US" w:eastAsia="zh-CN"/>
        </w:rPr>
        <w:t>15</w:t>
      </w:r>
      <w:r>
        <w:rPr>
          <w:rFonts w:hint="eastAsia" w:ascii="宋体" w:hAnsi="宋体" w:cs="宋体"/>
          <w:bCs/>
          <w:color w:val="auto"/>
          <w:sz w:val="32"/>
          <w:szCs w:val="32"/>
        </w:rPr>
        <w:t>日</w:t>
      </w:r>
    </w:p>
    <w:p>
      <w:pPr>
        <w:spacing w:line="360" w:lineRule="auto"/>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7"/>
        <w:rPr>
          <w:rFonts w:ascii="宋体" w:hAnsi="宋体" w:eastAsia="宋体" w:cs="宋体"/>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rPr>
          <w:color w:val="auto"/>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rPr>
        <w:t>杭州市萧山区卫生健康局区域基层信息系统一体化升级政府采购项目）</w:t>
      </w:r>
      <w:r>
        <w:rPr>
          <w:rFonts w:hint="eastAsia" w:ascii="宋体" w:hAnsi="宋体" w:cs="宋体"/>
          <w:color w:val="auto"/>
          <w:sz w:val="24"/>
        </w:rPr>
        <w:t>招</w:t>
      </w:r>
      <w:r>
        <w:rPr>
          <w:rFonts w:hint="eastAsia" w:ascii="宋体" w:hAnsi="宋体" w:cs="宋体"/>
          <w:color w:val="auto"/>
          <w:sz w:val="24"/>
        </w:rPr>
        <w:t>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eastAsia="宋体" w:cs="宋体"/>
          <w:snapToGrid/>
          <w:color w:val="auto"/>
          <w:kern w:val="2"/>
          <w:sz w:val="24"/>
          <w:szCs w:val="24"/>
          <w:u w:val="single"/>
        </w:rPr>
        <w:t>2023年</w:t>
      </w:r>
      <w:r>
        <w:rPr>
          <w:rStyle w:val="77"/>
          <w:rFonts w:hint="eastAsia" w:ascii="宋体" w:hAnsi="宋体" w:cs="宋体"/>
          <w:snapToGrid/>
          <w:color w:val="auto"/>
          <w:kern w:val="2"/>
          <w:sz w:val="24"/>
          <w:szCs w:val="24"/>
          <w:u w:val="single"/>
        </w:rPr>
        <w:t>1</w:t>
      </w:r>
      <w:r>
        <w:rPr>
          <w:rStyle w:val="77"/>
          <w:rFonts w:hint="eastAsia" w:ascii="宋体" w:hAnsi="宋体" w:eastAsia="黑体" w:cs="宋体"/>
          <w:snapToGrid/>
          <w:color w:val="auto"/>
          <w:kern w:val="2"/>
          <w:sz w:val="24"/>
          <w:szCs w:val="24"/>
          <w:u w:val="single"/>
          <w:lang w:val="en-US" w:eastAsia="zh-CN"/>
        </w:rPr>
        <w:t>2</w:t>
      </w:r>
      <w:r>
        <w:rPr>
          <w:rStyle w:val="77"/>
          <w:rFonts w:hint="eastAsia" w:ascii="宋体" w:hAnsi="宋体" w:eastAsia="宋体" w:cs="宋体"/>
          <w:snapToGrid/>
          <w:color w:val="auto"/>
          <w:kern w:val="2"/>
          <w:sz w:val="24"/>
          <w:szCs w:val="24"/>
          <w:u w:val="single"/>
        </w:rPr>
        <w:t>月</w:t>
      </w:r>
      <w:r>
        <w:rPr>
          <w:rStyle w:val="77"/>
          <w:rFonts w:hint="eastAsia" w:ascii="宋体" w:hAnsi="宋体" w:cs="宋体"/>
          <w:snapToGrid/>
          <w:color w:val="auto"/>
          <w:kern w:val="2"/>
          <w:sz w:val="24"/>
          <w:szCs w:val="24"/>
          <w:u w:val="single"/>
          <w:lang w:val="en-US" w:eastAsia="zh-CN"/>
        </w:rPr>
        <w:t>06</w:t>
      </w:r>
      <w:r>
        <w:rPr>
          <w:rStyle w:val="77"/>
          <w:rFonts w:hint="eastAsia" w:ascii="宋体" w:hAnsi="宋体" w:eastAsia="宋体" w:cs="宋体"/>
          <w:snapToGrid/>
          <w:color w:val="auto"/>
          <w:kern w:val="2"/>
          <w:sz w:val="24"/>
          <w:szCs w:val="24"/>
          <w:u w:val="single"/>
        </w:rPr>
        <w:t>日</w:t>
      </w:r>
      <w:r>
        <w:rPr>
          <w:rStyle w:val="77"/>
          <w:rFonts w:hint="eastAsia" w:ascii="宋体" w:hAnsi="宋体" w:cs="宋体"/>
          <w:snapToGrid/>
          <w:color w:val="auto"/>
          <w:kern w:val="2"/>
          <w:sz w:val="24"/>
          <w:szCs w:val="24"/>
          <w:u w:val="single"/>
          <w:lang w:val="en-US" w:eastAsia="zh-CN"/>
        </w:rPr>
        <w:t>9</w:t>
      </w:r>
      <w:r>
        <w:rPr>
          <w:rStyle w:val="77"/>
          <w:rFonts w:hint="eastAsia" w:ascii="宋体" w:hAnsi="宋体" w:eastAsia="宋体" w:cs="宋体"/>
          <w:snapToGrid/>
          <w:color w:val="auto"/>
          <w:kern w:val="2"/>
          <w:sz w:val="24"/>
          <w:szCs w:val="24"/>
          <w:u w:val="single"/>
        </w:rPr>
        <w:t>点</w:t>
      </w:r>
      <w:r>
        <w:rPr>
          <w:rStyle w:val="77"/>
          <w:rFonts w:hint="eastAsia" w:ascii="宋体" w:hAnsi="宋体" w:cs="宋体"/>
          <w:snapToGrid/>
          <w:color w:val="auto"/>
          <w:kern w:val="2"/>
          <w:sz w:val="24"/>
          <w:szCs w:val="24"/>
          <w:u w:val="single"/>
          <w:lang w:val="en-US" w:eastAsia="zh-CN"/>
        </w:rPr>
        <w:t>00</w:t>
      </w:r>
      <w:r>
        <w:rPr>
          <w:rStyle w:val="77"/>
          <w:rFonts w:hint="eastAsia" w:ascii="宋体" w:hAnsi="宋体" w:eastAsia="宋体" w:cs="宋体"/>
          <w:snapToGrid/>
          <w:color w:val="auto"/>
          <w:kern w:val="2"/>
          <w:sz w:val="24"/>
          <w:szCs w:val="24"/>
          <w:u w:val="single"/>
        </w:rPr>
        <w:t>分</w:t>
      </w:r>
      <w:r>
        <w:rPr>
          <w:rStyle w:val="77"/>
          <w:rFonts w:hint="eastAsia" w:ascii="宋体" w:hAnsi="宋体" w:eastAsia="宋体" w:cs="宋体"/>
          <w:bCs/>
          <w:snapToGrid/>
          <w:color w:val="auto"/>
          <w:kern w:val="2"/>
          <w:sz w:val="24"/>
          <w:szCs w:val="24"/>
          <w:u w:val="single"/>
        </w:rPr>
        <w:t>00秒</w:t>
      </w:r>
      <w:r>
        <w:rPr>
          <w:rStyle w:val="77"/>
          <w:rFonts w:hint="eastAsia" w:ascii="宋体" w:hAnsi="宋体" w:eastAsia="宋体" w:cs="宋体"/>
          <w:bCs/>
          <w:snapToGrid/>
          <w:color w:val="auto"/>
          <w:kern w:val="2"/>
          <w:sz w:val="24"/>
          <w:szCs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440" w:lineRule="exact"/>
        <w:rPr>
          <w:rFonts w:ascii="宋体" w:hAnsi="宋体" w:cs="宋体"/>
          <w:b/>
          <w:color w:val="auto"/>
          <w:sz w:val="24"/>
        </w:rPr>
      </w:pPr>
      <w:r>
        <w:rPr>
          <w:rFonts w:hint="eastAsia" w:ascii="宋体" w:hAnsi="宋体" w:cs="宋体"/>
          <w:b/>
          <w:color w:val="auto"/>
          <w:sz w:val="24"/>
        </w:rPr>
        <w:t xml:space="preserve">一、项目基本情况                                            </w:t>
      </w:r>
    </w:p>
    <w:p>
      <w:pPr>
        <w:spacing w:line="44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Cs/>
          <w:color w:val="auto"/>
          <w:sz w:val="24"/>
        </w:rPr>
        <w:t>BWZBDL2023-308</w:t>
      </w:r>
    </w:p>
    <w:p>
      <w:pPr>
        <w:spacing w:line="440" w:lineRule="exact"/>
        <w:rPr>
          <w:rFonts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u w:val="single"/>
        </w:rPr>
        <w:t>杭州市萧山区卫生健康局区域基层信息系统一体化升级政府采购项目</w:t>
      </w:r>
    </w:p>
    <w:p>
      <w:pPr>
        <w:spacing w:line="44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Cs/>
          <w:color w:val="auto"/>
          <w:sz w:val="24"/>
        </w:rPr>
        <w:t xml:space="preserve">5090000.00 </w:t>
      </w:r>
    </w:p>
    <w:p>
      <w:pPr>
        <w:spacing w:line="440" w:lineRule="exact"/>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Cs/>
          <w:color w:val="auto"/>
          <w:sz w:val="24"/>
        </w:rPr>
        <w:t xml:space="preserve">5090000.00 </w:t>
      </w:r>
    </w:p>
    <w:p>
      <w:pPr>
        <w:spacing w:line="440" w:lineRule="exact"/>
        <w:ind w:firstLine="482" w:firstLineChars="200"/>
        <w:rPr>
          <w:rFonts w:ascii="宋体" w:hAnsi="宋体" w:cs="宋体"/>
          <w:bCs/>
          <w:color w:val="auto"/>
          <w:sz w:val="24"/>
        </w:rPr>
      </w:pPr>
      <w:r>
        <w:rPr>
          <w:rFonts w:hint="eastAsia" w:ascii="宋体" w:hAnsi="宋体" w:cs="宋体"/>
          <w:b/>
          <w:color w:val="auto"/>
          <w:sz w:val="24"/>
        </w:rPr>
        <w:t>采购需求：</w:t>
      </w:r>
      <w:r>
        <w:rPr>
          <w:rFonts w:hint="eastAsia" w:ascii="宋体" w:hAnsi="宋体" w:cs="宋体"/>
          <w:color w:val="auto"/>
          <w:sz w:val="24"/>
          <w:u w:val="single"/>
        </w:rPr>
        <w:t>杭州市萧山区卫生健康局区域基层信息系统一体化升级政府采购项目</w:t>
      </w:r>
      <w:r>
        <w:rPr>
          <w:rFonts w:hint="eastAsia" w:ascii="宋体" w:hAnsi="宋体" w:cs="宋体"/>
          <w:bCs/>
          <w:color w:val="auto"/>
          <w:sz w:val="24"/>
        </w:rPr>
        <w:t>,主要内容：</w:t>
      </w:r>
      <w:r>
        <w:rPr>
          <w:rFonts w:hint="eastAsia" w:ascii="宋体" w:hAnsi="宋体" w:cs="宋体"/>
          <w:color w:val="auto"/>
          <w:sz w:val="24"/>
          <w:u w:val="single"/>
        </w:rPr>
        <w:t>区域基层信息系统一体化升级</w:t>
      </w:r>
      <w:r>
        <w:rPr>
          <w:rFonts w:hint="eastAsia" w:ascii="宋体" w:hAnsi="宋体" w:cs="宋体"/>
          <w:bCs/>
          <w:color w:val="auto"/>
          <w:sz w:val="24"/>
        </w:rPr>
        <w:t>。</w:t>
      </w:r>
      <w:r>
        <w:rPr>
          <w:rFonts w:hint="eastAsia" w:ascii="宋体" w:hAnsi="宋体" w:cs="宋体"/>
          <w:color w:val="auto"/>
          <w:sz w:val="24"/>
        </w:rPr>
        <w:t>具体以招标文件第三部分采购需求为准，供应商可点击本公告下方“浏览采购文件”查看采购需求。</w:t>
      </w:r>
    </w:p>
    <w:p>
      <w:pPr>
        <w:pStyle w:val="132"/>
        <w:spacing w:line="440" w:lineRule="exact"/>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color w:val="auto"/>
        </w:rPr>
        <w:t>详见采购需求</w:t>
      </w:r>
    </w:p>
    <w:p>
      <w:pPr>
        <w:pStyle w:val="15"/>
        <w:spacing w:line="440" w:lineRule="exact"/>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sdt>
        <w:sdtPr>
          <w:rPr>
            <w:rFonts w:hint="eastAsia" w:hAnsi="宋体" w:cs="宋体"/>
            <w:color w:val="auto"/>
            <w:kern w:val="0"/>
            <w:sz w:val="24"/>
          </w:rPr>
          <w:id w:val="-441836950"/>
          <w14:checkbox>
            <w14:checked w14:val="1"/>
            <w14:checkedState w14:val="00FE" w14:font="Wingdings"/>
            <w14:uncheckedState w14:val="2610" w14:font="MS Gothic"/>
          </w14:checkbox>
        </w:sdtPr>
        <w:sdtEndPr>
          <w:rPr>
            <w:rFonts w:hint="eastAsia" w:hAnsi="宋体" w:cs="宋体"/>
            <w:b/>
            <w:bCs/>
            <w:color w:val="auto"/>
            <w:kern w:val="0"/>
            <w:sz w:val="24"/>
          </w:rPr>
        </w:sdtEndPr>
        <w:sdtContent>
          <w:r>
            <w:rPr>
              <w:rFonts w:hint="eastAsia" w:ascii="Wingdings" w:hAnsi="Wingdings" w:cs="宋体"/>
              <w:b/>
              <w:bCs/>
              <w:color w:val="auto"/>
              <w:kern w:val="0"/>
              <w:sz w:val="24"/>
            </w:rPr>
            <w:t>þ</w:t>
          </w:r>
        </w:sdtContent>
      </w:sdt>
      <w:r>
        <w:rPr>
          <w:rFonts w:hint="eastAsia" w:hAnsi="宋体" w:cs="宋体"/>
          <w:b/>
          <w:bCs/>
          <w:color w:val="auto"/>
          <w:kern w:val="0"/>
          <w:sz w:val="24"/>
        </w:rPr>
        <w:t>是</w:t>
      </w:r>
      <w:r>
        <w:rPr>
          <w:rFonts w:hint="eastAsia" w:hAnsi="宋体" w:cs="宋体"/>
          <w:b/>
          <w:color w:val="auto"/>
          <w:sz w:val="24"/>
        </w:rPr>
        <w:t>；</w:t>
      </w:r>
      <w:sdt>
        <w:sdtPr>
          <w:rPr>
            <w:rFonts w:hint="eastAsia" w:hAnsi="宋体" w:cs="宋体"/>
            <w:color w:val="auto"/>
            <w:kern w:val="0"/>
            <w:sz w:val="24"/>
          </w:rPr>
          <w:id w:val="-159162419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440" w:lineRule="exact"/>
        <w:rPr>
          <w:rFonts w:ascii="宋体" w:hAnsi="宋体" w:cs="宋体"/>
          <w:b/>
          <w:color w:val="auto"/>
          <w:sz w:val="24"/>
        </w:rPr>
      </w:pPr>
      <w:r>
        <w:rPr>
          <w:rFonts w:hint="eastAsia" w:ascii="宋体" w:hAnsi="宋体" w:cs="宋体"/>
          <w:b/>
          <w:color w:val="auto"/>
          <w:sz w:val="24"/>
        </w:rPr>
        <w:t>二、申请人的资格要求：</w:t>
      </w:r>
    </w:p>
    <w:p>
      <w:pPr>
        <w:spacing w:line="440" w:lineRule="exact"/>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w:t>
      </w:r>
      <w:r>
        <w:rPr>
          <w:rFonts w:hint="eastAsia" w:ascii="宋体" w:hAnsi="宋体" w:cs="宋体"/>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color w:val="auto"/>
          <w:kern w:val="28"/>
          <w:sz w:val="24"/>
          <w:szCs w:val="20"/>
        </w:rPr>
        <w:t>；</w:t>
      </w:r>
    </w:p>
    <w:p>
      <w:pPr>
        <w:spacing w:line="440" w:lineRule="exact"/>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2.</w:t>
      </w:r>
      <w:r>
        <w:rPr>
          <w:rFonts w:hint="eastAsia" w:ascii="宋体" w:hAnsi="宋体" w:cs="宋体"/>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440" w:lineRule="exact"/>
        <w:ind w:firstLine="480" w:firstLineChars="200"/>
        <w:rPr>
          <w:rFonts w:ascii="宋体" w:hAnsi="宋体" w:cs="宋体"/>
          <w:snapToGrid w:val="0"/>
          <w:color w:val="auto"/>
          <w:kern w:val="28"/>
          <w:sz w:val="24"/>
          <w:szCs w:val="20"/>
        </w:rPr>
      </w:pPr>
      <w:r>
        <w:rPr>
          <w:rFonts w:hint="eastAsia" w:ascii="宋体" w:hAnsi="宋体" w:cs="宋体"/>
          <w:snapToGrid w:val="0"/>
          <w:color w:val="auto"/>
          <w:kern w:val="28"/>
          <w:sz w:val="24"/>
          <w:szCs w:val="20"/>
        </w:rPr>
        <w:t>3.落实政府采购政策需满足的资格要求：</w:t>
      </w:r>
    </w:p>
    <w:p>
      <w:pPr>
        <w:spacing w:line="440" w:lineRule="exact"/>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440" w:lineRule="exact"/>
        <w:ind w:firstLine="480" w:firstLineChars="200"/>
        <w:rPr>
          <w:rFonts w:ascii="宋体" w:hAnsi="宋体" w:cs="宋体"/>
          <w:snapToGrid w:val="0"/>
          <w:color w:val="auto"/>
          <w:kern w:val="28"/>
          <w:sz w:val="24"/>
          <w:szCs w:val="20"/>
        </w:rPr>
      </w:pPr>
      <w:sdt>
        <w:sdtPr>
          <w:rPr>
            <w:rFonts w:hint="eastAsia" w:ascii="宋体" w:hAnsi="宋体" w:cs="宋体"/>
            <w:snapToGrid w:val="0"/>
            <w:color w:val="auto"/>
            <w:kern w:val="28"/>
            <w:sz w:val="24"/>
            <w:szCs w:val="20"/>
          </w:rPr>
          <w:id w:val="-1024704304"/>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rPr>
        </w:sdtEndPr>
        <w:sdtContent>
          <w:r>
            <w:rPr>
              <w:rFonts w:hint="eastAsia" w:ascii="MS Gothic" w:hAnsi="MS Gothic" w:cs="宋体"/>
              <w:snapToGrid w:val="0"/>
              <w:color w:val="auto"/>
              <w:kern w:val="28"/>
              <w:sz w:val="24"/>
              <w:szCs w:val="20"/>
            </w:rPr>
            <w:t>☐</w:t>
          </w:r>
        </w:sdtContent>
      </w:sdt>
      <w:r>
        <w:rPr>
          <w:rFonts w:hint="eastAsia" w:ascii="宋体" w:hAnsi="宋体" w:cs="宋体"/>
          <w:snapToGrid w:val="0"/>
          <w:color w:val="auto"/>
          <w:kern w:val="28"/>
          <w:sz w:val="24"/>
          <w:szCs w:val="20"/>
        </w:rPr>
        <w:t>专门面向中小企业</w:t>
      </w:r>
    </w:p>
    <w:p>
      <w:pPr>
        <w:spacing w:line="440" w:lineRule="exact"/>
        <w:ind w:firstLine="960" w:firstLineChars="400"/>
        <w:rPr>
          <w:rFonts w:ascii="宋体" w:hAnsi="宋体" w:cs="宋体"/>
          <w:snapToGrid w:val="0"/>
          <w:color w:val="auto"/>
          <w:kern w:val="28"/>
          <w:sz w:val="24"/>
          <w:szCs w:val="20"/>
        </w:rPr>
      </w:pPr>
      <w:sdt>
        <w:sdtPr>
          <w:rPr>
            <w:rFonts w:hint="eastAsia" w:ascii="宋体" w:hAnsi="宋体" w:cs="宋体"/>
            <w:snapToGrid w:val="0"/>
            <w:color w:val="auto"/>
            <w:kern w:val="28"/>
            <w:sz w:val="24"/>
            <w:szCs w:val="20"/>
          </w:rPr>
          <w:id w:val="-333685401"/>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rPr>
        </w:sdtEndPr>
        <w:sdtContent>
          <w:r>
            <w:rPr>
              <w:rFonts w:hint="eastAsia" w:ascii="MS Gothic" w:hAnsi="MS Gothic" w:cs="宋体"/>
              <w:snapToGrid w:val="0"/>
              <w:color w:val="auto"/>
              <w:kern w:val="28"/>
              <w:sz w:val="24"/>
              <w:szCs w:val="20"/>
            </w:rPr>
            <w:t>☐</w:t>
          </w:r>
        </w:sdtContent>
      </w:sdt>
      <w:r>
        <w:rPr>
          <w:rFonts w:hint="eastAsia" w:ascii="宋体" w:hAnsi="宋体" w:cs="宋体"/>
          <w:snapToGrid w:val="0"/>
          <w:color w:val="auto"/>
          <w:kern w:val="28"/>
          <w:sz w:val="24"/>
          <w:szCs w:val="20"/>
        </w:rPr>
        <w:t>服务全部由符合政策要求的中小企业承接，提供中小企业声明函；</w:t>
      </w:r>
    </w:p>
    <w:p>
      <w:pPr>
        <w:spacing w:line="440" w:lineRule="exact"/>
        <w:ind w:firstLine="897" w:firstLineChars="374"/>
        <w:rPr>
          <w:rFonts w:ascii="宋体" w:hAnsi="宋体" w:cs="宋体"/>
          <w:color w:val="auto"/>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sz w:val="24"/>
        </w:rPr>
        <w:t>服务全部由符合政策要求的小微企业承接，提供中小企业声明函；</w:t>
      </w:r>
    </w:p>
    <w:p>
      <w:pPr>
        <w:spacing w:line="440" w:lineRule="exact"/>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440" w:lineRule="exact"/>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4.本项目的特定资格要求：</w:t>
      </w:r>
    </w:p>
    <w:p>
      <w:pPr>
        <w:snapToGrid w:val="0"/>
        <w:spacing w:line="440" w:lineRule="exact"/>
        <w:ind w:firstLine="480" w:firstLineChars="200"/>
        <w:rPr>
          <w:rFonts w:ascii="宋体" w:hAnsi="宋体" w:cs="宋体"/>
          <w:color w:val="auto"/>
          <w:sz w:val="24"/>
        </w:rPr>
      </w:pPr>
      <w:sdt>
        <w:sdtPr>
          <w:rPr>
            <w:rFonts w:hint="eastAsia" w:ascii="宋体" w:hAnsi="宋体" w:cs="宋体"/>
            <w:color w:val="auto"/>
            <w:kern w:val="0"/>
            <w:sz w:val="24"/>
          </w:rPr>
          <w:id w:val="-150898254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sz w:val="24"/>
        </w:rPr>
        <w:t>无</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rPr>
          <w:rFonts w:ascii="宋体" w:hAnsi="宋体" w:cs="宋体"/>
          <w:b/>
          <w:color w:val="auto"/>
          <w:sz w:val="24"/>
        </w:rPr>
      </w:pPr>
      <w:r>
        <w:rPr>
          <w:rFonts w:hint="eastAsia" w:ascii="宋体" w:hAnsi="宋体" w:cs="宋体"/>
          <w:b/>
          <w:color w:val="auto"/>
          <w:sz w:val="24"/>
        </w:rPr>
        <w:t xml:space="preserve">三、获取招标文件 </w:t>
      </w:r>
    </w:p>
    <w:p>
      <w:pPr>
        <w:spacing w:line="440" w:lineRule="exact"/>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2023年1</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06</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440" w:lineRule="exact"/>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440" w:lineRule="exact"/>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440" w:lineRule="exact"/>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p>
    <w:p>
      <w:pPr>
        <w:spacing w:line="440" w:lineRule="exact"/>
        <w:rPr>
          <w:rFonts w:ascii="宋体" w:hAnsi="宋体" w:cs="宋体"/>
          <w:b/>
          <w:color w:val="auto"/>
          <w:sz w:val="24"/>
        </w:rPr>
      </w:pPr>
      <w:r>
        <w:rPr>
          <w:rFonts w:hint="eastAsia" w:ascii="宋体" w:hAnsi="宋体" w:cs="宋体"/>
          <w:b/>
          <w:color w:val="auto"/>
          <w:sz w:val="24"/>
        </w:rPr>
        <w:t>四、提交投标文件截止时间、开标时间和地点</w:t>
      </w:r>
    </w:p>
    <w:p>
      <w:pPr>
        <w:spacing w:line="440" w:lineRule="exact"/>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rPr>
        <w:t>2023年1</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06</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440" w:lineRule="exact"/>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440" w:lineRule="exact"/>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2023年1</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06</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440" w:lineRule="exact"/>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440" w:lineRule="exact"/>
        <w:rPr>
          <w:rFonts w:ascii="宋体" w:hAnsi="宋体" w:cs="宋体"/>
          <w:color w:val="auto"/>
          <w:sz w:val="24"/>
        </w:rPr>
      </w:pPr>
      <w:r>
        <w:rPr>
          <w:rFonts w:hint="eastAsia" w:ascii="宋体" w:hAnsi="宋体" w:cs="宋体"/>
          <w:b/>
          <w:color w:val="auto"/>
          <w:sz w:val="24"/>
        </w:rPr>
        <w:t xml:space="preserve">五、公告期限 </w:t>
      </w:r>
    </w:p>
    <w:p>
      <w:pPr>
        <w:spacing w:line="440" w:lineRule="exact"/>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440" w:lineRule="exact"/>
        <w:rPr>
          <w:rFonts w:ascii="宋体" w:hAnsi="宋体" w:cs="宋体"/>
          <w:b/>
          <w:color w:val="auto"/>
          <w:sz w:val="24"/>
        </w:rPr>
      </w:pPr>
      <w:r>
        <w:rPr>
          <w:rFonts w:hint="eastAsia" w:ascii="宋体" w:hAnsi="宋体" w:cs="宋体"/>
          <w:b/>
          <w:color w:val="auto"/>
          <w:sz w:val="24"/>
        </w:rPr>
        <w:t>六、其他补充事宜</w:t>
      </w:r>
    </w:p>
    <w:p>
      <w:pPr>
        <w:spacing w:line="440" w:lineRule="exact"/>
        <w:ind w:firstLine="480" w:firstLineChars="200"/>
        <w:rPr>
          <w:rFonts w:ascii="宋体" w:hAnsi="宋体" w:cs="宋体"/>
          <w:color w:val="auto"/>
          <w:sz w:val="24"/>
        </w:rPr>
      </w:pPr>
      <w:r>
        <w:rPr>
          <w:rFonts w:hint="eastAsia" w:ascii="宋体" w:hAnsi="宋体" w:cs="宋体"/>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40" w:lineRule="exact"/>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440" w:lineRule="exact"/>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440" w:lineRule="exact"/>
        <w:rPr>
          <w:rFonts w:ascii="宋体" w:hAnsi="宋体" w:cs="宋体"/>
          <w:b/>
          <w:bCs/>
          <w:color w:val="auto"/>
          <w:sz w:val="24"/>
        </w:rPr>
      </w:pPr>
      <w:r>
        <w:rPr>
          <w:rFonts w:hint="eastAsia" w:ascii="宋体" w:hAnsi="宋体" w:cs="宋体"/>
          <w:b/>
          <w:bCs/>
          <w:color w:val="auto"/>
          <w:sz w:val="24"/>
        </w:rPr>
        <w:t>1.采购人信息</w:t>
      </w:r>
    </w:p>
    <w:p>
      <w:pPr>
        <w:spacing w:line="440" w:lineRule="exact"/>
        <w:ind w:firstLine="420" w:firstLineChars="175"/>
        <w:rPr>
          <w:rFonts w:ascii="宋体" w:hAnsi="宋体" w:cs="宋体"/>
          <w:color w:val="auto"/>
          <w:sz w:val="24"/>
        </w:rPr>
      </w:pPr>
      <w:r>
        <w:rPr>
          <w:rFonts w:hint="eastAsia" w:ascii="宋体" w:hAnsi="宋体" w:cs="宋体"/>
          <w:color w:val="auto"/>
          <w:sz w:val="24"/>
        </w:rPr>
        <w:t>名称：杭州市萧山区卫生健康局</w:t>
      </w:r>
    </w:p>
    <w:p>
      <w:pPr>
        <w:spacing w:line="440" w:lineRule="exact"/>
        <w:ind w:firstLine="420" w:firstLineChars="175"/>
        <w:rPr>
          <w:rFonts w:ascii="宋体" w:hAnsi="宋体" w:cs="宋体"/>
          <w:color w:val="auto"/>
          <w:sz w:val="24"/>
        </w:rPr>
      </w:pPr>
      <w:r>
        <w:rPr>
          <w:rFonts w:hint="eastAsia" w:ascii="宋体" w:hAnsi="宋体" w:cs="宋体"/>
          <w:color w:val="auto"/>
          <w:sz w:val="24"/>
        </w:rPr>
        <w:t>地址：杭州市萧山区风情大道3258号</w:t>
      </w:r>
    </w:p>
    <w:p>
      <w:pPr>
        <w:spacing w:line="440" w:lineRule="exact"/>
        <w:ind w:firstLine="420" w:firstLineChars="175"/>
        <w:rPr>
          <w:rFonts w:ascii="宋体" w:hAnsi="宋体" w:cs="宋体"/>
          <w:color w:val="auto"/>
          <w:sz w:val="24"/>
        </w:rPr>
      </w:pPr>
      <w:r>
        <w:rPr>
          <w:rFonts w:hint="eastAsia" w:ascii="宋体" w:hAnsi="宋体" w:cs="宋体"/>
          <w:color w:val="auto"/>
          <w:sz w:val="24"/>
        </w:rPr>
        <w:t>项目联系人（询问）：陈盼望</w:t>
      </w:r>
    </w:p>
    <w:p>
      <w:pPr>
        <w:spacing w:line="440" w:lineRule="exact"/>
        <w:ind w:firstLine="420" w:firstLineChars="175"/>
        <w:rPr>
          <w:rFonts w:ascii="宋体" w:hAnsi="宋体" w:cs="宋体"/>
          <w:b/>
          <w:bCs/>
          <w:color w:val="auto"/>
          <w:sz w:val="24"/>
        </w:rPr>
      </w:pPr>
      <w:r>
        <w:rPr>
          <w:rFonts w:hint="eastAsia" w:ascii="宋体" w:hAnsi="宋体" w:cs="宋体"/>
          <w:color w:val="auto"/>
          <w:sz w:val="24"/>
        </w:rPr>
        <w:t>项目联系方式（询问）：0571-82626296</w:t>
      </w:r>
    </w:p>
    <w:p>
      <w:pPr>
        <w:spacing w:line="440" w:lineRule="exact"/>
        <w:ind w:firstLine="420" w:firstLineChars="175"/>
        <w:rPr>
          <w:rFonts w:ascii="宋体" w:hAnsi="宋体" w:cs="宋体"/>
          <w:color w:val="auto"/>
          <w:sz w:val="24"/>
        </w:rPr>
      </w:pPr>
      <w:r>
        <w:rPr>
          <w:rFonts w:hint="eastAsia" w:ascii="宋体" w:hAnsi="宋体" w:cs="宋体"/>
          <w:color w:val="auto"/>
          <w:sz w:val="24"/>
        </w:rPr>
        <w:t>质疑联系人：鲁建锋</w:t>
      </w:r>
    </w:p>
    <w:p>
      <w:pPr>
        <w:spacing w:line="440" w:lineRule="exact"/>
        <w:ind w:firstLine="420" w:firstLineChars="175"/>
        <w:rPr>
          <w:rFonts w:ascii="宋体" w:hAnsi="宋体" w:cs="宋体"/>
          <w:color w:val="auto"/>
          <w:sz w:val="24"/>
        </w:rPr>
      </w:pPr>
      <w:r>
        <w:rPr>
          <w:rFonts w:hint="eastAsia" w:ascii="宋体" w:hAnsi="宋体" w:cs="宋体"/>
          <w:color w:val="auto"/>
          <w:sz w:val="24"/>
        </w:rPr>
        <w:t>质疑联系方式：0571-82626196</w:t>
      </w:r>
    </w:p>
    <w:p>
      <w:pPr>
        <w:spacing w:line="440" w:lineRule="exact"/>
        <w:rPr>
          <w:rFonts w:ascii="宋体" w:hAnsi="宋体" w:cs="宋体"/>
          <w:b/>
          <w:bCs/>
          <w:color w:val="auto"/>
          <w:sz w:val="24"/>
        </w:rPr>
      </w:pPr>
      <w:r>
        <w:rPr>
          <w:rFonts w:hint="eastAsia" w:ascii="宋体" w:hAnsi="宋体" w:cs="宋体"/>
          <w:b/>
          <w:bCs/>
          <w:color w:val="auto"/>
          <w:sz w:val="24"/>
        </w:rPr>
        <w:t>2.采购代理机构信息</w:t>
      </w:r>
    </w:p>
    <w:p>
      <w:pPr>
        <w:spacing w:line="440" w:lineRule="exact"/>
        <w:ind w:firstLine="420" w:firstLineChars="175"/>
        <w:rPr>
          <w:rFonts w:ascii="宋体" w:hAnsi="宋体" w:cs="宋体"/>
          <w:color w:val="auto"/>
          <w:sz w:val="24"/>
        </w:rPr>
      </w:pPr>
      <w:r>
        <w:rPr>
          <w:rFonts w:hint="eastAsia" w:ascii="宋体" w:hAnsi="宋体" w:cs="宋体"/>
          <w:color w:val="auto"/>
          <w:sz w:val="24"/>
        </w:rPr>
        <w:t>名称：杭州博望建设工程招标投标代理有限公司</w:t>
      </w:r>
    </w:p>
    <w:p>
      <w:pPr>
        <w:spacing w:line="440" w:lineRule="exact"/>
        <w:ind w:firstLine="420" w:firstLineChars="175"/>
        <w:rPr>
          <w:rFonts w:ascii="宋体" w:hAnsi="宋体" w:cs="宋体"/>
          <w:color w:val="auto"/>
          <w:sz w:val="24"/>
        </w:rPr>
      </w:pPr>
      <w:r>
        <w:rPr>
          <w:rFonts w:hint="eastAsia" w:ascii="宋体" w:hAnsi="宋体" w:cs="宋体"/>
          <w:color w:val="auto"/>
          <w:sz w:val="24"/>
        </w:rPr>
        <w:t>地址：杭州市萧山区金城路433号天汇园一幢A座5楼</w:t>
      </w:r>
    </w:p>
    <w:p>
      <w:pPr>
        <w:spacing w:line="440" w:lineRule="exact"/>
        <w:ind w:firstLine="420" w:firstLineChars="175"/>
        <w:rPr>
          <w:rFonts w:ascii="宋体" w:hAnsi="宋体" w:cs="宋体"/>
          <w:color w:val="auto"/>
          <w:sz w:val="24"/>
        </w:rPr>
      </w:pPr>
      <w:r>
        <w:rPr>
          <w:rFonts w:hint="eastAsia" w:ascii="宋体" w:hAnsi="宋体" w:cs="宋体"/>
          <w:color w:val="auto"/>
          <w:sz w:val="24"/>
        </w:rPr>
        <w:t>项目联系人（询问）：高华萍</w:t>
      </w:r>
    </w:p>
    <w:p>
      <w:pPr>
        <w:spacing w:line="440" w:lineRule="exact"/>
        <w:ind w:firstLine="420" w:firstLineChars="175"/>
        <w:rPr>
          <w:rFonts w:ascii="宋体" w:hAnsi="宋体" w:cs="宋体"/>
          <w:color w:val="auto"/>
          <w:sz w:val="24"/>
        </w:rPr>
      </w:pPr>
      <w:r>
        <w:rPr>
          <w:rFonts w:hint="eastAsia" w:ascii="宋体" w:hAnsi="宋体" w:cs="宋体"/>
          <w:color w:val="auto"/>
          <w:sz w:val="24"/>
        </w:rPr>
        <w:t>项目联系方式（询问）：0571-83881218</w:t>
      </w:r>
    </w:p>
    <w:p>
      <w:pPr>
        <w:spacing w:line="440" w:lineRule="exact"/>
        <w:ind w:firstLine="420" w:firstLineChars="175"/>
        <w:rPr>
          <w:rFonts w:ascii="宋体" w:hAnsi="宋体" w:cs="宋体"/>
          <w:color w:val="auto"/>
          <w:sz w:val="24"/>
        </w:rPr>
      </w:pPr>
      <w:r>
        <w:rPr>
          <w:rFonts w:hint="eastAsia" w:ascii="宋体" w:hAnsi="宋体" w:cs="宋体"/>
          <w:color w:val="auto"/>
          <w:sz w:val="24"/>
        </w:rPr>
        <w:t>质疑联系人：范梦迪</w:t>
      </w:r>
    </w:p>
    <w:p>
      <w:pPr>
        <w:spacing w:line="440" w:lineRule="exact"/>
        <w:ind w:firstLine="420" w:firstLineChars="175"/>
        <w:rPr>
          <w:rFonts w:ascii="宋体" w:hAnsi="宋体" w:cs="宋体"/>
          <w:color w:val="auto"/>
          <w:sz w:val="24"/>
        </w:rPr>
      </w:pPr>
      <w:r>
        <w:rPr>
          <w:rFonts w:hint="eastAsia" w:ascii="宋体" w:hAnsi="宋体" w:cs="宋体"/>
          <w:color w:val="auto"/>
          <w:sz w:val="24"/>
        </w:rPr>
        <w:t>质疑联系方式：0571-83881208</w:t>
      </w:r>
    </w:p>
    <w:p>
      <w:pPr>
        <w:spacing w:line="440" w:lineRule="exact"/>
        <w:rPr>
          <w:rFonts w:ascii="宋体" w:hAnsi="宋体" w:cs="宋体"/>
          <w:b/>
          <w:bCs/>
          <w:color w:val="auto"/>
          <w:sz w:val="24"/>
        </w:rPr>
      </w:pPr>
      <w:r>
        <w:rPr>
          <w:rFonts w:hint="eastAsia" w:ascii="宋体" w:hAnsi="宋体" w:cs="宋体"/>
          <w:b/>
          <w:bCs/>
          <w:color w:val="auto"/>
          <w:sz w:val="24"/>
        </w:rPr>
        <w:t>3.同级政府采购监督管理部门</w:t>
      </w:r>
    </w:p>
    <w:p>
      <w:pPr>
        <w:spacing w:line="440" w:lineRule="exact"/>
        <w:ind w:firstLine="420" w:firstLineChars="175"/>
        <w:rPr>
          <w:rFonts w:ascii="宋体" w:hAnsi="宋体" w:cs="宋体"/>
          <w:color w:val="auto"/>
          <w:sz w:val="24"/>
        </w:rPr>
      </w:pPr>
      <w:r>
        <w:rPr>
          <w:rFonts w:hint="eastAsia" w:ascii="宋体" w:hAnsi="宋体" w:cs="宋体"/>
          <w:color w:val="auto"/>
          <w:sz w:val="24"/>
        </w:rPr>
        <w:t>名称：萧山区财政局</w:t>
      </w:r>
    </w:p>
    <w:p>
      <w:pPr>
        <w:spacing w:line="440" w:lineRule="exact"/>
        <w:ind w:firstLine="420" w:firstLineChars="175"/>
        <w:rPr>
          <w:rFonts w:ascii="宋体" w:hAnsi="宋体" w:cs="宋体"/>
          <w:color w:val="auto"/>
          <w:sz w:val="24"/>
        </w:rPr>
      </w:pPr>
      <w:r>
        <w:rPr>
          <w:rFonts w:hint="eastAsia" w:ascii="宋体" w:hAnsi="宋体" w:cs="宋体"/>
          <w:color w:val="auto"/>
          <w:sz w:val="24"/>
        </w:rPr>
        <w:t>地址：萧山区人民路318号</w:t>
      </w:r>
    </w:p>
    <w:p>
      <w:pPr>
        <w:spacing w:line="440" w:lineRule="exact"/>
        <w:ind w:firstLine="420" w:firstLineChars="175"/>
        <w:rPr>
          <w:rFonts w:ascii="宋体" w:hAnsi="宋体" w:cs="宋体"/>
          <w:color w:val="auto"/>
          <w:sz w:val="24"/>
        </w:rPr>
      </w:pPr>
      <w:r>
        <w:rPr>
          <w:rFonts w:hint="eastAsia" w:ascii="宋体" w:hAnsi="宋体" w:cs="宋体"/>
          <w:color w:val="auto"/>
          <w:sz w:val="24"/>
        </w:rPr>
        <w:t>传真：0571-82756122</w:t>
      </w:r>
    </w:p>
    <w:p>
      <w:pPr>
        <w:spacing w:line="440" w:lineRule="exact"/>
        <w:ind w:firstLine="420" w:firstLineChars="175"/>
        <w:rPr>
          <w:rFonts w:ascii="宋体" w:hAnsi="宋体" w:cs="宋体"/>
          <w:color w:val="auto"/>
          <w:sz w:val="24"/>
        </w:rPr>
      </w:pPr>
      <w:r>
        <w:rPr>
          <w:rFonts w:hint="eastAsia" w:ascii="宋体" w:hAnsi="宋体" w:cs="宋体"/>
          <w:color w:val="auto"/>
          <w:sz w:val="24"/>
        </w:rPr>
        <w:t>联系人：汤先生</w:t>
      </w:r>
    </w:p>
    <w:p>
      <w:pPr>
        <w:spacing w:line="440" w:lineRule="exact"/>
        <w:ind w:firstLine="420" w:firstLineChars="175"/>
        <w:rPr>
          <w:rFonts w:ascii="宋体" w:hAnsi="宋体" w:cs="宋体"/>
          <w:color w:val="auto"/>
          <w:sz w:val="24"/>
        </w:rPr>
      </w:pPr>
      <w:r>
        <w:rPr>
          <w:rFonts w:hint="eastAsia" w:ascii="宋体" w:hAnsi="宋体" w:cs="宋体"/>
          <w:color w:val="auto"/>
          <w:sz w:val="24"/>
        </w:rPr>
        <w:t>监督投诉电话：0571-82756122</w:t>
      </w:r>
    </w:p>
    <w:p>
      <w:pPr>
        <w:spacing w:line="360" w:lineRule="auto"/>
        <w:ind w:firstLine="480"/>
        <w:rPr>
          <w:rFonts w:ascii="宋体" w:hAnsi="宋体" w:cs="宋体"/>
          <w:color w:val="auto"/>
          <w:sz w:val="24"/>
        </w:rPr>
      </w:pPr>
    </w:p>
    <w:p>
      <w:pPr>
        <w:spacing w:line="360" w:lineRule="auto"/>
        <w:ind w:firstLine="48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hint="eastAsia"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48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48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rPr>
              <w:t>标的：</w:t>
            </w:r>
            <w:r>
              <w:rPr>
                <w:rFonts w:hint="eastAsia" w:ascii="宋体" w:hAnsi="宋体" w:cs="宋体"/>
                <w:color w:val="auto"/>
                <w:sz w:val="24"/>
                <w:u w:val="single"/>
              </w:rPr>
              <w:t>杭州市萧山区卫生健康局区域基层信息系统一体化升级政府采购项目</w:t>
            </w:r>
            <w:r>
              <w:rPr>
                <w:rFonts w:hint="eastAsia" w:ascii="宋体" w:hAnsi="宋体" w:cs="宋体"/>
                <w:color w:val="auto"/>
                <w:sz w:val="24"/>
              </w:rPr>
              <w:t>，属于</w:t>
            </w:r>
            <w:r>
              <w:rPr>
                <w:rFonts w:hint="eastAsia" w:ascii="宋体" w:hAnsi="宋体" w:cs="宋体"/>
                <w:color w:val="auto"/>
                <w:sz w:val="24"/>
                <w:u w:val="single"/>
              </w:rPr>
              <w:t xml:space="preserve"> 软件和信息</w:t>
            </w:r>
            <w:r>
              <w:rPr>
                <w:rFonts w:hint="eastAsia" w:ascii="宋体" w:hAnsi="宋体" w:cs="宋体"/>
                <w:color w:val="auto"/>
                <w:kern w:val="0"/>
                <w:sz w:val="24"/>
                <w:u w:val="single"/>
              </w:rPr>
              <w:t xml:space="preserve">技术服务业 </w:t>
            </w:r>
            <w:r>
              <w:rPr>
                <w:rFonts w:hint="eastAsia" w:ascii="宋体" w:hAnsi="宋体" w:cs="宋体"/>
                <w:color w:val="auto"/>
                <w:sz w:val="24"/>
              </w:rPr>
              <w:t>行</w:t>
            </w:r>
            <w:r>
              <w:rPr>
                <w:rFonts w:hint="eastAsia" w:ascii="宋体" w:hAnsi="宋体" w:cs="宋体"/>
                <w:color w:val="auto"/>
                <w:sz w:val="24"/>
              </w:rPr>
              <w:t>业；</w:t>
            </w:r>
          </w:p>
          <w:p>
            <w:pPr>
              <w:rPr>
                <w:rFonts w:ascii="宋体" w:hAnsi="宋体" w:cs="宋体"/>
                <w:color w:val="auto"/>
                <w:sz w:val="24"/>
              </w:rPr>
            </w:pPr>
            <w:r>
              <w:rPr>
                <w:rFonts w:hint="eastAsia" w:ascii="宋体" w:hAnsi="宋体" w:cs="宋体"/>
                <w:color w:val="auto"/>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hint="eastAsia" w:ascii="宋体" w:hAnsi="宋体" w:eastAsia="宋体" w:cs="宋体"/>
                <w:color w:val="auto"/>
                <w:kern w:val="0"/>
                <w:sz w:val="24"/>
                <w:lang w:eastAsia="zh-CN"/>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p>
            <w:pPr>
              <w:spacing w:line="360" w:lineRule="auto"/>
              <w:rPr>
                <w:rFonts w:ascii="宋体" w:hAnsi="宋体" w:cs="宋体"/>
                <w:color w:val="auto"/>
                <w:sz w:val="24"/>
              </w:rPr>
            </w:pPr>
            <w:r>
              <w:rPr>
                <w:rFonts w:hint="eastAsia" w:ascii="宋体" w:hAnsi="宋体" w:cs="宋体"/>
                <w:color w:val="auto"/>
                <w:kern w:val="0"/>
                <w:sz w:val="24"/>
              </w:rPr>
              <w:t>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b/>
                <w:color w:val="auto"/>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B组织。</w:t>
            </w:r>
          </w:p>
          <w:p>
            <w:pPr>
              <w:rPr>
                <w:rFonts w:ascii="宋体" w:hAnsi="宋体" w:cs="宋体"/>
                <w:color w:val="auto"/>
                <w:sz w:val="24"/>
              </w:rPr>
            </w:pPr>
            <w:r>
              <w:rPr>
                <w:rFonts w:hint="eastAsia" w:ascii="宋体" w:hAnsi="宋体" w:cs="宋体"/>
                <w:color w:val="auto"/>
                <w:sz w:val="24"/>
              </w:rPr>
              <w:t>1、现场演示：在评标时安排每个投标人现场演示，每个投标人演示时间不超过</w:t>
            </w:r>
            <w:r>
              <w:rPr>
                <w:rFonts w:ascii="宋体" w:hAnsi="宋体" w:cs="宋体"/>
                <w:color w:val="auto"/>
                <w:sz w:val="24"/>
              </w:rPr>
              <w:t>20</w:t>
            </w:r>
            <w:r>
              <w:rPr>
                <w:rFonts w:hint="eastAsia" w:ascii="宋体" w:hAnsi="宋体" w:cs="宋体"/>
                <w:color w:val="auto"/>
                <w:sz w:val="24"/>
              </w:rPr>
              <w:t>分钟，</w:t>
            </w:r>
            <w:r>
              <w:rPr>
                <w:rFonts w:hint="eastAsia" w:ascii="宋体" w:hAnsi="宋体" w:cs="宋体"/>
                <w:color w:val="auto"/>
                <w:kern w:val="0"/>
                <w:sz w:val="24"/>
              </w:rPr>
              <w:t>讲解次序以投标文件解密时间先后次序为准，</w:t>
            </w:r>
            <w:r>
              <w:rPr>
                <w:rFonts w:hint="eastAsia" w:ascii="宋体" w:hAnsi="宋体" w:cs="宋体"/>
                <w:color w:val="auto"/>
                <w:sz w:val="24"/>
              </w:rPr>
              <w:t>人员不超过2人，且必须包含法定代表人或其授权代表；现场演示人员进场时携带身份证原件、授权委托书（附件8），否则不得进场。</w:t>
            </w:r>
          </w:p>
          <w:p>
            <w:pPr>
              <w:rPr>
                <w:rFonts w:ascii="宋体" w:hAnsi="宋体" w:cs="宋体"/>
                <w:color w:val="auto"/>
                <w:sz w:val="24"/>
              </w:rPr>
            </w:pPr>
            <w:r>
              <w:rPr>
                <w:rFonts w:hint="eastAsia" w:ascii="宋体" w:hAnsi="宋体" w:cs="宋体"/>
                <w:color w:val="auto"/>
                <w:sz w:val="24"/>
              </w:rPr>
              <w:t>2、现场演示到场截止时间：2023年1</w:t>
            </w:r>
            <w:r>
              <w:rPr>
                <w:rFonts w:hint="eastAsia" w:ascii="宋体" w:hAnsi="宋体" w:cs="宋体"/>
                <w:color w:val="auto"/>
                <w:sz w:val="24"/>
                <w:lang w:val="en-US" w:eastAsia="zh-CN"/>
              </w:rPr>
              <w:t>2</w:t>
            </w:r>
            <w:r>
              <w:rPr>
                <w:rFonts w:hint="eastAsia" w:ascii="宋体" w:hAnsi="宋体" w:cs="宋体"/>
                <w:color w:val="auto"/>
                <w:sz w:val="24"/>
              </w:rPr>
              <w:t>月</w:t>
            </w:r>
            <w:r>
              <w:rPr>
                <w:rFonts w:hint="eastAsia" w:ascii="宋体" w:hAnsi="宋体" w:cs="宋体"/>
                <w:color w:val="auto"/>
                <w:sz w:val="24"/>
                <w:lang w:val="en-US" w:eastAsia="zh-CN"/>
              </w:rPr>
              <w:t>6</w:t>
            </w:r>
            <w:r>
              <w:rPr>
                <w:rFonts w:hint="eastAsia" w:ascii="宋体" w:hAnsi="宋体" w:cs="宋体"/>
                <w:color w:val="auto"/>
                <w:sz w:val="24"/>
              </w:rPr>
              <w:t>日</w:t>
            </w: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w:t>
            </w: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0止。</w:t>
            </w:r>
          </w:p>
          <w:p>
            <w:pPr>
              <w:pStyle w:val="80"/>
              <w:rPr>
                <w:color w:val="auto"/>
                <w:lang w:val="zh-CN"/>
              </w:rPr>
            </w:pPr>
            <w:r>
              <w:rPr>
                <w:rFonts w:hint="eastAsia" w:ascii="宋体" w:hAnsi="宋体" w:eastAsia="宋体" w:cs="宋体"/>
                <w:color w:val="auto"/>
              </w:rPr>
              <w:t>3</w:t>
            </w:r>
            <w:r>
              <w:rPr>
                <w:rFonts w:hint="eastAsia" w:ascii="宋体" w:hAnsi="宋体" w:eastAsia="宋体" w:cs="宋体"/>
                <w:color w:val="auto"/>
              </w:rPr>
              <w:t>、地址：杭州市萧山区金城路433号天汇园一幢A座5楼杭州博望建设工程招标投标代理有限公司开标室。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48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 w:val="24"/>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4"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48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48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48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val="zh-CN"/>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483"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本项目支持《杭州市萧山区政府采购支持中小企业信用融资暂行办法》。</w:t>
            </w:r>
          </w:p>
          <w:p>
            <w:pPr>
              <w:spacing w:line="360" w:lineRule="auto"/>
              <w:ind w:firstLine="480" w:firstLineChars="200"/>
              <w:jc w:val="left"/>
              <w:rPr>
                <w:rFonts w:ascii="宋体" w:hAnsi="宋体" w:cs="宋体"/>
                <w:color w:val="auto"/>
                <w:sz w:val="24"/>
              </w:rPr>
            </w:pPr>
            <w:r>
              <w:rPr>
                <w:rFonts w:hint="eastAsia" w:ascii="宋体" w:hAnsi="宋体" w:cs="宋体"/>
                <w:snapToGrid w:val="0"/>
                <w:color w:val="auto"/>
                <w:kern w:val="28"/>
                <w:sz w:val="24"/>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483"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szCs w:val="24"/>
              </w:rPr>
            </w:pPr>
            <w:r>
              <w:rPr>
                <w:rFonts w:hint="eastAsia" w:hAnsi="宋体" w:cs="宋体"/>
                <w:color w:val="auto"/>
                <w:kern w:val="28"/>
                <w:sz w:val="24"/>
                <w:szCs w:val="24"/>
              </w:rPr>
              <w:t>本项目备份文件是否收取：不收取</w:t>
            </w:r>
          </w:p>
          <w:p>
            <w:pPr>
              <w:pStyle w:val="33"/>
              <w:spacing w:line="360" w:lineRule="auto"/>
              <w:rPr>
                <w:rFonts w:hAnsi="宋体" w:cs="宋体"/>
                <w:color w:val="auto"/>
                <w:kern w:val="28"/>
                <w:sz w:val="24"/>
                <w:szCs w:val="24"/>
              </w:rPr>
            </w:pPr>
            <w:r>
              <w:rPr>
                <w:rFonts w:hint="eastAsia" w:hAnsi="宋体" w:cs="宋体"/>
                <w:color w:val="auto"/>
                <w:kern w:val="28"/>
                <w:sz w:val="24"/>
                <w:szCs w:val="24"/>
              </w:rPr>
              <w:t>备份投标文件送达地点：</w:t>
            </w:r>
            <w:r>
              <w:rPr>
                <w:rFonts w:hint="eastAsia" w:hAnsi="宋体" w:cs="宋体"/>
                <w:color w:val="auto"/>
                <w:sz w:val="24"/>
                <w:szCs w:val="24"/>
                <w:u w:val="single"/>
              </w:rPr>
              <w:t xml:space="preserve">    /    </w:t>
            </w:r>
            <w:r>
              <w:rPr>
                <w:rFonts w:hint="eastAsia" w:hAnsi="宋体" w:cs="宋体"/>
                <w:color w:val="auto"/>
                <w:kern w:val="28"/>
                <w:sz w:val="24"/>
                <w:szCs w:val="24"/>
              </w:rPr>
              <w:t>；备份投标文件签收人员联系电话：</w:t>
            </w:r>
            <w:r>
              <w:rPr>
                <w:rFonts w:hint="eastAsia" w:hAnsi="宋体" w:cs="宋体"/>
                <w:color w:val="auto"/>
                <w:sz w:val="24"/>
                <w:szCs w:val="24"/>
                <w:u w:val="single"/>
              </w:rPr>
              <w:t xml:space="preserve">      /   </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宋体" w:hAnsi="宋体" w:cs="宋体"/>
                <w:b/>
                <w:color w:val="auto"/>
                <w:sz w:val="24"/>
              </w:rPr>
            </w:pPr>
            <w:r>
              <w:rPr>
                <w:rFonts w:hint="eastAsia" w:ascii="宋体" w:hAnsi="宋体" w:cs="宋体"/>
                <w:b/>
                <w:bCs/>
                <w:color w:val="auto"/>
                <w:sz w:val="24"/>
              </w:rPr>
              <w:t>采购机构代理费用</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left"/>
              <w:rPr>
                <w:rFonts w:ascii="宋体" w:hAnsi="宋体" w:cs="宋体"/>
                <w:color w:val="auto"/>
                <w:kern w:val="28"/>
                <w:sz w:val="24"/>
              </w:rPr>
            </w:pPr>
            <w:r>
              <w:rPr>
                <w:rFonts w:hint="eastAsia" w:ascii="宋体" w:hAnsi="宋体" w:cs="宋体"/>
                <w:color w:val="auto"/>
                <w:kern w:val="28"/>
                <w:sz w:val="24"/>
              </w:rPr>
              <w:t>本项目采购代理费由中标人支付。</w:t>
            </w:r>
          </w:p>
          <w:p>
            <w:pPr>
              <w:spacing w:line="400" w:lineRule="exact"/>
              <w:jc w:val="left"/>
              <w:rPr>
                <w:rFonts w:ascii="宋体" w:hAnsi="宋体" w:cs="宋体"/>
                <w:color w:val="auto"/>
                <w:kern w:val="28"/>
                <w:sz w:val="24"/>
              </w:rPr>
            </w:pPr>
            <w:r>
              <w:rPr>
                <w:rFonts w:hint="eastAsia" w:ascii="宋体" w:hAnsi="宋体" w:cs="宋体"/>
                <w:color w:val="auto"/>
                <w:kern w:val="28"/>
                <w:sz w:val="24"/>
              </w:rPr>
              <w:t>（1）</w:t>
            </w:r>
            <w:r>
              <w:rPr>
                <w:rFonts w:hint="eastAsia" w:ascii="宋体" w:hAnsi="宋体" w:cs="宋体"/>
                <w:color w:val="auto"/>
                <w:kern w:val="28"/>
                <w:sz w:val="24"/>
              </w:rPr>
              <w:t>采购代理费用：本次招标委托代理费</w:t>
            </w:r>
            <w:r>
              <w:rPr>
                <w:rFonts w:hint="eastAsia" w:ascii="宋体" w:hAnsi="宋体" w:cs="宋体"/>
                <w:color w:val="auto"/>
                <w:kern w:val="28"/>
                <w:sz w:val="24"/>
                <w:lang w:val="en-US" w:eastAsia="zh-CN"/>
              </w:rPr>
              <w:t>壹万伍仟元整</w:t>
            </w:r>
            <w:r>
              <w:rPr>
                <w:rFonts w:hint="eastAsia" w:ascii="宋体" w:hAnsi="宋体" w:cs="宋体"/>
                <w:color w:val="auto"/>
                <w:kern w:val="28"/>
                <w:sz w:val="24"/>
              </w:rPr>
              <w:t>结算收取</w:t>
            </w:r>
            <w:r>
              <w:rPr>
                <w:rFonts w:hint="eastAsia" w:ascii="宋体" w:hAnsi="宋体" w:cs="宋体"/>
                <w:color w:val="auto"/>
                <w:kern w:val="28"/>
                <w:sz w:val="24"/>
              </w:rPr>
              <w:t>。</w:t>
            </w:r>
          </w:p>
          <w:p>
            <w:pPr>
              <w:spacing w:line="400" w:lineRule="exact"/>
              <w:jc w:val="left"/>
              <w:rPr>
                <w:rFonts w:ascii="宋体" w:hAnsi="宋体" w:cs="宋体"/>
                <w:color w:val="auto"/>
                <w:kern w:val="28"/>
                <w:sz w:val="24"/>
              </w:rPr>
            </w:pPr>
            <w:r>
              <w:rPr>
                <w:rFonts w:hint="eastAsia" w:ascii="宋体" w:hAnsi="宋体" w:cs="宋体"/>
                <w:color w:val="auto"/>
                <w:kern w:val="28"/>
                <w:sz w:val="24"/>
              </w:rPr>
              <w:t>（2）招标代理服务费以电汇方式支付。</w:t>
            </w:r>
          </w:p>
          <w:p>
            <w:pPr>
              <w:spacing w:line="400" w:lineRule="exact"/>
              <w:jc w:val="left"/>
              <w:rPr>
                <w:rFonts w:ascii="宋体" w:hAnsi="宋体" w:cs="宋体"/>
                <w:color w:val="auto"/>
                <w:kern w:val="28"/>
                <w:sz w:val="24"/>
              </w:rPr>
            </w:pPr>
            <w:r>
              <w:rPr>
                <w:rFonts w:hint="eastAsia" w:ascii="宋体" w:hAnsi="宋体" w:cs="宋体"/>
                <w:color w:val="auto"/>
                <w:kern w:val="28"/>
                <w:sz w:val="24"/>
              </w:rPr>
              <w:t>（3）服务费缴纳账号：</w:t>
            </w:r>
          </w:p>
          <w:p>
            <w:pPr>
              <w:spacing w:line="400" w:lineRule="exact"/>
              <w:jc w:val="left"/>
              <w:rPr>
                <w:rFonts w:ascii="宋体" w:hAnsi="宋体" w:cs="宋体"/>
                <w:color w:val="auto"/>
                <w:kern w:val="28"/>
                <w:sz w:val="24"/>
              </w:rPr>
            </w:pPr>
            <w:r>
              <w:rPr>
                <w:rFonts w:hint="eastAsia" w:ascii="宋体" w:hAnsi="宋体" w:cs="宋体"/>
                <w:color w:val="auto"/>
                <w:kern w:val="28"/>
                <w:sz w:val="24"/>
              </w:rPr>
              <w:t>开户银行：上海浦东发展银行萧山支行</w:t>
            </w:r>
          </w:p>
          <w:p>
            <w:pPr>
              <w:spacing w:line="400" w:lineRule="exact"/>
              <w:jc w:val="left"/>
              <w:rPr>
                <w:rFonts w:ascii="宋体" w:hAnsi="宋体" w:cs="宋体"/>
                <w:color w:val="auto"/>
                <w:kern w:val="28"/>
                <w:sz w:val="24"/>
              </w:rPr>
            </w:pPr>
            <w:r>
              <w:rPr>
                <w:rFonts w:hint="eastAsia" w:ascii="宋体" w:hAnsi="宋体" w:cs="宋体"/>
                <w:color w:val="auto"/>
                <w:kern w:val="28"/>
                <w:sz w:val="24"/>
              </w:rPr>
              <w:t>帐户名称：杭州博望建设工程招标投标代理有限公司</w:t>
            </w:r>
          </w:p>
          <w:p>
            <w:pPr>
              <w:spacing w:line="400" w:lineRule="exact"/>
              <w:jc w:val="left"/>
              <w:rPr>
                <w:rFonts w:ascii="宋体" w:hAnsi="宋体" w:cs="宋体"/>
                <w:color w:val="auto"/>
                <w:kern w:val="28"/>
                <w:sz w:val="24"/>
              </w:rPr>
            </w:pPr>
            <w:r>
              <w:rPr>
                <w:rFonts w:hint="eastAsia" w:ascii="宋体" w:hAnsi="宋体" w:cs="宋体"/>
                <w:color w:val="auto"/>
                <w:kern w:val="28"/>
                <w:sz w:val="24"/>
              </w:rPr>
              <w:t>银行帐号：95070154740001005</w:t>
            </w:r>
          </w:p>
          <w:p>
            <w:pPr>
              <w:spacing w:line="400" w:lineRule="exact"/>
              <w:jc w:val="left"/>
              <w:rPr>
                <w:rFonts w:ascii="宋体" w:hAnsi="宋体" w:cs="宋体"/>
                <w:color w:val="auto"/>
                <w:kern w:val="28"/>
                <w:sz w:val="24"/>
              </w:rPr>
            </w:pPr>
            <w:r>
              <w:rPr>
                <w:rFonts w:hint="eastAsia" w:ascii="宋体" w:hAnsi="宋体" w:cs="宋体"/>
                <w:color w:val="auto"/>
                <w:kern w:val="28"/>
                <w:sz w:val="24"/>
              </w:rPr>
              <w:t>（4）财务联系电话：0571-82373980。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rPr>
            </w:pPr>
            <w:r>
              <w:rPr>
                <w:rFonts w:hint="eastAsia" w:ascii="宋体" w:hAnsi="宋体" w:cs="宋体"/>
                <w:b/>
                <w:color w:val="auto"/>
                <w:sz w:val="24"/>
              </w:rPr>
              <w:t>资格审查和信用信息审查</w:t>
            </w:r>
          </w:p>
        </w:tc>
        <w:tc>
          <w:tcPr>
            <w:tcW w:w="648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rPr>
            </w:pPr>
            <w:r>
              <w:rPr>
                <w:rFonts w:hint="eastAsia" w:ascii="宋体" w:hAnsi="宋体" w:cs="宋体"/>
                <w:color w:val="auto"/>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宋体" w:hAnsi="宋体" w:cs="宋体"/>
                <w:color w:val="auto"/>
                <w:sz w:val="24"/>
              </w:rPr>
            </w:pPr>
            <w:r>
              <w:rPr>
                <w:rFonts w:hint="eastAsia" w:ascii="宋体" w:hAnsi="宋体" w:cs="宋体"/>
                <w:color w:val="auto"/>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
                <w:color w:val="auto"/>
                <w:sz w:val="24"/>
              </w:rPr>
            </w:pPr>
            <w:r>
              <w:rPr>
                <w:rFonts w:hint="eastAsia" w:ascii="宋体" w:hAnsi="宋体" w:cs="宋体"/>
                <w:b/>
                <w:color w:val="auto"/>
                <w:sz w:val="24"/>
              </w:rPr>
              <w:t>质疑接收人及答复</w:t>
            </w:r>
          </w:p>
        </w:tc>
        <w:tc>
          <w:tcPr>
            <w:tcW w:w="648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u w:val="single"/>
              </w:rPr>
            </w:pPr>
            <w:r>
              <w:rPr>
                <w:rFonts w:hint="eastAsia" w:ascii="宋体" w:hAnsi="宋体" w:cs="宋体"/>
                <w:color w:val="auto"/>
                <w:sz w:val="24"/>
              </w:rPr>
              <w:t>采购人、采购机构质疑接收人、联系方式：详见公告</w:t>
            </w:r>
          </w:p>
          <w:p>
            <w:pPr>
              <w:snapToGrid w:val="0"/>
              <w:spacing w:line="360" w:lineRule="auto"/>
              <w:rPr>
                <w:rFonts w:ascii="宋体" w:hAnsi="宋体" w:cs="宋体"/>
                <w:b/>
                <w:color w:val="auto"/>
                <w:sz w:val="24"/>
              </w:rPr>
            </w:pPr>
            <w:r>
              <w:rPr>
                <w:rFonts w:hint="eastAsia" w:ascii="宋体" w:hAnsi="宋体" w:cs="宋体"/>
                <w:b/>
                <w:color w:val="auto"/>
                <w:sz w:val="24"/>
              </w:rPr>
              <w:t>线上提交质疑方式：政采云线上质疑路径：项目采购-询问质疑投诉-质疑列表。请使用ca签章在每一页质疑文件中加盖电子公章，上传完整附件。</w:t>
            </w:r>
          </w:p>
          <w:p>
            <w:pPr>
              <w:snapToGrid w:val="0"/>
              <w:spacing w:line="360" w:lineRule="auto"/>
              <w:rPr>
                <w:rFonts w:ascii="宋体" w:hAnsi="宋体" w:cs="宋体"/>
                <w:color w:val="auto"/>
                <w:sz w:val="24"/>
              </w:rPr>
            </w:pPr>
            <w:r>
              <w:rPr>
                <w:rFonts w:hint="eastAsia" w:ascii="宋体" w:hAnsi="宋体" w:cs="宋体"/>
                <w:color w:val="auto"/>
                <w:sz w:val="24"/>
              </w:rPr>
              <w:t>本项目涉及资格条件、采购需求、评分办法及采购过程中有关现场考察或开标前答疑会等事项由采购人进行答复。</w:t>
            </w:r>
          </w:p>
          <w:p>
            <w:pPr>
              <w:rPr>
                <w:rFonts w:ascii="宋体" w:hAnsi="宋体" w:cs="宋体"/>
                <w:color w:val="auto"/>
                <w:sz w:val="24"/>
              </w:rPr>
            </w:pPr>
            <w:r>
              <w:rPr>
                <w:rFonts w:hint="eastAsia" w:ascii="宋体" w:hAnsi="宋体" w:cs="宋体"/>
                <w:color w:val="auto"/>
                <w:sz w:val="24"/>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宋体" w:hAnsi="宋体" w:cs="宋体"/>
                <w:color w:val="auto"/>
                <w:sz w:val="24"/>
              </w:rPr>
            </w:pPr>
            <w:r>
              <w:rPr>
                <w:rFonts w:hint="eastAsia" w:ascii="宋体" w:hAnsi="宋体" w:cs="宋体"/>
                <w:color w:val="auto"/>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
                <w:color w:val="auto"/>
                <w:sz w:val="24"/>
              </w:rPr>
            </w:pPr>
            <w:r>
              <w:rPr>
                <w:rFonts w:hint="eastAsia" w:ascii="宋体" w:hAnsi="宋体" w:cs="宋体"/>
                <w:b/>
                <w:color w:val="auto"/>
                <w:sz w:val="24"/>
              </w:rPr>
              <w:t>履约验收</w:t>
            </w:r>
          </w:p>
        </w:tc>
        <w:tc>
          <w:tcPr>
            <w:tcW w:w="648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rPr>
            </w:pPr>
            <w:r>
              <w:rPr>
                <w:rFonts w:hint="eastAsia" w:ascii="宋体" w:hAnsi="宋体" w:cs="宋体"/>
                <w:color w:val="auto"/>
                <w:sz w:val="24"/>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rPr>
                <w:rFonts w:ascii="宋体" w:hAnsi="宋体" w:cs="宋体"/>
                <w:color w:val="auto"/>
                <w:sz w:val="24"/>
              </w:rPr>
            </w:pPr>
            <w:r>
              <w:rPr>
                <w:rFonts w:hint="eastAsia" w:ascii="宋体" w:hAnsi="宋体" w:cs="宋体"/>
                <w:color w:val="auto"/>
                <w:sz w:val="24"/>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color w:val="auto"/>
                <w:sz w:val="24"/>
              </w:rPr>
            </w:pPr>
            <w:r>
              <w:rPr>
                <w:rFonts w:hint="eastAsia" w:ascii="宋体" w:hAnsi="宋体" w:cs="宋体"/>
                <w:b/>
                <w:color w:val="auto"/>
                <w:sz w:val="24"/>
              </w:rPr>
              <w:t>特别说明</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sz w:val="24"/>
                </w:rPr>
                <w:id w:val="-369766551"/>
                <w14:checkbox>
                  <w14:checked w14:val="0"/>
                  <w14:checkedState w14:val="00FE" w14:font="Wingdings"/>
                  <w14:uncheckedState w14:val="2610" w14:font="MS Gothic"/>
                </w14:checkbox>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color w:val="auto"/>
                <w:sz w:val="24"/>
                <w:lang w:eastAsia="zh-CN"/>
              </w:rPr>
            </w:pPr>
            <w:sdt>
              <w:sdtPr>
                <w:rPr>
                  <w:rFonts w:hint="eastAsia" w:ascii="宋体" w:hAnsi="宋体" w:cs="宋体"/>
                  <w:color w:val="auto"/>
                  <w:sz w:val="24"/>
                </w:rPr>
                <w:id w:val="1052570136"/>
                <w14:checkbox>
                  <w14:checked w14:val="1"/>
                  <w14:checkedState w14:val="00FE" w14:font="Wingdings"/>
                  <w14:uncheckedState w14:val="2610" w14:font="MS Gothic"/>
                </w14:checkbox>
              </w:sdtPr>
              <w:sdtEndPr>
                <w:rPr>
                  <w:rFonts w:hint="eastAsia" w:ascii="宋体" w:hAnsi="宋体" w:cs="宋体"/>
                  <w:color w:val="auto"/>
                  <w:sz w:val="24"/>
                </w:rPr>
              </w:sdtEndPr>
              <w:sdtContent>
                <w:r>
                  <w:rPr>
                    <w:rFonts w:hint="eastAsia" w:ascii="宋体" w:hAnsi="宋体" w:cs="宋体"/>
                    <w:color w:val="auto"/>
                    <w:sz w:val="24"/>
                  </w:rPr>
                  <w:sym w:font="Wingdings" w:char="F0FE"/>
                </w:r>
              </w:sdtContent>
            </w:sdt>
            <w:r>
              <w:rPr>
                <w:rFonts w:hint="eastAsia" w:ascii="宋体" w:hAnsi="宋体" w:cs="宋体"/>
                <w:color w:val="auto"/>
                <w:sz w:val="24"/>
              </w:rPr>
              <w:t>联合体投标的，联合体中有一方或者联合体成员根据分工按招标文件第四部分评标标准要求提供资信证明文件的，视为符合了相关要求。</w:t>
            </w:r>
          </w:p>
          <w:p>
            <w:pPr>
              <w:spacing w:line="360" w:lineRule="auto"/>
              <w:rPr>
                <w:rFonts w:ascii="宋体" w:hAnsi="宋体" w:cs="宋体"/>
                <w:color w:val="auto"/>
                <w:sz w:val="24"/>
              </w:rPr>
            </w:pPr>
            <w:r>
              <w:rPr>
                <w:rFonts w:hint="eastAsia" w:ascii="宋体" w:hAnsi="宋体" w:cs="宋体"/>
                <w:color w:val="auto"/>
                <w:kern w:val="0"/>
                <w:sz w:val="24"/>
              </w:rPr>
              <w:t>评审因素对应的要求视为采购需求的一部分。</w:t>
            </w:r>
          </w:p>
          <w:p>
            <w:pPr>
              <w:spacing w:line="360" w:lineRule="auto"/>
              <w:rPr>
                <w:rFonts w:ascii="宋体" w:hAnsi="宋体" w:cs="宋体"/>
                <w:b/>
                <w:bCs/>
                <w:color w:val="auto"/>
                <w:sz w:val="24"/>
              </w:rPr>
            </w:pPr>
            <w:r>
              <w:rPr>
                <w:rFonts w:hint="eastAsia" w:ascii="宋体" w:hAnsi="宋体" w:cs="宋体"/>
                <w:b/>
                <w:bCs/>
                <w:color w:val="auto"/>
                <w:sz w:val="24"/>
              </w:rPr>
              <w:t>严格执行预算限价，项目如涉及办公用房装修、通用办公设备家具的不得超限额标准。（萧财国资【2019】389号）</w:t>
            </w:r>
          </w:p>
          <w:p>
            <w:pPr>
              <w:spacing w:line="360" w:lineRule="auto"/>
              <w:rPr>
                <w:rFonts w:ascii="宋体" w:hAnsi="宋体" w:cs="宋体"/>
                <w:color w:val="auto"/>
                <w:sz w:val="24"/>
              </w:rPr>
            </w:pPr>
            <w:r>
              <w:rPr>
                <w:rFonts w:hint="eastAsia" w:ascii="宋体" w:hAnsi="宋体" w:cs="宋体"/>
                <w:b/>
                <w:bCs/>
                <w:color w:val="auto"/>
                <w:sz w:val="24"/>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bCs/>
                <w:color w:val="auto"/>
                <w:sz w:val="24"/>
              </w:rPr>
            </w:pPr>
            <w:r>
              <w:rPr>
                <w:rFonts w:hint="eastAsia" w:ascii="宋体" w:hAnsi="宋体" w:cs="宋体"/>
                <w:b/>
                <w:bCs/>
                <w:color w:val="auto"/>
                <w:kern w:val="0"/>
                <w:sz w:val="24"/>
              </w:rPr>
              <w:t>中标单位在中标后提供纸质投标文件一正二副（加盖公章）。</w:t>
            </w:r>
          </w:p>
        </w:tc>
      </w:tr>
      <w:bookmarkEnd w:id="10"/>
    </w:tbl>
    <w:p>
      <w:pPr>
        <w:pStyle w:val="81"/>
        <w:ind w:left="0"/>
        <w:rPr>
          <w:rFonts w:ascii="宋体" w:hAnsi="宋体" w:cs="宋体"/>
          <w:b/>
          <w:color w:val="auto"/>
          <w:sz w:val="32"/>
          <w:szCs w:val="20"/>
        </w:rPr>
      </w:pPr>
      <w:bookmarkStart w:id="11" w:name="第三部分"/>
      <w:bookmarkStart w:id="12" w:name="_Toc164416483"/>
    </w:p>
    <w:p>
      <w:pPr>
        <w:rPr>
          <w:color w:val="auto"/>
        </w:rPr>
      </w:pPr>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w:t>
      </w:r>
      <w:r>
        <w:rPr>
          <w:rFonts w:hint="eastAsia" w:ascii="宋体" w:hAnsi="宋体" w:cs="宋体"/>
          <w:color w:val="auto"/>
          <w:sz w:val="24"/>
          <w:highlight w:val="none"/>
        </w:rPr>
        <w:t>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w:t>
      </w:r>
      <w:r>
        <w:rPr>
          <w:rFonts w:hint="eastAsia" w:ascii="宋体" w:hAnsi="宋体" w:cs="宋体"/>
          <w:color w:val="auto"/>
          <w:sz w:val="24"/>
          <w:highlight w:val="none"/>
        </w:rPr>
        <w:t xml:space="preserve">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3.3.3对于未预留份额专门面向中小企业的政府采购服务项目，以及预留份额政府采购服务项目中的非预留部分标项，对小型和微型企业的投标报价给予10%-20%的扣除（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adjustRightInd/>
        <w:spacing w:line="360" w:lineRule="auto"/>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32"/>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11.1.3落实政府采购政策需满足的资格要求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11.1.4本项目的特定资格要求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11.2.5评标标准相应的商务技术资料；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11.2.6投标标的清单；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11.2.7商务技术偏离表；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2"/>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2"/>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2"/>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2"/>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2"/>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2"/>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有招标文件第四部分4.2规定的情形之一的，投标无效：</w:t>
      </w:r>
    </w:p>
    <w:p>
      <w:pPr>
        <w:pStyle w:val="132"/>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2"/>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2"/>
        <w:spacing w:before="0"/>
        <w:ind w:firstLine="480"/>
        <w:jc w:val="left"/>
        <w:rPr>
          <w:rFonts w:hint="eastAsia" w:ascii="宋体" w:hAnsi="宋体" w:eastAsia="宋体" w:cs="宋体"/>
          <w:color w:val="auto"/>
          <w:lang w:eastAsia="zh-CN"/>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480"/>
        <w:jc w:val="left"/>
        <w:rPr>
          <w:rFonts w:ascii="宋体" w:hAnsi="宋体" w:cs="宋体"/>
          <w:color w:val="auto"/>
        </w:rPr>
      </w:pPr>
      <w:r>
        <w:rPr>
          <w:rFonts w:hint="eastAsia" w:ascii="宋体" w:hAnsi="宋体" w:cs="宋体"/>
          <w:color w:val="auto"/>
        </w:rPr>
        <w:t xml:space="preserve">    17.4在投标截止时间起至投标有效期届满，供应商投标文件不可撤销。</w:t>
      </w:r>
    </w:p>
    <w:p>
      <w:pPr>
        <w:pStyle w:val="132"/>
        <w:spacing w:before="0"/>
        <w:ind w:firstLine="0" w:firstLineChars="0"/>
        <w:rPr>
          <w:rFonts w:ascii="宋体" w:hAnsi="宋体" w:cs="宋体"/>
          <w:b/>
          <w:color w:val="auto"/>
          <w:sz w:val="32"/>
        </w:rPr>
      </w:pPr>
    </w:p>
    <w:p>
      <w:pPr>
        <w:pStyle w:val="132"/>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19、资格审查</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19.1开标后，采购人将依据法律法规和招标文件的规定，对投标人的资格进行审查。</w:t>
      </w:r>
    </w:p>
    <w:p>
      <w:pPr>
        <w:pStyle w:val="132"/>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3对未通过资格审查的投标人，告知其未通过的原因。</w:t>
      </w:r>
    </w:p>
    <w:p>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32"/>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20.1信用信息查询渠道及截止时间：采购人将在资格审查时通过“信用中国”网站(www.creditchina.gov.cn)、中国政府采购网(www.ccgp.gov.cn)渠道查询投标人接受资格时的信用记录。</w:t>
      </w:r>
    </w:p>
    <w:p>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2"/>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3</w:t>
      </w:r>
      <w:r>
        <w:rPr>
          <w:rFonts w:ascii="宋体" w:hAnsi="宋体" w:cs="宋体"/>
          <w:color w:val="auto"/>
          <w:kern w:val="0"/>
          <w:sz w:val="24"/>
        </w:rPr>
        <w:t>0</w:t>
      </w:r>
      <w:r>
        <w:rPr>
          <w:rFonts w:hint="eastAsia" w:ascii="宋体" w:hAnsi="宋体" w:cs="宋体"/>
          <w:color w:val="auto"/>
          <w:kern w:val="0"/>
          <w:sz w:val="24"/>
        </w:rPr>
        <w:t>个工作日内，与中标供应商按照采购文件确定的事项签订政府采购合同。</w:t>
      </w:r>
    </w:p>
    <w:p>
      <w:pPr>
        <w:pStyle w:val="13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ascii="宋体" w:hAnsi="宋体" w:eastAsia="宋体" w:cs="宋体"/>
          <w:color w:val="auto"/>
        </w:rPr>
      </w:pPr>
      <w:r>
        <w:rPr>
          <w:rFonts w:hint="eastAsia" w:ascii="宋体" w:hAnsi="宋体" w:eastAsia="宋体" w:cs="宋体"/>
          <w:color w:val="auto"/>
          <w:sz w:val="24"/>
          <w:lang w:val="en-US"/>
        </w:rPr>
        <w:t>27.预付款</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w:t>
      </w:r>
      <w:r>
        <w:rPr>
          <w:rFonts w:hint="eastAsia" w:ascii="宋体" w:hAnsi="宋体" w:cs="宋体"/>
          <w:color w:val="auto"/>
          <w:sz w:val="24"/>
          <w:u w:val="single"/>
        </w:rPr>
        <w:t>在签订合同时，供应商明确表示无需预付款或者主动要求降低预付款比例的，采购单位可不适用前述规定。</w:t>
      </w:r>
      <w:r>
        <w:rPr>
          <w:rFonts w:hint="eastAsia" w:ascii="宋体" w:hAnsi="宋体" w:cs="宋体"/>
          <w:color w:val="auto"/>
          <w:sz w:val="24"/>
        </w:rPr>
        <w:t>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2"/>
        <w:snapToGrid w:val="0"/>
        <w:spacing w:before="0"/>
        <w:ind w:firstLine="0" w:firstLineChars="0"/>
        <w:rPr>
          <w:rFonts w:ascii="宋体" w:hAnsi="宋体" w:cs="宋体"/>
          <w:color w:val="auto"/>
        </w:rPr>
      </w:pPr>
      <w:r>
        <w:rPr>
          <w:rFonts w:hint="eastAsia" w:ascii="宋体" w:hAnsi="宋体" w:cs="宋体"/>
          <w:b/>
          <w:bCs/>
          <w:color w:val="auto"/>
        </w:rPr>
        <w:t>2</w:t>
      </w:r>
      <w:r>
        <w:rPr>
          <w:rFonts w:hint="eastAsia"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4"/>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57669"/>
      <w:bookmarkEnd w:id="16"/>
      <w:bookmarkStart w:id="17" w:name="_Hlt68072990"/>
      <w:bookmarkEnd w:id="17"/>
      <w:bookmarkStart w:id="18" w:name="_Hlt68072998"/>
      <w:bookmarkEnd w:id="18"/>
      <w:bookmarkStart w:id="19" w:name="_Hlt74707468"/>
      <w:bookmarkEnd w:id="19"/>
      <w:bookmarkStart w:id="20" w:name="_Hlt75236101"/>
      <w:bookmarkEnd w:id="20"/>
      <w:bookmarkStart w:id="21" w:name="_Hlt68073093"/>
      <w:bookmarkEnd w:id="21"/>
      <w:bookmarkStart w:id="22" w:name="_Hlt75236290"/>
      <w:bookmarkEnd w:id="22"/>
      <w:bookmarkStart w:id="23" w:name="_Hlt74714665"/>
      <w:bookmarkEnd w:id="23"/>
      <w:bookmarkStart w:id="24" w:name="_Hlt74730295"/>
      <w:bookmarkEnd w:id="24"/>
      <w:bookmarkStart w:id="25" w:name="_Hlt74729768"/>
      <w:bookmarkEnd w:id="25"/>
      <w:bookmarkStart w:id="26" w:name="_Hlt68403820"/>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snapToGrid w:val="0"/>
        <w:jc w:val="center"/>
        <w:rPr>
          <w:rStyle w:val="965"/>
          <w:rFonts w:ascii="宋体" w:hAnsi="宋体" w:cs="宋体"/>
          <w:color w:val="auto"/>
          <w:sz w:val="24"/>
        </w:rPr>
      </w:pPr>
      <w:r>
        <w:rPr>
          <w:rStyle w:val="965"/>
          <w:rFonts w:hint="eastAsia" w:ascii="宋体" w:hAnsi="宋体" w:cs="宋体"/>
          <w:color w:val="auto"/>
          <w:sz w:val="24"/>
        </w:rPr>
        <w:t>属于实质性要求条款的，请用符号“▲”标明，否则属于非实质性要求。</w:t>
      </w:r>
    </w:p>
    <w:p>
      <w:pPr>
        <w:snapToGrid w:val="0"/>
        <w:jc w:val="center"/>
        <w:rPr>
          <w:color w:val="auto"/>
        </w:rPr>
      </w:pPr>
      <w:r>
        <w:rPr>
          <w:rStyle w:val="965"/>
          <w:rFonts w:hint="eastAsia" w:ascii="宋体" w:hAnsi="宋体" w:cs="宋体"/>
          <w:color w:val="auto"/>
          <w:sz w:val="24"/>
        </w:rPr>
        <w:t>“★”系产品采购项目中单一产品或核心产品。</w:t>
      </w:r>
    </w:p>
    <w:p>
      <w:pPr>
        <w:rPr>
          <w:color w:val="auto"/>
        </w:rPr>
      </w:pPr>
    </w:p>
    <w:p>
      <w:pPr>
        <w:pStyle w:val="2"/>
        <w:ind w:left="0" w:firstLine="0"/>
        <w:jc w:val="center"/>
        <w:rPr>
          <w:rFonts w:ascii="宋体" w:hAnsi="宋体" w:eastAsia="宋体" w:cs="宋体"/>
          <w:color w:val="auto"/>
        </w:rPr>
      </w:pPr>
      <w:r>
        <w:rPr>
          <w:rFonts w:hint="eastAsia" w:ascii="宋体" w:hAnsi="宋体" w:eastAsia="宋体" w:cs="宋体"/>
          <w:color w:val="auto"/>
        </w:rPr>
        <w:t>一、招标一览表</w:t>
      </w:r>
    </w:p>
    <w:p>
      <w:pPr>
        <w:pStyle w:val="5"/>
        <w:spacing w:line="240" w:lineRule="auto"/>
        <w:rPr>
          <w:rFonts w:ascii="宋体" w:hAnsi="宋体" w:eastAsia="宋体" w:cs="宋体"/>
          <w:color w:val="auto"/>
        </w:rPr>
      </w:pPr>
      <w:r>
        <w:rPr>
          <w:rFonts w:hint="eastAsia" w:ascii="宋体" w:hAnsi="宋体" w:eastAsia="宋体" w:cs="宋体"/>
          <w:color w:val="auto"/>
        </w:rPr>
        <w:t>标项</w:t>
      </w:r>
      <w:r>
        <w:rPr>
          <w:rFonts w:hint="eastAsia" w:ascii="宋体" w:hAnsi="宋体" w:eastAsia="宋体" w:cs="宋体"/>
          <w:color w:val="auto"/>
          <w:lang w:val="en-US"/>
        </w:rPr>
        <w:t>1</w:t>
      </w:r>
      <w:r>
        <w:rPr>
          <w:rFonts w:hint="eastAsia" w:ascii="宋体" w:hAnsi="宋体" w:eastAsia="宋体" w:cs="宋体"/>
          <w:color w:val="auto"/>
        </w:rPr>
        <w:t>：</w:t>
      </w:r>
    </w:p>
    <w:tbl>
      <w:tblPr>
        <w:tblStyle w:val="63"/>
        <w:tblpPr w:leftFromText="180" w:rightFromText="180" w:vertAnchor="text" w:horzAnchor="margin" w:tblpXSpec="center" w:tblpY="63"/>
        <w:tblOverlap w:val="never"/>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3151"/>
        <w:gridCol w:w="654"/>
        <w:gridCol w:w="746"/>
        <w:gridCol w:w="1280"/>
        <w:gridCol w:w="177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547" w:type="dxa"/>
            <w:tcMar>
              <w:top w:w="15" w:type="dxa"/>
              <w:left w:w="15" w:type="dxa"/>
              <w:bottom w:w="0" w:type="dxa"/>
              <w:right w:w="15" w:type="dxa"/>
            </w:tcMar>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序号</w:t>
            </w:r>
          </w:p>
        </w:tc>
        <w:tc>
          <w:tcPr>
            <w:tcW w:w="3151" w:type="dxa"/>
            <w:tcMar>
              <w:top w:w="15" w:type="dxa"/>
              <w:left w:w="15" w:type="dxa"/>
              <w:bottom w:w="0" w:type="dxa"/>
              <w:right w:w="15" w:type="dxa"/>
            </w:tcMar>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名称</w:t>
            </w:r>
          </w:p>
        </w:tc>
        <w:tc>
          <w:tcPr>
            <w:tcW w:w="654" w:type="dxa"/>
            <w:tcMar>
              <w:top w:w="15" w:type="dxa"/>
              <w:left w:w="15" w:type="dxa"/>
              <w:bottom w:w="0" w:type="dxa"/>
              <w:right w:w="15" w:type="dxa"/>
            </w:tcMar>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数量</w:t>
            </w:r>
          </w:p>
        </w:tc>
        <w:tc>
          <w:tcPr>
            <w:tcW w:w="746" w:type="dxa"/>
            <w:tcMar>
              <w:top w:w="15" w:type="dxa"/>
              <w:left w:w="15" w:type="dxa"/>
              <w:bottom w:w="0" w:type="dxa"/>
              <w:right w:w="15" w:type="dxa"/>
            </w:tcMar>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单位</w:t>
            </w:r>
          </w:p>
        </w:tc>
        <w:tc>
          <w:tcPr>
            <w:tcW w:w="1280" w:type="dxa"/>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预算（元）</w:t>
            </w:r>
          </w:p>
        </w:tc>
        <w:tc>
          <w:tcPr>
            <w:tcW w:w="1774" w:type="dxa"/>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简要规格描述或基本情况介绍</w:t>
            </w:r>
          </w:p>
        </w:tc>
        <w:tc>
          <w:tcPr>
            <w:tcW w:w="1497" w:type="dxa"/>
            <w:vAlign w:val="center"/>
          </w:tcPr>
          <w:p>
            <w:pPr>
              <w:tabs>
                <w:tab w:val="left" w:pos="0"/>
              </w:tabs>
              <w:snapToGrid w:val="0"/>
              <w:jc w:val="center"/>
              <w:rPr>
                <w:rFonts w:ascii="宋体" w:hAnsi="宋体" w:cs="宋体"/>
                <w:color w:val="auto"/>
                <w:sz w:val="24"/>
              </w:rPr>
            </w:pPr>
            <w:r>
              <w:rPr>
                <w:rFonts w:hint="eastAsia" w:ascii="宋体" w:hAnsi="宋体" w:cs="宋体"/>
                <w:color w:val="auto"/>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547" w:type="dxa"/>
            <w:tcMar>
              <w:top w:w="15" w:type="dxa"/>
              <w:left w:w="15" w:type="dxa"/>
              <w:bottom w:w="0" w:type="dxa"/>
              <w:right w:w="15" w:type="dxa"/>
            </w:tcMar>
            <w:vAlign w:val="center"/>
          </w:tcPr>
          <w:p>
            <w:pPr>
              <w:tabs>
                <w:tab w:val="left" w:pos="0"/>
              </w:tabs>
              <w:jc w:val="center"/>
              <w:rPr>
                <w:rFonts w:ascii="宋体" w:hAnsi="宋体" w:cs="宋体"/>
                <w:color w:val="auto"/>
                <w:sz w:val="24"/>
              </w:rPr>
            </w:pPr>
            <w:r>
              <w:rPr>
                <w:rFonts w:hint="eastAsia" w:ascii="宋体" w:hAnsi="宋体" w:cs="宋体"/>
                <w:color w:val="auto"/>
                <w:sz w:val="24"/>
              </w:rPr>
              <w:t>1</w:t>
            </w:r>
          </w:p>
        </w:tc>
        <w:tc>
          <w:tcPr>
            <w:tcW w:w="3151" w:type="dxa"/>
            <w:tcMar>
              <w:top w:w="15" w:type="dxa"/>
              <w:left w:w="15" w:type="dxa"/>
              <w:bottom w:w="0" w:type="dxa"/>
              <w:right w:w="15" w:type="dxa"/>
            </w:tcMar>
            <w:vAlign w:val="center"/>
          </w:tcPr>
          <w:p>
            <w:pPr>
              <w:jc w:val="center"/>
              <w:textAlignment w:val="center"/>
              <w:rPr>
                <w:rFonts w:ascii="宋体" w:hAnsi="宋体" w:cs="宋体"/>
                <w:color w:val="auto"/>
                <w:sz w:val="24"/>
              </w:rPr>
            </w:pPr>
            <w:r>
              <w:rPr>
                <w:rFonts w:hint="eastAsia" w:ascii="宋体" w:hAnsi="宋体" w:cs="宋体"/>
                <w:color w:val="auto"/>
                <w:sz w:val="24"/>
              </w:rPr>
              <w:t>杭州市萧山区卫生健康局区域基层信息系统一体化升级政府采购项目</w:t>
            </w:r>
          </w:p>
        </w:tc>
        <w:tc>
          <w:tcPr>
            <w:tcW w:w="654" w:type="dxa"/>
            <w:tcMar>
              <w:top w:w="15" w:type="dxa"/>
              <w:left w:w="15" w:type="dxa"/>
              <w:bottom w:w="0" w:type="dxa"/>
              <w:right w:w="15" w:type="dxa"/>
            </w:tcMar>
            <w:vAlign w:val="center"/>
          </w:tcPr>
          <w:p>
            <w:pPr>
              <w:jc w:val="center"/>
              <w:textAlignment w:val="center"/>
              <w:rPr>
                <w:rFonts w:ascii="宋体" w:hAnsi="宋体" w:cs="宋体"/>
                <w:color w:val="auto"/>
                <w:sz w:val="24"/>
              </w:rPr>
            </w:pPr>
            <w:r>
              <w:rPr>
                <w:rFonts w:hint="eastAsia" w:ascii="宋体" w:hAnsi="宋体" w:cs="宋体"/>
                <w:color w:val="auto"/>
                <w:sz w:val="24"/>
              </w:rPr>
              <w:t>1</w:t>
            </w:r>
          </w:p>
        </w:tc>
        <w:tc>
          <w:tcPr>
            <w:tcW w:w="746" w:type="dxa"/>
            <w:tcMar>
              <w:top w:w="15" w:type="dxa"/>
              <w:left w:w="15" w:type="dxa"/>
              <w:bottom w:w="0" w:type="dxa"/>
              <w:right w:w="15" w:type="dxa"/>
            </w:tcMar>
            <w:vAlign w:val="center"/>
          </w:tcPr>
          <w:p>
            <w:pPr>
              <w:jc w:val="center"/>
              <w:textAlignment w:val="center"/>
              <w:rPr>
                <w:rFonts w:ascii="宋体" w:hAnsi="宋体" w:cs="宋体"/>
                <w:color w:val="auto"/>
                <w:sz w:val="24"/>
              </w:rPr>
            </w:pPr>
            <w:r>
              <w:rPr>
                <w:rFonts w:hint="eastAsia" w:ascii="宋体" w:hAnsi="宋体" w:cs="宋体"/>
                <w:color w:val="auto"/>
                <w:sz w:val="24"/>
              </w:rPr>
              <w:t>套</w:t>
            </w:r>
          </w:p>
        </w:tc>
        <w:tc>
          <w:tcPr>
            <w:tcW w:w="1280" w:type="dxa"/>
            <w:vAlign w:val="center"/>
          </w:tcPr>
          <w:p>
            <w:pPr>
              <w:jc w:val="center"/>
              <w:textAlignment w:val="center"/>
              <w:rPr>
                <w:rFonts w:ascii="宋体" w:hAnsi="宋体" w:cs="宋体"/>
                <w:color w:val="auto"/>
                <w:sz w:val="24"/>
              </w:rPr>
            </w:pPr>
            <w:r>
              <w:rPr>
                <w:rFonts w:hint="eastAsia" w:ascii="宋体" w:hAnsi="宋体" w:cs="宋体"/>
                <w:color w:val="auto"/>
                <w:sz w:val="24"/>
              </w:rPr>
              <w:t>5090000.00</w:t>
            </w:r>
          </w:p>
        </w:tc>
        <w:tc>
          <w:tcPr>
            <w:tcW w:w="1774" w:type="dxa"/>
            <w:vAlign w:val="center"/>
          </w:tcPr>
          <w:p>
            <w:pPr>
              <w:tabs>
                <w:tab w:val="left" w:pos="0"/>
              </w:tabs>
              <w:jc w:val="center"/>
              <w:rPr>
                <w:rFonts w:ascii="宋体" w:hAnsi="宋体" w:cs="宋体"/>
                <w:color w:val="auto"/>
                <w:sz w:val="24"/>
              </w:rPr>
            </w:pPr>
            <w:r>
              <w:rPr>
                <w:rFonts w:hint="eastAsia" w:ascii="宋体" w:hAnsi="宋体" w:cs="宋体"/>
                <w:color w:val="auto"/>
                <w:sz w:val="24"/>
                <w:lang w:eastAsia="zh-Hans"/>
              </w:rPr>
              <w:t>二、</w:t>
            </w:r>
            <w:r>
              <w:rPr>
                <w:rFonts w:hint="eastAsia" w:ascii="宋体" w:hAnsi="宋体" w:cs="宋体"/>
                <w:color w:val="auto"/>
                <w:sz w:val="24"/>
              </w:rPr>
              <w:t>采购需求-1、技术需求</w:t>
            </w:r>
          </w:p>
        </w:tc>
        <w:tc>
          <w:tcPr>
            <w:tcW w:w="1497" w:type="dxa"/>
            <w:vAlign w:val="center"/>
          </w:tcPr>
          <w:p>
            <w:pPr>
              <w:jc w:val="center"/>
              <w:textAlignment w:val="center"/>
              <w:rPr>
                <w:rFonts w:ascii="宋体" w:hAnsi="宋体" w:cs="宋体"/>
                <w:color w:val="auto"/>
                <w:sz w:val="24"/>
              </w:rPr>
            </w:pPr>
            <w:r>
              <w:rPr>
                <w:rFonts w:hint="eastAsia" w:ascii="宋体" w:hAnsi="宋体" w:cs="宋体"/>
                <w:color w:val="auto"/>
                <w:sz w:val="24"/>
              </w:rPr>
              <w:t>5090000.00</w:t>
            </w:r>
          </w:p>
        </w:tc>
      </w:tr>
    </w:tbl>
    <w:p>
      <w:pPr>
        <w:rPr>
          <w:color w:val="auto"/>
        </w:rPr>
      </w:pPr>
    </w:p>
    <w:p>
      <w:pPr>
        <w:pStyle w:val="2"/>
        <w:numPr>
          <w:ilvl w:val="0"/>
          <w:numId w:val="1"/>
        </w:numPr>
        <w:jc w:val="center"/>
        <w:rPr>
          <w:rFonts w:ascii="宋体" w:hAnsi="宋体" w:eastAsia="宋体" w:cs="宋体"/>
          <w:color w:val="auto"/>
        </w:rPr>
      </w:pPr>
      <w:r>
        <w:rPr>
          <w:rFonts w:hint="eastAsia" w:ascii="宋体" w:hAnsi="宋体" w:eastAsia="宋体" w:cs="宋体"/>
          <w:color w:val="auto"/>
        </w:rPr>
        <w:t>采购需求</w:t>
      </w:r>
    </w:p>
    <w:p>
      <w:pPr>
        <w:pStyle w:val="2"/>
        <w:ind w:left="0" w:firstLine="0"/>
        <w:jc w:val="both"/>
        <w:rPr>
          <w:rFonts w:ascii="宋体" w:hAnsi="宋体" w:eastAsia="宋体" w:cs="宋体"/>
          <w:color w:val="auto"/>
          <w:sz w:val="28"/>
          <w:szCs w:val="28"/>
          <w:lang w:val="en-US"/>
        </w:rPr>
      </w:pPr>
      <w:r>
        <w:rPr>
          <w:rFonts w:hint="eastAsia" w:ascii="宋体" w:hAnsi="宋体" w:eastAsia="宋体" w:cs="宋体"/>
          <w:color w:val="auto"/>
          <w:sz w:val="28"/>
          <w:szCs w:val="28"/>
          <w:lang w:val="en-US"/>
        </w:rPr>
        <w:t>1、技术需求</w:t>
      </w:r>
    </w:p>
    <w:p>
      <w:pPr>
        <w:pStyle w:val="389"/>
        <w:ind w:firstLine="0" w:firstLineChars="0"/>
        <w:rPr>
          <w:b/>
          <w:bCs/>
          <w:color w:val="auto"/>
        </w:rPr>
      </w:pPr>
      <w:r>
        <w:rPr>
          <w:rFonts w:hint="eastAsia"/>
          <w:b/>
          <w:bCs/>
          <w:color w:val="auto"/>
        </w:rPr>
        <w:t>一、系统建设要求</w:t>
      </w:r>
    </w:p>
    <w:p>
      <w:pPr>
        <w:pStyle w:val="389"/>
        <w:ind w:firstLine="0" w:firstLineChars="0"/>
        <w:rPr>
          <w:b/>
          <w:bCs/>
          <w:color w:val="auto"/>
        </w:rPr>
      </w:pPr>
      <w:r>
        <w:rPr>
          <w:rFonts w:hint="eastAsia"/>
          <w:b/>
          <w:bCs/>
          <w:color w:val="auto"/>
        </w:rPr>
        <w:t>1、建设目标</w:t>
      </w:r>
    </w:p>
    <w:p>
      <w:pPr>
        <w:pStyle w:val="389"/>
        <w:spacing w:line="500" w:lineRule="exact"/>
        <w:rPr>
          <w:color w:val="auto"/>
        </w:rPr>
      </w:pPr>
      <w:r>
        <w:rPr>
          <w:rFonts w:hint="eastAsia"/>
          <w:color w:val="auto"/>
        </w:rPr>
        <w:t>通过对萧山区医疗信息化进行一体化升级，实现区域医疗系统的数字化转型和提升，夯实区域医疗信息化底座，以提高医疗服务质量、促进医疗资源优化配置、提高管理效率和科学决策能力，同时兼顾信息安全与隐私保护，构建一个互联互通、高效可靠、安全可控的区域健康服务体系。</w:t>
      </w:r>
    </w:p>
    <w:p>
      <w:pPr>
        <w:pStyle w:val="389"/>
        <w:spacing w:line="500" w:lineRule="exact"/>
        <w:rPr>
          <w:color w:val="auto"/>
        </w:rPr>
      </w:pPr>
      <w:r>
        <w:rPr>
          <w:rFonts w:hint="eastAsia"/>
          <w:color w:val="auto"/>
        </w:rPr>
        <w:t>通过项目构建实现对萧山区基层医疗机构的基本医疗支撑与运营管控，实现系统内容统一规划、统一建设、统一管理，助力萧山区打造高质量的医疗服务体系、高品质的群众就医体验和高效率的医疗运行机制，为萧山建设“健康名城”、打造“重要窗口”示范样板提供重要保障。</w:t>
      </w:r>
    </w:p>
    <w:p>
      <w:pPr>
        <w:pStyle w:val="389"/>
        <w:ind w:firstLine="0" w:firstLineChars="0"/>
        <w:rPr>
          <w:b/>
          <w:bCs/>
          <w:color w:val="auto"/>
        </w:rPr>
      </w:pPr>
      <w:bookmarkStart w:id="28" w:name="_Toc10649"/>
      <w:bookmarkStart w:id="29" w:name="_Toc22977"/>
      <w:bookmarkStart w:id="30" w:name="_Toc21344"/>
      <w:bookmarkStart w:id="31" w:name="_Toc1696"/>
      <w:bookmarkStart w:id="32" w:name="_Toc16266"/>
      <w:bookmarkStart w:id="33" w:name="_Toc26742"/>
      <w:bookmarkStart w:id="34" w:name="_Toc13793"/>
      <w:bookmarkStart w:id="35" w:name="_Toc16938"/>
      <w:bookmarkStart w:id="36" w:name="_Toc142503409"/>
      <w:bookmarkStart w:id="37" w:name="_Toc19688"/>
      <w:r>
        <w:rPr>
          <w:rFonts w:hint="eastAsia"/>
          <w:b/>
          <w:bCs/>
          <w:color w:val="auto"/>
        </w:rPr>
        <w:t>2、建设规模</w:t>
      </w:r>
      <w:bookmarkEnd w:id="28"/>
      <w:bookmarkEnd w:id="29"/>
      <w:bookmarkEnd w:id="30"/>
      <w:bookmarkEnd w:id="31"/>
      <w:bookmarkEnd w:id="32"/>
      <w:bookmarkEnd w:id="33"/>
      <w:bookmarkEnd w:id="34"/>
      <w:bookmarkEnd w:id="35"/>
      <w:bookmarkEnd w:id="36"/>
      <w:bookmarkEnd w:id="37"/>
    </w:p>
    <w:p>
      <w:pPr>
        <w:pStyle w:val="389"/>
        <w:rPr>
          <w:color w:val="auto"/>
        </w:rPr>
      </w:pPr>
      <w:r>
        <w:rPr>
          <w:rFonts w:hint="eastAsia"/>
          <w:color w:val="auto"/>
        </w:rPr>
        <w:t>萧山区25家社区卫生服务中心，项目涉及的医疗机构名称如下：</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1.萧山区益农镇社区卫生服务中心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2.萧山区戴村镇社区卫生服务中心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3.萧山区南阳街道社区卫生服务中心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4.萧山区蜀山街道社区卫生服务中心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5.萧山区党湾镇社区卫生服务中心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6.萧山区楼塔镇社区卫生服务中心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7.萧山区河上镇社区卫生服务中心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8.萧山区闻堰街道社区卫生服务中心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9.萧山区靖江街道社区卫生服务中心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10.萧山区瓜沥镇社区卫生服务中心（试点社区）</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11.萧山区瓜沥镇社区卫生服务中心党山分中心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12.萧山区瓜沥镇社区卫生服务中心坎山分中心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13.萧山区北干街道社区卫生服务中心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14.萧山区宁围街道社区卫生服务中心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15.萧山区衙前镇社区卫生服务中心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16.萧山区城厢街道社区卫生服务中心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17.萧山区所前镇社区卫生服务中心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18.萧山区新街街道社区卫生服务中心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19.萧山区新塘街道社区卫生服务中心（试点社区）</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20.萧山区红山社区卫生服务中心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21.萧山区浦阳镇社区卫生服务中心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22.萧山区临浦镇社区卫生服务中心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23.萧山区进化镇社区卫生服务中心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24.萧山区义桥镇社区卫生服务中心</w:t>
      </w:r>
    </w:p>
    <w:p>
      <w:pPr>
        <w:spacing w:line="500" w:lineRule="exact"/>
        <w:ind w:firstLine="480" w:firstLineChars="200"/>
        <w:rPr>
          <w:rFonts w:ascii="宋体" w:hAnsi="宋体"/>
          <w:color w:val="auto"/>
          <w:kern w:val="0"/>
          <w:sz w:val="24"/>
          <w:szCs w:val="20"/>
        </w:rPr>
      </w:pPr>
      <w:r>
        <w:rPr>
          <w:rFonts w:hint="eastAsia" w:ascii="宋体" w:hAnsi="宋体"/>
          <w:color w:val="auto"/>
          <w:kern w:val="0"/>
          <w:sz w:val="24"/>
          <w:szCs w:val="20"/>
        </w:rPr>
        <w:t>25.萧山区盈丰街道社区卫生服务中心</w:t>
      </w:r>
    </w:p>
    <w:p>
      <w:pPr>
        <w:pStyle w:val="389"/>
        <w:spacing w:line="500" w:lineRule="exact"/>
        <w:ind w:firstLine="0" w:firstLineChars="0"/>
        <w:rPr>
          <w:b/>
          <w:bCs/>
          <w:color w:val="auto"/>
        </w:rPr>
      </w:pPr>
      <w:r>
        <w:rPr>
          <w:rFonts w:hint="eastAsia"/>
          <w:b/>
          <w:bCs/>
          <w:color w:val="auto"/>
        </w:rPr>
        <w:t>3、建设清单</w:t>
      </w:r>
    </w:p>
    <w:tbl>
      <w:tblPr>
        <w:tblStyle w:val="63"/>
        <w:tblW w:w="5000" w:type="pct"/>
        <w:tblInd w:w="0" w:type="dxa"/>
        <w:tblLayout w:type="autofit"/>
        <w:tblCellMar>
          <w:top w:w="0" w:type="dxa"/>
          <w:left w:w="108" w:type="dxa"/>
          <w:bottom w:w="0" w:type="dxa"/>
          <w:right w:w="108" w:type="dxa"/>
        </w:tblCellMar>
      </w:tblPr>
      <w:tblGrid>
        <w:gridCol w:w="1001"/>
        <w:gridCol w:w="2056"/>
        <w:gridCol w:w="1731"/>
        <w:gridCol w:w="3707"/>
      </w:tblGrid>
      <w:tr>
        <w:tblPrEx>
          <w:tblCellMar>
            <w:top w:w="0" w:type="dxa"/>
            <w:left w:w="108" w:type="dxa"/>
            <w:bottom w:w="0" w:type="dxa"/>
            <w:right w:w="108" w:type="dxa"/>
          </w:tblCellMar>
        </w:tblPrEx>
        <w:trPr>
          <w:tblHeader/>
        </w:trPr>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b/>
                <w:bCs/>
                <w:color w:val="auto"/>
                <w:kern w:val="0"/>
                <w:sz w:val="24"/>
              </w:rPr>
            </w:pPr>
            <w:r>
              <w:rPr>
                <w:rFonts w:hint="eastAsia" w:ascii="宋体" w:hAnsi="宋体" w:cs="宋体"/>
                <w:b/>
                <w:bCs/>
                <w:color w:val="auto"/>
                <w:kern w:val="0"/>
                <w:sz w:val="24"/>
              </w:rPr>
              <w:t>序号</w:t>
            </w:r>
          </w:p>
        </w:tc>
        <w:tc>
          <w:tcPr>
            <w:tcW w:w="12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b/>
                <w:bCs/>
                <w:color w:val="auto"/>
                <w:kern w:val="0"/>
                <w:sz w:val="24"/>
              </w:rPr>
            </w:pPr>
            <w:r>
              <w:rPr>
                <w:rFonts w:hint="eastAsia" w:ascii="宋体" w:hAnsi="宋体" w:cs="宋体"/>
                <w:b/>
                <w:bCs/>
                <w:color w:val="auto"/>
                <w:kern w:val="0"/>
                <w:sz w:val="24"/>
              </w:rPr>
              <w:t>建设大类</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b/>
                <w:bCs/>
                <w:color w:val="auto"/>
                <w:kern w:val="0"/>
                <w:sz w:val="24"/>
              </w:rPr>
            </w:pPr>
            <w:r>
              <w:rPr>
                <w:rFonts w:hint="eastAsia" w:ascii="宋体" w:hAnsi="宋体" w:cs="宋体"/>
                <w:b/>
                <w:bCs/>
                <w:color w:val="auto"/>
                <w:kern w:val="0"/>
                <w:sz w:val="24"/>
              </w:rPr>
              <w:t>建设系统</w:t>
            </w:r>
          </w:p>
        </w:tc>
        <w:tc>
          <w:tcPr>
            <w:tcW w:w="21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b/>
                <w:bCs/>
                <w:color w:val="auto"/>
                <w:kern w:val="0"/>
                <w:sz w:val="24"/>
              </w:rPr>
            </w:pPr>
            <w:r>
              <w:rPr>
                <w:rFonts w:hint="eastAsia" w:ascii="宋体" w:hAnsi="宋体" w:cs="宋体"/>
                <w:b/>
                <w:bCs/>
                <w:color w:val="auto"/>
                <w:kern w:val="0"/>
                <w:sz w:val="24"/>
              </w:rPr>
              <w:t>建设模块</w:t>
            </w:r>
          </w:p>
        </w:tc>
      </w:tr>
      <w:tr>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1</w:t>
            </w:r>
          </w:p>
        </w:tc>
        <w:tc>
          <w:tcPr>
            <w:tcW w:w="12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基本医疗信息系统</w:t>
            </w:r>
          </w:p>
        </w:tc>
        <w:tc>
          <w:tcPr>
            <w:tcW w:w="10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r>
              <w:rPr>
                <w:rFonts w:hint="eastAsia" w:ascii="宋体" w:hAnsi="宋体" w:cs="宋体"/>
                <w:color w:val="auto"/>
                <w:kern w:val="0"/>
                <w:sz w:val="24"/>
              </w:rPr>
              <w:t>门诊管理</w:t>
            </w:r>
          </w:p>
        </w:tc>
        <w:tc>
          <w:tcPr>
            <w:tcW w:w="21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挂号管理</w:t>
            </w:r>
          </w:p>
        </w:tc>
      </w:tr>
      <w:tr>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2</w:t>
            </w:r>
          </w:p>
        </w:tc>
        <w:tc>
          <w:tcPr>
            <w:tcW w:w="12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划价收费</w:t>
            </w:r>
          </w:p>
        </w:tc>
      </w:tr>
      <w:tr>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3</w:t>
            </w:r>
          </w:p>
        </w:tc>
        <w:tc>
          <w:tcPr>
            <w:tcW w:w="12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门诊诊疗</w:t>
            </w:r>
          </w:p>
        </w:tc>
      </w:tr>
      <w:tr>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4</w:t>
            </w:r>
          </w:p>
        </w:tc>
        <w:tc>
          <w:tcPr>
            <w:tcW w:w="12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门诊护士</w:t>
            </w:r>
          </w:p>
        </w:tc>
      </w:tr>
      <w:tr>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5</w:t>
            </w:r>
          </w:p>
        </w:tc>
        <w:tc>
          <w:tcPr>
            <w:tcW w:w="12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疾病监管协同系统</w:t>
            </w:r>
          </w:p>
        </w:tc>
      </w:tr>
      <w:tr>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6</w:t>
            </w:r>
          </w:p>
        </w:tc>
        <w:tc>
          <w:tcPr>
            <w:tcW w:w="1210" w:type="pct"/>
            <w:vMerge w:val="continue"/>
            <w:tcBorders>
              <w:top w:val="single" w:color="auto" w:sz="4" w:space="0"/>
              <w:left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双向转诊</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7</w:t>
            </w:r>
          </w:p>
        </w:tc>
        <w:tc>
          <w:tcPr>
            <w:tcW w:w="1210" w:type="pct"/>
            <w:vMerge w:val="continue"/>
            <w:tcBorders>
              <w:left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r>
              <w:rPr>
                <w:rFonts w:hint="eastAsia" w:ascii="宋体" w:hAnsi="宋体" w:cs="宋体"/>
                <w:color w:val="auto"/>
                <w:kern w:val="0"/>
                <w:sz w:val="24"/>
              </w:rPr>
              <w:t>住院管理（家庭病房）</w:t>
            </w: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住院管理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8</w:t>
            </w:r>
          </w:p>
        </w:tc>
        <w:tc>
          <w:tcPr>
            <w:tcW w:w="1210" w:type="pct"/>
            <w:vMerge w:val="continue"/>
            <w:tcBorders>
              <w:left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病区管理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9</w:t>
            </w:r>
          </w:p>
        </w:tc>
        <w:tc>
          <w:tcPr>
            <w:tcW w:w="1210" w:type="pct"/>
            <w:vMerge w:val="continue"/>
            <w:tcBorders>
              <w:left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电子病历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10</w:t>
            </w:r>
          </w:p>
        </w:tc>
        <w:tc>
          <w:tcPr>
            <w:tcW w:w="1210" w:type="pct"/>
            <w:vMerge w:val="continue"/>
            <w:tcBorders>
              <w:left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住院药房</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11</w:t>
            </w:r>
          </w:p>
        </w:tc>
        <w:tc>
          <w:tcPr>
            <w:tcW w:w="1210" w:type="pct"/>
            <w:vMerge w:val="continue"/>
            <w:tcBorders>
              <w:left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r>
              <w:rPr>
                <w:rFonts w:hint="eastAsia" w:ascii="宋体" w:hAnsi="宋体" w:cs="宋体"/>
                <w:color w:val="auto"/>
                <w:kern w:val="0"/>
                <w:sz w:val="24"/>
              </w:rPr>
              <w:t>统一支付平台（微信、支付宝结算）</w:t>
            </w: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自助查账</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12</w:t>
            </w:r>
          </w:p>
        </w:tc>
        <w:tc>
          <w:tcPr>
            <w:tcW w:w="1210" w:type="pct"/>
            <w:vMerge w:val="continue"/>
            <w:tcBorders>
              <w:left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交易管理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13</w:t>
            </w:r>
          </w:p>
        </w:tc>
        <w:tc>
          <w:tcPr>
            <w:tcW w:w="1210" w:type="pct"/>
            <w:vMerge w:val="continue"/>
            <w:tcBorders>
              <w:left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统一对账</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14</w:t>
            </w:r>
          </w:p>
        </w:tc>
        <w:tc>
          <w:tcPr>
            <w:tcW w:w="1210" w:type="pct"/>
            <w:vMerge w:val="continue"/>
            <w:tcBorders>
              <w:left w:val="single" w:color="auto" w:sz="4" w:space="0"/>
              <w:right w:val="single" w:color="auto" w:sz="4" w:space="0"/>
            </w:tcBorders>
            <w:shd w:val="clear" w:color="auto" w:fill="auto"/>
            <w:vAlign w:val="center"/>
          </w:tcPr>
          <w:p>
            <w:pPr>
              <w:spacing w:line="500" w:lineRule="exact"/>
              <w:ind w:firstLine="480"/>
              <w:jc w:val="center"/>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退款及授权</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15</w:t>
            </w:r>
          </w:p>
        </w:tc>
        <w:tc>
          <w:tcPr>
            <w:tcW w:w="1210" w:type="pct"/>
            <w:vMerge w:val="continue"/>
            <w:tcBorders>
              <w:left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p>
        </w:tc>
        <w:tc>
          <w:tcPr>
            <w:tcW w:w="101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运营管理</w:t>
            </w: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药品管理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16</w:t>
            </w:r>
          </w:p>
        </w:tc>
        <w:tc>
          <w:tcPr>
            <w:tcW w:w="1210" w:type="pct"/>
            <w:vMerge w:val="continue"/>
            <w:tcBorders>
              <w:left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药库管理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17</w:t>
            </w:r>
          </w:p>
        </w:tc>
        <w:tc>
          <w:tcPr>
            <w:tcW w:w="1210" w:type="pct"/>
            <w:vMerge w:val="continue"/>
            <w:tcBorders>
              <w:left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药房管理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18</w:t>
            </w:r>
          </w:p>
        </w:tc>
        <w:tc>
          <w:tcPr>
            <w:tcW w:w="1210" w:type="pct"/>
            <w:vMerge w:val="continue"/>
            <w:tcBorders>
              <w:left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疫苗管理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19</w:t>
            </w:r>
          </w:p>
        </w:tc>
        <w:tc>
          <w:tcPr>
            <w:tcW w:w="1210" w:type="pct"/>
            <w:vMerge w:val="continue"/>
            <w:tcBorders>
              <w:left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101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医技管理</w:t>
            </w: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医技计费管理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20</w:t>
            </w:r>
          </w:p>
        </w:tc>
        <w:tc>
          <w:tcPr>
            <w:tcW w:w="1210" w:type="pct"/>
            <w:vMerge w:val="continue"/>
            <w:tcBorders>
              <w:left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基层LIS信息系统</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21</w:t>
            </w:r>
          </w:p>
        </w:tc>
        <w:tc>
          <w:tcPr>
            <w:tcW w:w="1210" w:type="pct"/>
            <w:vMerge w:val="continue"/>
            <w:tcBorders>
              <w:left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1019"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体检系统</w:t>
            </w: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体检管理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22</w:t>
            </w:r>
          </w:p>
        </w:tc>
        <w:tc>
          <w:tcPr>
            <w:tcW w:w="1210" w:type="pct"/>
            <w:vMerge w:val="continue"/>
            <w:tcBorders>
              <w:left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体检统计分析</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23</w:t>
            </w:r>
          </w:p>
        </w:tc>
        <w:tc>
          <w:tcPr>
            <w:tcW w:w="1210" w:type="pct"/>
            <w:vMerge w:val="continue"/>
            <w:tcBorders>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2182" w:type="pc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体检基本业务</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24</w:t>
            </w:r>
          </w:p>
        </w:tc>
        <w:tc>
          <w:tcPr>
            <w:tcW w:w="121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lang w:eastAsia="zh-CN"/>
              </w:rPr>
              <w:t>医防</w:t>
            </w:r>
            <w:r>
              <w:rPr>
                <w:rFonts w:hint="eastAsia" w:ascii="宋体" w:hAnsi="宋体" w:cs="宋体"/>
                <w:color w:val="auto"/>
                <w:kern w:val="0"/>
                <w:sz w:val="24"/>
              </w:rPr>
              <w:t>融合系统</w:t>
            </w:r>
          </w:p>
        </w:tc>
        <w:tc>
          <w:tcPr>
            <w:tcW w:w="32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居民个人健康档案</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25</w:t>
            </w:r>
          </w:p>
        </w:tc>
        <w:tc>
          <w:tcPr>
            <w:tcW w:w="1210"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32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健康体检管理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26</w:t>
            </w:r>
          </w:p>
        </w:tc>
        <w:tc>
          <w:tcPr>
            <w:tcW w:w="1210"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32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高血压、糖尿病</w:t>
            </w:r>
            <w:r>
              <w:rPr>
                <w:rFonts w:hint="eastAsia" w:ascii="宋体" w:hAnsi="宋体" w:cs="宋体"/>
                <w:color w:val="auto"/>
                <w:kern w:val="0"/>
                <w:sz w:val="24"/>
                <w:lang w:eastAsia="zh-CN"/>
              </w:rPr>
              <w:t>医防</w:t>
            </w:r>
            <w:r>
              <w:rPr>
                <w:rFonts w:hint="eastAsia" w:ascii="宋体" w:hAnsi="宋体" w:cs="宋体"/>
                <w:color w:val="auto"/>
                <w:kern w:val="0"/>
                <w:sz w:val="24"/>
              </w:rPr>
              <w:t>融合</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27</w:t>
            </w:r>
          </w:p>
        </w:tc>
        <w:tc>
          <w:tcPr>
            <w:tcW w:w="1210"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32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孕产妇健康档案管理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28</w:t>
            </w:r>
          </w:p>
        </w:tc>
        <w:tc>
          <w:tcPr>
            <w:tcW w:w="1210"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32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儿童健康档案管理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29</w:t>
            </w:r>
          </w:p>
        </w:tc>
        <w:tc>
          <w:tcPr>
            <w:tcW w:w="1210"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32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老年人中医体质辨识</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30</w:t>
            </w:r>
          </w:p>
        </w:tc>
        <w:tc>
          <w:tcPr>
            <w:tcW w:w="121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医疗服务对接及政策性改造</w:t>
            </w:r>
          </w:p>
        </w:tc>
        <w:tc>
          <w:tcPr>
            <w:tcW w:w="32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政策性相关接口改造</w:t>
            </w:r>
          </w:p>
        </w:tc>
      </w:tr>
      <w:tr>
        <w:tblPrEx>
          <w:tblCellMar>
            <w:top w:w="0" w:type="dxa"/>
            <w:left w:w="108" w:type="dxa"/>
            <w:bottom w:w="0" w:type="dxa"/>
            <w:right w:w="108" w:type="dxa"/>
          </w:tblCellMar>
        </w:tblPrEx>
        <w:tc>
          <w:tcPr>
            <w:tcW w:w="589"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31</w:t>
            </w:r>
          </w:p>
        </w:tc>
        <w:tc>
          <w:tcPr>
            <w:tcW w:w="1210"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宋体" w:hAnsi="宋体" w:cs="宋体"/>
                <w:color w:val="auto"/>
                <w:kern w:val="0"/>
                <w:sz w:val="24"/>
              </w:rPr>
            </w:pPr>
          </w:p>
        </w:tc>
        <w:tc>
          <w:tcPr>
            <w:tcW w:w="320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宋体" w:hAnsi="宋体" w:cs="宋体"/>
                <w:color w:val="auto"/>
                <w:kern w:val="0"/>
                <w:sz w:val="24"/>
              </w:rPr>
            </w:pPr>
            <w:r>
              <w:rPr>
                <w:rFonts w:hint="eastAsia" w:ascii="宋体" w:hAnsi="宋体" w:cs="宋体"/>
                <w:color w:val="auto"/>
                <w:kern w:val="0"/>
                <w:sz w:val="24"/>
              </w:rPr>
              <w:t>医疗服务对接接口改造</w:t>
            </w:r>
          </w:p>
        </w:tc>
      </w:tr>
    </w:tbl>
    <w:p>
      <w:pPr>
        <w:pStyle w:val="2"/>
        <w:ind w:left="425" w:hanging="425"/>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建设内容</w:t>
      </w:r>
    </w:p>
    <w:p>
      <w:pPr>
        <w:pStyle w:val="4"/>
        <w:spacing w:before="0" w:after="0" w:line="360" w:lineRule="auto"/>
        <w:ind w:left="567" w:hanging="567"/>
        <w:rPr>
          <w:rFonts w:ascii="宋体" w:hAnsi="宋体"/>
          <w:color w:val="auto"/>
          <w:sz w:val="24"/>
          <w:szCs w:val="24"/>
        </w:rPr>
      </w:pPr>
      <w:bookmarkStart w:id="38" w:name="_Toc142503461"/>
      <w:bookmarkStart w:id="39" w:name="_Toc15339"/>
      <w:r>
        <w:rPr>
          <w:rFonts w:hint="eastAsia" w:ascii="宋体" w:hAnsi="宋体"/>
          <w:color w:val="auto"/>
          <w:sz w:val="24"/>
          <w:szCs w:val="24"/>
        </w:rPr>
        <w:t>4.1、基本医疗信息系统</w:t>
      </w:r>
      <w:bookmarkEnd w:id="38"/>
    </w:p>
    <w:p>
      <w:pPr>
        <w:pStyle w:val="5"/>
        <w:spacing w:before="0" w:after="0" w:line="360" w:lineRule="auto"/>
        <w:ind w:left="709" w:hanging="709"/>
        <w:rPr>
          <w:rFonts w:ascii="宋体" w:hAnsi="宋体" w:eastAsia="宋体"/>
          <w:color w:val="auto"/>
          <w:sz w:val="24"/>
          <w:szCs w:val="24"/>
        </w:rPr>
      </w:pPr>
      <w:r>
        <w:rPr>
          <w:rFonts w:hint="eastAsia" w:ascii="宋体" w:hAnsi="宋体" w:eastAsia="宋体"/>
          <w:color w:val="auto"/>
          <w:sz w:val="24"/>
          <w:szCs w:val="24"/>
        </w:rPr>
        <w:t>4.1.1、门诊</w:t>
      </w:r>
      <w:bookmarkEnd w:id="39"/>
      <w:r>
        <w:rPr>
          <w:rFonts w:hint="eastAsia" w:ascii="宋体" w:hAnsi="宋体" w:eastAsia="宋体"/>
          <w:color w:val="auto"/>
          <w:sz w:val="24"/>
          <w:szCs w:val="24"/>
        </w:rPr>
        <w:t>管理</w:t>
      </w:r>
    </w:p>
    <w:p>
      <w:pPr>
        <w:pStyle w:val="6"/>
        <w:spacing w:before="0" w:after="0" w:line="360" w:lineRule="auto"/>
        <w:ind w:left="851" w:hanging="851"/>
        <w:rPr>
          <w:rFonts w:ascii="宋体" w:hAnsi="宋体"/>
          <w:color w:val="auto"/>
          <w:sz w:val="24"/>
          <w:szCs w:val="24"/>
        </w:rPr>
      </w:pPr>
      <w:bookmarkStart w:id="40" w:name="_Toc356145538"/>
      <w:bookmarkStart w:id="41" w:name="_Toc22320"/>
      <w:r>
        <w:rPr>
          <w:rFonts w:hint="eastAsia" w:ascii="宋体" w:hAnsi="宋体"/>
          <w:color w:val="auto"/>
          <w:sz w:val="24"/>
          <w:szCs w:val="24"/>
        </w:rPr>
        <w:t>（1）挂号管理</w:t>
      </w:r>
      <w:bookmarkEnd w:id="40"/>
      <w:bookmarkEnd w:id="41"/>
    </w:p>
    <w:p>
      <w:pPr>
        <w:pStyle w:val="7"/>
        <w:spacing w:before="0" w:after="0" w:line="360" w:lineRule="auto"/>
        <w:ind w:left="992" w:hanging="992"/>
        <w:rPr>
          <w:rFonts w:ascii="宋体" w:hAnsi="宋体" w:eastAsia="宋体"/>
          <w:color w:val="auto"/>
        </w:rPr>
      </w:pPr>
      <w:bookmarkStart w:id="42" w:name="_Toc356145539"/>
      <w:r>
        <w:rPr>
          <w:rFonts w:ascii="宋体" w:hAnsi="宋体"/>
          <w:color w:val="auto"/>
        </w:rPr>
        <w:t>A</w:t>
      </w:r>
      <w:r>
        <w:rPr>
          <w:rFonts w:hint="eastAsia" w:ascii="宋体" w:hAnsi="宋体"/>
          <w:color w:val="auto"/>
        </w:rPr>
        <w:t>基础</w:t>
      </w:r>
      <w:r>
        <w:rPr>
          <w:rFonts w:hint="eastAsia" w:ascii="宋体" w:hAnsi="宋体" w:eastAsia="宋体"/>
          <w:color w:val="auto"/>
        </w:rPr>
        <w:t>管理</w:t>
      </w:r>
      <w:bookmarkEnd w:id="42"/>
    </w:p>
    <w:p>
      <w:pPr>
        <w:pStyle w:val="389"/>
        <w:rPr>
          <w:color w:val="auto"/>
          <w:szCs w:val="24"/>
        </w:rPr>
      </w:pPr>
      <w:r>
        <w:rPr>
          <w:rFonts w:hint="eastAsia"/>
          <w:color w:val="auto"/>
          <w:szCs w:val="24"/>
          <w:lang w:bidi="ar"/>
        </w:rPr>
        <w:t>挂号录入病人一卡通号，调出“姓名、性别、年龄、费用性质（自、公、参保）、职业、单位、地址”等基本信息，基本信息可修改（首次就诊病人需建档，录入姓名、一卡通号等基本信息，预约挂号需调入预约信息）自动生成门诊流水号，确定就诊科室或医生，打印就诊单（挂号单），医生可不指定；</w:t>
      </w:r>
    </w:p>
    <w:p>
      <w:pPr>
        <w:pStyle w:val="389"/>
        <w:rPr>
          <w:color w:val="auto"/>
          <w:szCs w:val="24"/>
          <w:lang w:bidi="ar"/>
        </w:rPr>
      </w:pPr>
      <w:r>
        <w:rPr>
          <w:rFonts w:hint="eastAsia"/>
          <w:color w:val="auto"/>
          <w:szCs w:val="24"/>
          <w:lang w:bidi="ar"/>
        </w:rPr>
        <w:t>可对门诊医师作就诊挂号数限制或停诊；</w:t>
      </w:r>
    </w:p>
    <w:p>
      <w:pPr>
        <w:pStyle w:val="389"/>
        <w:rPr>
          <w:color w:val="auto"/>
          <w:szCs w:val="24"/>
        </w:rPr>
      </w:pPr>
      <w:r>
        <w:rPr>
          <w:rFonts w:hint="eastAsia"/>
          <w:color w:val="auto"/>
          <w:szCs w:val="24"/>
          <w:lang w:bidi="ar"/>
        </w:rPr>
        <w:t>打印就诊单（挂号单），挂号单一式两联，一联为病人联，另一联为医生联；</w:t>
      </w:r>
    </w:p>
    <w:p>
      <w:pPr>
        <w:pStyle w:val="389"/>
        <w:rPr>
          <w:color w:val="auto"/>
          <w:szCs w:val="24"/>
        </w:rPr>
      </w:pPr>
      <w:r>
        <w:rPr>
          <w:rFonts w:hint="eastAsia"/>
          <w:color w:val="auto"/>
          <w:szCs w:val="24"/>
          <w:lang w:bidi="ar"/>
        </w:rPr>
        <w:t>挂号有效期为24小时，可设置；</w:t>
      </w:r>
    </w:p>
    <w:p>
      <w:pPr>
        <w:pStyle w:val="389"/>
        <w:rPr>
          <w:color w:val="auto"/>
          <w:szCs w:val="24"/>
          <w:lang w:bidi="ar"/>
        </w:rPr>
      </w:pPr>
      <w:r>
        <w:rPr>
          <w:rFonts w:hint="eastAsia"/>
          <w:color w:val="auto"/>
          <w:szCs w:val="24"/>
          <w:lang w:bidi="ar"/>
        </w:rPr>
        <w:t>复诊挂号录入病人门诊病历号、确定复诊的就诊科室与医师、可从个人健康档案中提取病人基本信息；</w:t>
      </w:r>
    </w:p>
    <w:p>
      <w:pPr>
        <w:pStyle w:val="389"/>
        <w:rPr>
          <w:color w:val="auto"/>
          <w:szCs w:val="24"/>
          <w:lang w:bidi="ar"/>
        </w:rPr>
      </w:pPr>
      <w:r>
        <w:rPr>
          <w:rFonts w:hint="eastAsia"/>
          <w:color w:val="auto"/>
          <w:szCs w:val="24"/>
          <w:lang w:bidi="ar"/>
        </w:rPr>
        <w:t>支持预约挂号调入功能，预约挂号到就诊当日挂号截止时间后自动作废；</w:t>
      </w:r>
    </w:p>
    <w:p>
      <w:pPr>
        <w:pStyle w:val="389"/>
        <w:rPr>
          <w:color w:val="auto"/>
          <w:szCs w:val="24"/>
          <w:lang w:bidi="ar"/>
        </w:rPr>
      </w:pPr>
      <w:r>
        <w:rPr>
          <w:rFonts w:hint="eastAsia"/>
          <w:color w:val="auto"/>
          <w:szCs w:val="24"/>
          <w:lang w:bidi="ar"/>
        </w:rPr>
        <w:t>支持退号处理，对未就诊的挂号记录支持进行退号操作；</w:t>
      </w:r>
    </w:p>
    <w:p>
      <w:pPr>
        <w:pStyle w:val="389"/>
        <w:rPr>
          <w:color w:val="auto"/>
          <w:szCs w:val="24"/>
          <w:lang w:bidi="ar"/>
        </w:rPr>
      </w:pPr>
      <w:r>
        <w:rPr>
          <w:rFonts w:hint="eastAsia"/>
          <w:color w:val="auto"/>
          <w:szCs w:val="24"/>
          <w:lang w:bidi="ar"/>
        </w:rPr>
        <w:t>支持根据部分信息查找病人功能。</w:t>
      </w:r>
    </w:p>
    <w:p>
      <w:pPr>
        <w:pStyle w:val="389"/>
        <w:rPr>
          <w:color w:val="auto"/>
          <w:szCs w:val="24"/>
          <w:lang w:bidi="ar"/>
        </w:rPr>
      </w:pPr>
      <w:r>
        <w:rPr>
          <w:rFonts w:hint="eastAsia"/>
          <w:color w:val="auto"/>
          <w:szCs w:val="24"/>
          <w:lang w:bidi="ar"/>
        </w:rPr>
        <w:t>支持转科处理，当已经挂过号以后，发现挂号科室有误，支持直接转换挂号科室。</w:t>
      </w:r>
    </w:p>
    <w:p>
      <w:pPr>
        <w:pStyle w:val="389"/>
        <w:rPr>
          <w:color w:val="auto"/>
          <w:szCs w:val="24"/>
          <w:lang w:bidi="ar"/>
        </w:rPr>
      </w:pPr>
      <w:r>
        <w:rPr>
          <w:rFonts w:hint="eastAsia"/>
          <w:color w:val="auto"/>
          <w:szCs w:val="24"/>
          <w:lang w:bidi="ar"/>
        </w:rPr>
        <w:t>支持医保刷卡功能。</w:t>
      </w:r>
    </w:p>
    <w:p>
      <w:pPr>
        <w:pStyle w:val="7"/>
        <w:spacing w:before="0" w:after="0" w:line="360" w:lineRule="auto"/>
        <w:ind w:left="992" w:hanging="992"/>
        <w:rPr>
          <w:rFonts w:ascii="宋体" w:hAnsi="宋体" w:eastAsia="宋体"/>
          <w:color w:val="auto"/>
        </w:rPr>
      </w:pPr>
      <w:bookmarkStart w:id="43" w:name="_Toc356145540"/>
      <w:r>
        <w:rPr>
          <w:rFonts w:hint="eastAsia" w:ascii="宋体" w:hAnsi="宋体" w:eastAsia="宋体"/>
          <w:color w:val="auto"/>
        </w:rPr>
        <w:t>b挂号查询</w:t>
      </w:r>
      <w:bookmarkEnd w:id="43"/>
    </w:p>
    <w:p>
      <w:pPr>
        <w:pStyle w:val="389"/>
        <w:rPr>
          <w:color w:val="auto"/>
          <w:szCs w:val="24"/>
          <w:lang w:bidi="ar"/>
        </w:rPr>
      </w:pPr>
      <w:r>
        <w:rPr>
          <w:rFonts w:hint="eastAsia"/>
          <w:color w:val="auto"/>
          <w:szCs w:val="24"/>
          <w:lang w:bidi="ar"/>
        </w:rPr>
        <w:t>查询当前医疗机构下所有科室的挂号信息，可根据就诊号码，门诊号码，操作人员，日期等条件进行查询。查询出所有的挂号明细和挂号状态，并提供打印功能。</w:t>
      </w:r>
    </w:p>
    <w:p>
      <w:pPr>
        <w:pStyle w:val="7"/>
        <w:spacing w:before="0" w:after="0" w:line="360" w:lineRule="auto"/>
        <w:ind w:left="992" w:hanging="992"/>
        <w:rPr>
          <w:rFonts w:ascii="宋体" w:hAnsi="宋体" w:eastAsia="宋体"/>
          <w:color w:val="auto"/>
        </w:rPr>
      </w:pPr>
      <w:bookmarkStart w:id="44" w:name="_Toc356145541"/>
      <w:r>
        <w:rPr>
          <w:rFonts w:hint="eastAsia" w:ascii="宋体" w:hAnsi="宋体" w:eastAsia="宋体"/>
          <w:color w:val="auto"/>
        </w:rPr>
        <w:t>c医生排班维护</w:t>
      </w:r>
      <w:bookmarkEnd w:id="44"/>
    </w:p>
    <w:p>
      <w:pPr>
        <w:pStyle w:val="389"/>
        <w:rPr>
          <w:color w:val="auto"/>
          <w:szCs w:val="24"/>
          <w:lang w:bidi="ar"/>
        </w:rPr>
      </w:pPr>
      <w:r>
        <w:rPr>
          <w:rFonts w:hint="eastAsia"/>
          <w:color w:val="auto"/>
          <w:szCs w:val="24"/>
          <w:lang w:bidi="ar"/>
        </w:rPr>
        <w:t>设置当前医疗机构挂号科室下的排班医生，并设置每位医生每天的挂号限额与预约限额，可对本周和下周的排班情况进行设置。排班分上、下午。同一个挂号科室下支持排多个医生，专家门诊科室必须设置一位医生，否则专家门诊下无法挂号。支持医生排班复制功能。</w:t>
      </w:r>
    </w:p>
    <w:p>
      <w:pPr>
        <w:pStyle w:val="7"/>
        <w:spacing w:before="0" w:after="0" w:line="360" w:lineRule="auto"/>
        <w:ind w:left="992" w:hanging="992"/>
        <w:rPr>
          <w:rFonts w:ascii="宋体" w:hAnsi="宋体" w:eastAsia="宋体"/>
          <w:color w:val="auto"/>
        </w:rPr>
      </w:pPr>
      <w:bookmarkStart w:id="45" w:name="_Toc356145542"/>
      <w:r>
        <w:rPr>
          <w:rFonts w:hint="eastAsia" w:ascii="宋体" w:hAnsi="宋体" w:eastAsia="宋体"/>
          <w:color w:val="auto"/>
        </w:rPr>
        <w:t>d科室排班维护</w:t>
      </w:r>
      <w:bookmarkEnd w:id="45"/>
    </w:p>
    <w:p>
      <w:pPr>
        <w:pStyle w:val="389"/>
        <w:rPr>
          <w:color w:val="auto"/>
          <w:szCs w:val="24"/>
          <w:lang w:bidi="ar"/>
        </w:rPr>
      </w:pPr>
      <w:r>
        <w:rPr>
          <w:rFonts w:hint="eastAsia"/>
          <w:color w:val="auto"/>
          <w:szCs w:val="24"/>
          <w:lang w:bidi="ar"/>
        </w:rPr>
        <w:t>对所有门诊类别下的挂号科室进行排班处理，即设置周一至周日每天上午和下午两个时段内哪些科室支持进行挂号，并设置排班科室的挂号人数限额和预约挂号的限额，当天未排班的科室不允许进行挂号。</w:t>
      </w:r>
    </w:p>
    <w:p>
      <w:pPr>
        <w:pStyle w:val="7"/>
        <w:spacing w:before="0" w:after="0" w:line="360" w:lineRule="auto"/>
        <w:ind w:left="992" w:hanging="992"/>
        <w:rPr>
          <w:rFonts w:ascii="宋体" w:hAnsi="宋体" w:eastAsia="宋体"/>
          <w:color w:val="auto"/>
        </w:rPr>
      </w:pPr>
      <w:bookmarkStart w:id="46" w:name="_Toc356145543"/>
      <w:r>
        <w:rPr>
          <w:rFonts w:hint="eastAsia" w:ascii="宋体" w:hAnsi="宋体" w:eastAsia="宋体"/>
          <w:color w:val="auto"/>
        </w:rPr>
        <w:t>e挂号科室维护</w:t>
      </w:r>
      <w:bookmarkEnd w:id="46"/>
    </w:p>
    <w:p>
      <w:pPr>
        <w:pStyle w:val="389"/>
        <w:rPr>
          <w:color w:val="auto"/>
          <w:szCs w:val="24"/>
          <w:lang w:bidi="ar"/>
        </w:rPr>
      </w:pPr>
      <w:r>
        <w:rPr>
          <w:rFonts w:hint="eastAsia"/>
          <w:color w:val="auto"/>
          <w:szCs w:val="24"/>
          <w:lang w:bidi="ar"/>
        </w:rPr>
        <w:t>设置不同门诊类别下的挂号科室，确定病人的预诊科室。一个科室下若有多个挂号科室，则核算时核算在一个科室，用一个独立的模块维护。此模块设置挂号科室的基本属性，包括是否专家门诊，科室的挂号费，诊疗费，挂号科室对应的门诊科室等。同时针对门诊科室支持普通门诊、发热门诊等多种科室类别的维护。</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f号源管理</w:t>
      </w:r>
    </w:p>
    <w:p>
      <w:pPr>
        <w:pStyle w:val="389"/>
        <w:rPr>
          <w:color w:val="auto"/>
          <w:szCs w:val="24"/>
          <w:lang w:bidi="ar"/>
        </w:rPr>
      </w:pPr>
      <w:r>
        <w:rPr>
          <w:rFonts w:hint="eastAsia"/>
          <w:color w:val="auto"/>
          <w:szCs w:val="24"/>
          <w:lang w:bidi="ar"/>
        </w:rPr>
        <w:t>实现分时段诊疗服务，需要将医院所有的挂号资源进行统一管理，即一个统一的号池，无论患者通过医院还是公共服务平台进行预约等，所有的途径都需要从同一个号码池进行预约。按看诊时间产生号源时：号码池根据科室排班和医生坐诊时间以及平均看诊时间、号源类型分配，自动产生各个科室和医生每天的号源数量。按号源总数产生号源时：号源总数同每个值班类别设置，号源类型比例按科室定义的进行分配，每个号源占用的时间段是根据号源总数与每个值班类别工作总时间反推算出来。</w:t>
      </w:r>
    </w:p>
    <w:p>
      <w:pPr>
        <w:pStyle w:val="6"/>
        <w:spacing w:before="0" w:after="0" w:line="360" w:lineRule="auto"/>
        <w:ind w:left="851" w:hanging="851"/>
        <w:rPr>
          <w:rFonts w:ascii="宋体" w:hAnsi="宋体"/>
          <w:color w:val="auto"/>
          <w:sz w:val="24"/>
          <w:szCs w:val="24"/>
        </w:rPr>
      </w:pPr>
      <w:bookmarkStart w:id="47" w:name="_Toc356145544"/>
      <w:bookmarkStart w:id="48" w:name="_Toc15093"/>
      <w:r>
        <w:rPr>
          <w:rFonts w:hint="eastAsia" w:ascii="宋体" w:hAnsi="宋体"/>
          <w:color w:val="auto"/>
          <w:sz w:val="24"/>
          <w:szCs w:val="24"/>
        </w:rPr>
        <w:t>（2）划价收费</w:t>
      </w:r>
      <w:bookmarkEnd w:id="47"/>
      <w:bookmarkEnd w:id="48"/>
    </w:p>
    <w:p>
      <w:pPr>
        <w:pStyle w:val="7"/>
        <w:spacing w:before="0" w:after="0" w:line="360" w:lineRule="auto"/>
        <w:ind w:left="992" w:hanging="992"/>
        <w:rPr>
          <w:rFonts w:ascii="宋体" w:hAnsi="宋体" w:eastAsia="宋体"/>
          <w:color w:val="auto"/>
        </w:rPr>
      </w:pPr>
      <w:bookmarkStart w:id="49" w:name="_Toc356145545"/>
      <w:r>
        <w:rPr>
          <w:rFonts w:hint="eastAsia" w:ascii="宋体" w:hAnsi="宋体" w:eastAsia="宋体"/>
          <w:color w:val="auto"/>
        </w:rPr>
        <w:t>a收费结算</w:t>
      </w:r>
      <w:bookmarkEnd w:id="49"/>
    </w:p>
    <w:p>
      <w:pPr>
        <w:pStyle w:val="389"/>
        <w:rPr>
          <w:color w:val="auto"/>
          <w:szCs w:val="24"/>
          <w:lang w:bidi="ar"/>
        </w:rPr>
      </w:pPr>
      <w:r>
        <w:rPr>
          <w:rFonts w:hint="eastAsia"/>
          <w:color w:val="auto"/>
          <w:szCs w:val="24"/>
          <w:lang w:bidi="ar"/>
        </w:rPr>
        <w:t>调入或录入药品处方和检查检验项目，按病人性质自动划价与结算并打印发票，收款并找零；</w:t>
      </w:r>
    </w:p>
    <w:p>
      <w:pPr>
        <w:pStyle w:val="389"/>
        <w:rPr>
          <w:color w:val="auto"/>
          <w:szCs w:val="24"/>
          <w:lang w:bidi="ar"/>
        </w:rPr>
      </w:pPr>
      <w:r>
        <w:rPr>
          <w:rFonts w:hint="eastAsia"/>
          <w:color w:val="auto"/>
          <w:szCs w:val="24"/>
          <w:lang w:bidi="ar"/>
        </w:rPr>
        <w:t>能够处理发票打坏后重打发票，发票号码作废功能；</w:t>
      </w:r>
    </w:p>
    <w:p>
      <w:pPr>
        <w:pStyle w:val="389"/>
        <w:rPr>
          <w:color w:val="auto"/>
          <w:szCs w:val="24"/>
          <w:lang w:bidi="ar"/>
        </w:rPr>
      </w:pPr>
      <w:r>
        <w:rPr>
          <w:rFonts w:hint="eastAsia"/>
          <w:color w:val="auto"/>
          <w:szCs w:val="24"/>
          <w:lang w:bidi="ar"/>
        </w:rPr>
        <w:t>医保病人划价收费包括“身份验证、计算费用、记入个人帐户”等功能，其中计算费用时应能提供各处方单及处方单中费用明细信息。</w:t>
      </w:r>
    </w:p>
    <w:p>
      <w:pPr>
        <w:pStyle w:val="389"/>
        <w:rPr>
          <w:color w:val="auto"/>
          <w:szCs w:val="24"/>
          <w:lang w:bidi="ar"/>
        </w:rPr>
      </w:pPr>
      <w:r>
        <w:rPr>
          <w:rFonts w:hint="eastAsia"/>
          <w:color w:val="auto"/>
          <w:szCs w:val="24"/>
          <w:lang w:bidi="ar"/>
        </w:rPr>
        <w:t>身份验证：从医保中心的回传信息验证医保IC卡有效性，医保IC卡无效则必须自费就诊。</w:t>
      </w:r>
    </w:p>
    <w:p>
      <w:pPr>
        <w:pStyle w:val="389"/>
        <w:rPr>
          <w:color w:val="auto"/>
          <w:szCs w:val="24"/>
          <w:lang w:bidi="ar"/>
        </w:rPr>
      </w:pPr>
      <w:r>
        <w:rPr>
          <w:rFonts w:hint="eastAsia"/>
          <w:color w:val="auto"/>
          <w:szCs w:val="24"/>
          <w:lang w:bidi="ar"/>
        </w:rPr>
        <w:t>计算费用：根据医技单、处方单，如果是医保用药、医保费用且单价没有超过医保限价，根据医保支付比例计算帐户支付金额、个人现金金额。从卡内扣除医保帐户可支付部分的金额，其余部分个人现金支付，同时归并费用大类。</w:t>
      </w:r>
    </w:p>
    <w:p>
      <w:pPr>
        <w:pStyle w:val="389"/>
        <w:rPr>
          <w:color w:val="auto"/>
          <w:szCs w:val="24"/>
          <w:lang w:bidi="ar"/>
        </w:rPr>
      </w:pPr>
      <w:r>
        <w:rPr>
          <w:rFonts w:hint="eastAsia"/>
          <w:color w:val="auto"/>
          <w:szCs w:val="24"/>
          <w:lang w:bidi="ar"/>
        </w:rPr>
        <w:t>记个人帐户：写医保IC卡；生成费用归并信息传到医保中心更新个人帐户数据。参保病人医疗费用的分劈：以国家医保政策为根据，结合属地化管理，将参保病人门诊、住院的总费用，分劈成基金帐户支付、医保IC卡支付、个人现金支付三部分。参保人员因所属分局不同（属地化管理），医疗费用的自负比例不尽相同。</w:t>
      </w:r>
    </w:p>
    <w:p>
      <w:pPr>
        <w:pStyle w:val="389"/>
        <w:rPr>
          <w:color w:val="auto"/>
          <w:szCs w:val="24"/>
          <w:lang w:bidi="ar"/>
        </w:rPr>
      </w:pPr>
      <w:r>
        <w:rPr>
          <w:rFonts w:hint="eastAsia"/>
          <w:color w:val="auto"/>
          <w:szCs w:val="24"/>
          <w:lang w:bidi="ar"/>
        </w:rPr>
        <w:t>支持在同一界面进行处方录入、处置录入、收费结算，并可通过快捷键切换西药方、中药方、草药方和处置单。</w:t>
      </w:r>
    </w:p>
    <w:p>
      <w:pPr>
        <w:pStyle w:val="389"/>
        <w:rPr>
          <w:color w:val="auto"/>
          <w:szCs w:val="24"/>
          <w:lang w:bidi="ar"/>
        </w:rPr>
      </w:pPr>
      <w:r>
        <w:rPr>
          <w:rFonts w:hint="eastAsia"/>
          <w:color w:val="auto"/>
          <w:szCs w:val="24"/>
          <w:lang w:bidi="ar"/>
        </w:rPr>
        <w:t>在门诊收费费用结算时，单笔自负费用支持使用多种支付方式进行支付。</w:t>
      </w:r>
    </w:p>
    <w:p>
      <w:pPr>
        <w:pStyle w:val="389"/>
        <w:rPr>
          <w:color w:val="auto"/>
          <w:szCs w:val="24"/>
          <w:lang w:bidi="ar"/>
        </w:rPr>
      </w:pPr>
      <w:r>
        <w:rPr>
          <w:rFonts w:hint="eastAsia"/>
          <w:color w:val="auto"/>
          <w:szCs w:val="24"/>
          <w:lang w:bidi="ar"/>
        </w:rPr>
        <w:t>支持记账功能，把就诊的患者相关费用挂到该患者对应的单位账户上。</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b退费处理</w:t>
      </w:r>
    </w:p>
    <w:p>
      <w:pPr>
        <w:pStyle w:val="389"/>
        <w:rPr>
          <w:color w:val="auto"/>
          <w:szCs w:val="24"/>
          <w:lang w:bidi="ar"/>
        </w:rPr>
      </w:pPr>
      <w:r>
        <w:rPr>
          <w:rFonts w:hint="eastAsia"/>
          <w:color w:val="auto"/>
          <w:szCs w:val="24"/>
          <w:lang w:bidi="ar"/>
        </w:rPr>
        <w:t>发票已打出后，发现需要对发票中的部分费用或全部费用进行退费，将费用退还给病人，作废原发票并打出新发票。</w:t>
      </w:r>
    </w:p>
    <w:p>
      <w:pPr>
        <w:pStyle w:val="7"/>
        <w:spacing w:before="0" w:after="0" w:line="360" w:lineRule="auto"/>
        <w:ind w:left="992" w:hanging="992"/>
        <w:rPr>
          <w:rFonts w:ascii="宋体" w:hAnsi="宋体" w:eastAsia="宋体"/>
          <w:color w:val="auto"/>
        </w:rPr>
      </w:pPr>
      <w:bookmarkStart w:id="50" w:name="_Toc356145547"/>
      <w:r>
        <w:rPr>
          <w:rFonts w:hint="eastAsia" w:ascii="宋体" w:hAnsi="宋体" w:eastAsia="宋体"/>
          <w:color w:val="auto"/>
        </w:rPr>
        <w:t>c发票作废</w:t>
      </w:r>
      <w:bookmarkEnd w:id="50"/>
    </w:p>
    <w:p>
      <w:pPr>
        <w:pStyle w:val="389"/>
        <w:rPr>
          <w:color w:val="auto"/>
          <w:szCs w:val="24"/>
          <w:lang w:bidi="ar"/>
        </w:rPr>
      </w:pPr>
      <w:r>
        <w:rPr>
          <w:rFonts w:hint="eastAsia"/>
          <w:color w:val="auto"/>
          <w:szCs w:val="24"/>
          <w:lang w:bidi="ar"/>
        </w:rPr>
        <w:t>发票未打出或打出后发现划价错误，需重打发票，原发票进行发票作废，当发票打印或信息录入错误时对票据的作废操作，系统需记录作废票据的信息，作废票据不做收费信息进入统计，作日报时在“作废”栏中显示。</w:t>
      </w:r>
    </w:p>
    <w:p>
      <w:pPr>
        <w:pStyle w:val="7"/>
        <w:spacing w:before="0" w:after="0" w:line="360" w:lineRule="auto"/>
        <w:ind w:left="992" w:hanging="992"/>
        <w:rPr>
          <w:rFonts w:ascii="宋体" w:hAnsi="宋体" w:eastAsia="宋体"/>
          <w:color w:val="auto"/>
        </w:rPr>
      </w:pPr>
      <w:bookmarkStart w:id="51" w:name="_Toc356145546"/>
      <w:r>
        <w:rPr>
          <w:rFonts w:hint="eastAsia" w:ascii="宋体" w:hAnsi="宋体" w:eastAsia="宋体"/>
          <w:color w:val="auto"/>
        </w:rPr>
        <w:t>d发票查询</w:t>
      </w:r>
      <w:bookmarkEnd w:id="51"/>
    </w:p>
    <w:p>
      <w:pPr>
        <w:pStyle w:val="389"/>
        <w:rPr>
          <w:color w:val="auto"/>
          <w:szCs w:val="24"/>
          <w:lang w:bidi="ar"/>
        </w:rPr>
      </w:pPr>
      <w:r>
        <w:rPr>
          <w:rFonts w:hint="eastAsia"/>
          <w:color w:val="auto"/>
          <w:szCs w:val="24"/>
          <w:lang w:bidi="ar"/>
        </w:rPr>
        <w:t>查询当前医疗机构下当前门诊类别下所有的收费发票和明细，可根据发票号码段、病人性质、病人姓名、卡号、收费日期、收款员等条件检索。可查看发票明细和单据明细。</w:t>
      </w:r>
    </w:p>
    <w:p>
      <w:pPr>
        <w:pStyle w:val="7"/>
        <w:spacing w:before="0" w:after="0" w:line="360" w:lineRule="auto"/>
        <w:ind w:left="992" w:hanging="992"/>
        <w:rPr>
          <w:rFonts w:ascii="宋体" w:hAnsi="宋体" w:eastAsia="宋体"/>
          <w:color w:val="auto"/>
        </w:rPr>
      </w:pPr>
      <w:bookmarkStart w:id="52" w:name="_Toc356145548"/>
      <w:r>
        <w:rPr>
          <w:rFonts w:hint="eastAsia" w:ascii="宋体" w:hAnsi="宋体" w:eastAsia="宋体"/>
          <w:color w:val="auto"/>
        </w:rPr>
        <w:t>e收费日报</w:t>
      </w:r>
      <w:bookmarkEnd w:id="52"/>
    </w:p>
    <w:p>
      <w:pPr>
        <w:pStyle w:val="389"/>
        <w:rPr>
          <w:color w:val="auto"/>
          <w:szCs w:val="24"/>
          <w:lang w:bidi="ar"/>
        </w:rPr>
      </w:pPr>
      <w:r>
        <w:rPr>
          <w:rFonts w:hint="eastAsia"/>
          <w:color w:val="auto"/>
          <w:szCs w:val="24"/>
          <w:lang w:bidi="ar"/>
        </w:rPr>
        <w:t>统计收款员本日的挂号信息，收款员个人日报一天可结算多次，统计挂号的总挂号人数、退号及挂号金额并结束当日的工作。</w:t>
      </w:r>
    </w:p>
    <w:p>
      <w:pPr>
        <w:pStyle w:val="389"/>
        <w:rPr>
          <w:color w:val="auto"/>
          <w:szCs w:val="24"/>
          <w:lang w:bidi="ar"/>
        </w:rPr>
      </w:pPr>
      <w:r>
        <w:rPr>
          <w:rFonts w:hint="eastAsia"/>
          <w:color w:val="auto"/>
          <w:szCs w:val="24"/>
          <w:lang w:bidi="ar"/>
        </w:rPr>
        <w:t>统计收款员本日的收费信息。收款员个人日报一天可结算多次，统计收费和发票作废等信息，并能结束当日的工作。</w:t>
      </w:r>
    </w:p>
    <w:p>
      <w:pPr>
        <w:pStyle w:val="389"/>
        <w:rPr>
          <w:color w:val="auto"/>
          <w:szCs w:val="24"/>
          <w:lang w:bidi="ar"/>
        </w:rPr>
      </w:pPr>
      <w:r>
        <w:rPr>
          <w:rFonts w:hint="eastAsia"/>
          <w:color w:val="auto"/>
          <w:szCs w:val="24"/>
          <w:lang w:bidi="ar"/>
        </w:rPr>
        <w:t>能够按日期查询挂号员的挂号收费合并日报表。</w:t>
      </w:r>
    </w:p>
    <w:p>
      <w:pPr>
        <w:pStyle w:val="389"/>
        <w:rPr>
          <w:color w:val="auto"/>
          <w:szCs w:val="24"/>
          <w:lang w:bidi="ar"/>
        </w:rPr>
      </w:pPr>
      <w:r>
        <w:rPr>
          <w:rFonts w:hint="eastAsia"/>
          <w:color w:val="auto"/>
          <w:szCs w:val="24"/>
          <w:lang w:bidi="ar"/>
        </w:rPr>
        <w:t>能够取消最近一次未汇总的结账。</w:t>
      </w:r>
    </w:p>
    <w:p>
      <w:pPr>
        <w:pStyle w:val="7"/>
        <w:spacing w:before="0" w:after="0" w:line="360" w:lineRule="auto"/>
        <w:ind w:left="992" w:hanging="992"/>
        <w:rPr>
          <w:rFonts w:ascii="宋体" w:hAnsi="宋体" w:eastAsia="宋体"/>
          <w:color w:val="auto"/>
        </w:rPr>
      </w:pPr>
      <w:bookmarkStart w:id="53" w:name="_Toc356145549"/>
      <w:r>
        <w:rPr>
          <w:rFonts w:hint="eastAsia" w:ascii="宋体" w:hAnsi="宋体" w:eastAsia="宋体"/>
          <w:color w:val="auto"/>
        </w:rPr>
        <w:t>f收费汇总</w:t>
      </w:r>
      <w:bookmarkEnd w:id="53"/>
    </w:p>
    <w:p>
      <w:pPr>
        <w:pStyle w:val="389"/>
        <w:rPr>
          <w:color w:val="auto"/>
          <w:szCs w:val="24"/>
          <w:lang w:bidi="ar"/>
        </w:rPr>
      </w:pPr>
      <w:r>
        <w:rPr>
          <w:rFonts w:hint="eastAsia"/>
          <w:color w:val="auto"/>
          <w:szCs w:val="24"/>
          <w:lang w:bidi="ar"/>
        </w:rPr>
        <w:t>当门诊挂号收费员结束当天的工作后，由门诊收费处负责人进行总的日终结帐处理。系统提供收费汇总、收费汇总查询、项目分类汇总、未结账收费汇总等查询和统计功能，同时提供相关打印功能。能够取消最近一次的汇总。</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g门诊医生核算</w:t>
      </w:r>
    </w:p>
    <w:p>
      <w:pPr>
        <w:pStyle w:val="389"/>
        <w:rPr>
          <w:color w:val="auto"/>
          <w:szCs w:val="24"/>
          <w:lang w:bidi="ar"/>
        </w:rPr>
      </w:pPr>
      <w:r>
        <w:rPr>
          <w:rFonts w:hint="eastAsia"/>
          <w:color w:val="auto"/>
          <w:szCs w:val="24"/>
          <w:lang w:bidi="ar"/>
        </w:rPr>
        <w:t>当前医疗机构下分别按照科室、医生、执行、开单等不同组合方式统计某时间段内的相关费用及其汇总费用。</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h性质费用核算</w:t>
      </w:r>
    </w:p>
    <w:p>
      <w:pPr>
        <w:pStyle w:val="389"/>
        <w:rPr>
          <w:color w:val="auto"/>
          <w:szCs w:val="24"/>
        </w:rPr>
      </w:pPr>
      <w:r>
        <w:rPr>
          <w:rFonts w:hint="eastAsia"/>
          <w:color w:val="auto"/>
          <w:szCs w:val="24"/>
          <w:lang w:bidi="ar"/>
        </w:rPr>
        <w:t>按照病人性质进行分类，以基于病人明细或病人汇总的方式统计某时间段内的病人对应收费项目的费用及其汇总费用。</w:t>
      </w:r>
    </w:p>
    <w:p>
      <w:pPr>
        <w:pStyle w:val="7"/>
        <w:spacing w:before="0" w:after="0" w:line="360" w:lineRule="auto"/>
        <w:ind w:left="992" w:hanging="992"/>
        <w:rPr>
          <w:rFonts w:ascii="宋体" w:hAnsi="宋体" w:eastAsia="宋体"/>
          <w:color w:val="auto"/>
        </w:rPr>
      </w:pPr>
      <w:bookmarkStart w:id="54" w:name="_Toc356145550"/>
      <w:r>
        <w:rPr>
          <w:rFonts w:hint="eastAsia" w:ascii="宋体" w:hAnsi="宋体" w:eastAsia="宋体"/>
          <w:color w:val="auto"/>
        </w:rPr>
        <w:t>i报表设置</w:t>
      </w:r>
    </w:p>
    <w:p>
      <w:pPr>
        <w:pStyle w:val="389"/>
        <w:rPr>
          <w:color w:val="auto"/>
          <w:szCs w:val="24"/>
        </w:rPr>
      </w:pPr>
      <w:r>
        <w:rPr>
          <w:rFonts w:hint="eastAsia"/>
          <w:color w:val="auto"/>
          <w:szCs w:val="24"/>
          <w:lang w:bidi="ar"/>
        </w:rPr>
        <w:t>设置核算报表的归并项目、显示名称及显示顺序。</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j票据维护</w:t>
      </w:r>
      <w:bookmarkEnd w:id="54"/>
    </w:p>
    <w:p>
      <w:pPr>
        <w:pStyle w:val="389"/>
        <w:rPr>
          <w:color w:val="auto"/>
          <w:szCs w:val="24"/>
        </w:rPr>
      </w:pPr>
      <w:r>
        <w:rPr>
          <w:rFonts w:hint="eastAsia"/>
          <w:color w:val="auto"/>
          <w:szCs w:val="24"/>
          <w:lang w:bidi="ar"/>
        </w:rPr>
        <w:t>维护当前医疗机构下的就诊号码，门诊号码，发票号码，其中门诊号码不允许和其他医疗机构有重复。所有的号码只能设置为数字。不允许其他字符。未设置票据号码的员工，系统会给出提示，完成相关票据设置后才能开展其他业务。</w:t>
      </w:r>
    </w:p>
    <w:p>
      <w:pPr>
        <w:pStyle w:val="6"/>
        <w:spacing w:before="0" w:after="0" w:line="360" w:lineRule="auto"/>
        <w:ind w:left="851" w:hanging="851"/>
        <w:rPr>
          <w:rFonts w:ascii="宋体" w:hAnsi="宋体"/>
          <w:color w:val="auto"/>
          <w:sz w:val="24"/>
          <w:szCs w:val="24"/>
        </w:rPr>
      </w:pPr>
      <w:bookmarkStart w:id="55" w:name="_Toc356145495"/>
      <w:bookmarkStart w:id="56" w:name="_Toc338145310"/>
      <w:bookmarkStart w:id="57" w:name="_Toc4060"/>
      <w:r>
        <w:rPr>
          <w:rFonts w:hint="eastAsia" w:ascii="宋体" w:hAnsi="宋体"/>
          <w:color w:val="auto"/>
          <w:sz w:val="24"/>
          <w:szCs w:val="24"/>
        </w:rPr>
        <w:t>（3）门诊诊疗</w:t>
      </w:r>
      <w:bookmarkEnd w:id="55"/>
      <w:bookmarkEnd w:id="56"/>
      <w:bookmarkEnd w:id="57"/>
    </w:p>
    <w:p>
      <w:pPr>
        <w:pStyle w:val="7"/>
        <w:spacing w:before="0" w:after="0" w:line="360" w:lineRule="auto"/>
        <w:ind w:left="992" w:hanging="992"/>
        <w:rPr>
          <w:rFonts w:ascii="宋体" w:hAnsi="宋体" w:eastAsia="宋体"/>
          <w:color w:val="auto"/>
        </w:rPr>
      </w:pPr>
      <w:bookmarkStart w:id="58" w:name="_Toc356145496"/>
      <w:bookmarkStart w:id="59" w:name="_Toc324238060"/>
      <w:r>
        <w:rPr>
          <w:rFonts w:hint="eastAsia" w:ascii="宋体" w:hAnsi="宋体" w:eastAsia="宋体"/>
          <w:color w:val="auto"/>
        </w:rPr>
        <w:t>a辖区病人</w:t>
      </w:r>
    </w:p>
    <w:p>
      <w:pPr>
        <w:pStyle w:val="389"/>
        <w:rPr>
          <w:color w:val="auto"/>
          <w:szCs w:val="24"/>
        </w:rPr>
      </w:pPr>
      <w:r>
        <w:rPr>
          <w:rFonts w:hint="eastAsia"/>
          <w:color w:val="auto"/>
          <w:szCs w:val="24"/>
          <w:lang w:bidi="ar"/>
        </w:rPr>
        <w:t>显示在该机构内已建过档案的病人列表，同时提供新建档案功能，如果与平台互联，则提供EHRView查看功能，当系统参数设置为门诊就诊无需挂号模式时，双击某个病人的档案便可进入门诊全科工作站开展诊疗业务。</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b病人列表</w:t>
      </w:r>
    </w:p>
    <w:p>
      <w:pPr>
        <w:pStyle w:val="389"/>
        <w:rPr>
          <w:color w:val="auto"/>
          <w:szCs w:val="24"/>
        </w:rPr>
      </w:pPr>
      <w:r>
        <w:rPr>
          <w:rFonts w:hint="eastAsia"/>
          <w:color w:val="auto"/>
          <w:szCs w:val="24"/>
          <w:lang w:bidi="ar"/>
        </w:rPr>
        <w:t>按就诊状态来区分的病人列表，分为待诊、暂挂、已诊三种状态，如果系统参数设置为挂号模式，当某病人挂完号以后便会列入到待诊列表，还在进行就诊的病人列入暂挂列表，已经完成就诊的病人列入已诊列表，通常列表的时间效期为一天（根据系统参数设置）。</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c门诊全科工作站</w:t>
      </w:r>
    </w:p>
    <w:p>
      <w:pPr>
        <w:pStyle w:val="8"/>
        <w:spacing w:before="0" w:after="0" w:line="360" w:lineRule="auto"/>
        <w:ind w:left="1134" w:hanging="1134"/>
        <w:rPr>
          <w:rFonts w:ascii="宋体" w:hAnsi="宋体"/>
          <w:b/>
          <w:bCs/>
          <w:color w:val="auto"/>
        </w:rPr>
      </w:pPr>
      <w:bookmarkStart w:id="60" w:name="_Toc356145498"/>
      <w:bookmarkStart w:id="61" w:name="_Hlk150172910"/>
      <w:r>
        <w:rPr>
          <w:rFonts w:hint="eastAsia" w:ascii="宋体" w:hAnsi="宋体"/>
          <w:b/>
          <w:bCs/>
          <w:color w:val="auto"/>
        </w:rPr>
        <w:t>病历录入</w:t>
      </w:r>
      <w:bookmarkEnd w:id="60"/>
      <w:r>
        <w:rPr>
          <w:rFonts w:hint="eastAsia" w:ascii="宋体" w:hAnsi="宋体" w:cs="微软雅黑"/>
          <w:b/>
          <w:bCs/>
          <w:color w:val="auto"/>
          <w:shd w:val="clear" w:color="auto" w:fill="FFFFFF"/>
        </w:rPr>
        <w:t>（需提供演示）</w:t>
      </w:r>
    </w:p>
    <w:bookmarkEnd w:id="61"/>
    <w:p>
      <w:pPr>
        <w:pStyle w:val="389"/>
        <w:rPr>
          <w:color w:val="auto"/>
          <w:szCs w:val="24"/>
        </w:rPr>
      </w:pPr>
      <w:bookmarkStart w:id="62" w:name="_Hlk150256416"/>
      <w:r>
        <w:rPr>
          <w:rFonts w:hint="eastAsia"/>
          <w:color w:val="auto"/>
          <w:szCs w:val="24"/>
          <w:lang w:bidi="ar"/>
        </w:rPr>
        <w:t>记录病人的病历信息，包括主诉、现病史、既往史、体格检查、辅助检查等，提供手工录入和调取模板两种方式。</w:t>
      </w:r>
    </w:p>
    <w:bookmarkEnd w:id="62"/>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过敏史</w:t>
      </w:r>
    </w:p>
    <w:p>
      <w:pPr>
        <w:pStyle w:val="389"/>
        <w:rPr>
          <w:color w:val="auto"/>
          <w:szCs w:val="24"/>
        </w:rPr>
      </w:pPr>
      <w:r>
        <w:rPr>
          <w:rFonts w:hint="eastAsia"/>
          <w:color w:val="auto"/>
          <w:szCs w:val="24"/>
          <w:lang w:bidi="ar"/>
        </w:rPr>
        <w:t>记录病人的过敏史，过敏记录支持自动填写过敏源和单独过敏史的录入，自动填写过敏源只支持药物过敏的填写。手动录入药物过敏和非药物过敏。</w:t>
      </w:r>
    </w:p>
    <w:p>
      <w:pPr>
        <w:pStyle w:val="8"/>
        <w:spacing w:before="0" w:after="0" w:line="360" w:lineRule="auto"/>
        <w:ind w:left="1134" w:hanging="1134"/>
        <w:rPr>
          <w:rFonts w:ascii="宋体" w:hAnsi="宋体"/>
          <w:b w:val="0"/>
          <w:bCs w:val="0"/>
          <w:color w:val="auto"/>
        </w:rPr>
      </w:pPr>
      <w:bookmarkStart w:id="63" w:name="_Toc356145499"/>
      <w:r>
        <w:rPr>
          <w:rFonts w:hint="eastAsia" w:ascii="宋体" w:hAnsi="宋体"/>
          <w:b w:val="0"/>
          <w:bCs w:val="0"/>
          <w:color w:val="auto"/>
        </w:rPr>
        <w:t>诊断</w:t>
      </w:r>
      <w:bookmarkEnd w:id="63"/>
      <w:r>
        <w:rPr>
          <w:rFonts w:hint="eastAsia" w:ascii="宋体" w:hAnsi="宋体"/>
          <w:b w:val="0"/>
          <w:bCs w:val="0"/>
          <w:color w:val="auto"/>
        </w:rPr>
        <w:t>编辑</w:t>
      </w:r>
    </w:p>
    <w:p>
      <w:pPr>
        <w:pStyle w:val="389"/>
        <w:rPr>
          <w:color w:val="auto"/>
          <w:szCs w:val="24"/>
        </w:rPr>
      </w:pPr>
      <w:r>
        <w:rPr>
          <w:rFonts w:hint="eastAsia"/>
          <w:color w:val="auto"/>
          <w:szCs w:val="24"/>
          <w:lang w:bidi="ar"/>
        </w:rPr>
        <w:t>提供新增诊断、子诊断、上移、下移、保存、删除、关闭等操作功能，同时提供常用诊断、诊断部位、诊断录入等助手功能。支持西医诊断和中医诊断录入。</w:t>
      </w:r>
    </w:p>
    <w:p>
      <w:pPr>
        <w:pStyle w:val="8"/>
        <w:spacing w:before="0" w:after="0" w:line="360" w:lineRule="auto"/>
        <w:ind w:left="1134" w:hanging="1134"/>
        <w:rPr>
          <w:rFonts w:ascii="宋体" w:hAnsi="宋体"/>
          <w:b w:val="0"/>
          <w:bCs w:val="0"/>
          <w:color w:val="auto"/>
        </w:rPr>
      </w:pPr>
      <w:bookmarkStart w:id="64" w:name="_Toc356145500"/>
      <w:bookmarkStart w:id="65" w:name="_Toc324238012"/>
      <w:r>
        <w:rPr>
          <w:rFonts w:hint="eastAsia" w:ascii="宋体" w:hAnsi="宋体"/>
          <w:b w:val="0"/>
          <w:bCs w:val="0"/>
          <w:color w:val="auto"/>
        </w:rPr>
        <w:t>处方</w:t>
      </w:r>
      <w:bookmarkEnd w:id="64"/>
      <w:bookmarkEnd w:id="65"/>
      <w:r>
        <w:rPr>
          <w:rFonts w:hint="eastAsia" w:ascii="宋体" w:hAnsi="宋体"/>
          <w:b w:val="0"/>
          <w:bCs w:val="0"/>
          <w:color w:val="auto"/>
        </w:rPr>
        <w:t>编辑</w:t>
      </w:r>
    </w:p>
    <w:p>
      <w:pPr>
        <w:pStyle w:val="389"/>
        <w:rPr>
          <w:color w:val="auto"/>
          <w:szCs w:val="24"/>
        </w:rPr>
      </w:pPr>
      <w:r>
        <w:rPr>
          <w:rFonts w:hint="eastAsia"/>
          <w:color w:val="auto"/>
          <w:szCs w:val="24"/>
          <w:lang w:bidi="ar"/>
        </w:rPr>
        <w:t>提供处方录入的新组、删除、新处方、删除处方、复制处方、保存、打印、注射卡、关闭等操作功能，同时提供常用药、处方组套等助手功能以及药品的附件计价功能。</w:t>
      </w:r>
    </w:p>
    <w:p>
      <w:pPr>
        <w:pStyle w:val="8"/>
        <w:spacing w:before="0" w:after="0" w:line="360" w:lineRule="auto"/>
        <w:ind w:left="1134" w:hanging="1134"/>
        <w:rPr>
          <w:rFonts w:ascii="宋体" w:hAnsi="宋体"/>
          <w:b w:val="0"/>
          <w:bCs w:val="0"/>
          <w:color w:val="auto"/>
        </w:rPr>
      </w:pPr>
      <w:bookmarkStart w:id="66" w:name="_Toc356145501"/>
      <w:r>
        <w:rPr>
          <w:rFonts w:hint="eastAsia" w:ascii="宋体" w:hAnsi="宋体"/>
          <w:b w:val="0"/>
          <w:bCs w:val="0"/>
          <w:color w:val="auto"/>
        </w:rPr>
        <w:t>处置</w:t>
      </w:r>
      <w:bookmarkEnd w:id="66"/>
      <w:r>
        <w:rPr>
          <w:rFonts w:hint="eastAsia" w:ascii="宋体" w:hAnsi="宋体"/>
          <w:b w:val="0"/>
          <w:bCs w:val="0"/>
          <w:color w:val="auto"/>
        </w:rPr>
        <w:t>编辑</w:t>
      </w:r>
    </w:p>
    <w:p>
      <w:pPr>
        <w:pStyle w:val="389"/>
        <w:rPr>
          <w:color w:val="auto"/>
          <w:szCs w:val="24"/>
        </w:rPr>
      </w:pPr>
      <w:r>
        <w:rPr>
          <w:rFonts w:hint="eastAsia"/>
          <w:color w:val="auto"/>
          <w:szCs w:val="24"/>
          <w:lang w:bidi="ar"/>
        </w:rPr>
        <w:t>提供处置录入的插入、新组、保存、删除、关闭、打印等操作功能，同时提供常用项、组套等助手功能。</w:t>
      </w:r>
    </w:p>
    <w:p>
      <w:pPr>
        <w:pStyle w:val="8"/>
        <w:spacing w:before="0" w:after="0" w:line="360" w:lineRule="auto"/>
        <w:ind w:left="1134" w:hanging="1134"/>
        <w:rPr>
          <w:rFonts w:ascii="宋体" w:hAnsi="宋体"/>
          <w:b/>
          <w:bCs/>
          <w:color w:val="auto"/>
        </w:rPr>
      </w:pPr>
      <w:bookmarkStart w:id="67" w:name="_Hlk150172914"/>
      <w:r>
        <w:rPr>
          <w:rFonts w:hint="eastAsia" w:ascii="宋体" w:hAnsi="宋体"/>
          <w:b/>
          <w:bCs/>
          <w:color w:val="auto"/>
        </w:rPr>
        <w:t>检查开单</w:t>
      </w:r>
      <w:r>
        <w:rPr>
          <w:rFonts w:hint="eastAsia" w:ascii="宋体" w:hAnsi="宋体" w:cs="微软雅黑"/>
          <w:b/>
          <w:bCs/>
          <w:color w:val="auto"/>
          <w:shd w:val="clear" w:color="auto" w:fill="FFFFFF"/>
        </w:rPr>
        <w:t>（需提供演示）</w:t>
      </w:r>
    </w:p>
    <w:bookmarkEnd w:id="67"/>
    <w:p>
      <w:pPr>
        <w:pStyle w:val="389"/>
        <w:rPr>
          <w:color w:val="auto"/>
          <w:szCs w:val="24"/>
        </w:rPr>
      </w:pPr>
      <w:bookmarkStart w:id="68" w:name="_Hlk150256440"/>
      <w:r>
        <w:rPr>
          <w:rFonts w:hint="eastAsia"/>
          <w:color w:val="auto"/>
          <w:szCs w:val="24"/>
          <w:lang w:bidi="ar"/>
        </w:rPr>
        <w:t>提供检查项目的模式、部位的筛选并进行录入加急标注、检查目的、申请单备注的填写的操作功能。同时支持已开检查申请单的打印及状态的查阅，报告查阅。</w:t>
      </w:r>
    </w:p>
    <w:bookmarkEnd w:id="68"/>
    <w:p>
      <w:pPr>
        <w:pStyle w:val="8"/>
        <w:spacing w:before="0" w:after="0" w:line="360" w:lineRule="auto"/>
        <w:ind w:left="1134" w:hanging="1134"/>
        <w:rPr>
          <w:rFonts w:ascii="宋体" w:hAnsi="宋体"/>
          <w:b/>
          <w:bCs/>
          <w:color w:val="auto"/>
        </w:rPr>
      </w:pPr>
      <w:bookmarkStart w:id="69" w:name="_Hlk150172917"/>
      <w:r>
        <w:rPr>
          <w:rFonts w:hint="eastAsia" w:ascii="宋体" w:hAnsi="宋体"/>
          <w:b/>
          <w:bCs/>
          <w:color w:val="auto"/>
        </w:rPr>
        <w:t>检验开单</w:t>
      </w:r>
      <w:r>
        <w:rPr>
          <w:rFonts w:hint="eastAsia" w:ascii="宋体" w:hAnsi="宋体" w:cs="微软雅黑"/>
          <w:b/>
          <w:bCs/>
          <w:color w:val="auto"/>
          <w:shd w:val="clear" w:color="auto" w:fill="FFFFFF"/>
        </w:rPr>
        <w:t>（需提供演示）</w:t>
      </w:r>
    </w:p>
    <w:bookmarkEnd w:id="69"/>
    <w:p>
      <w:pPr>
        <w:pStyle w:val="389"/>
        <w:rPr>
          <w:color w:val="auto"/>
          <w:szCs w:val="24"/>
        </w:rPr>
      </w:pPr>
      <w:bookmarkStart w:id="70" w:name="_Hlk150256424"/>
      <w:r>
        <w:rPr>
          <w:rFonts w:hint="eastAsia"/>
          <w:color w:val="auto"/>
          <w:szCs w:val="24"/>
          <w:lang w:bidi="ar"/>
        </w:rPr>
        <w:t>提供检验项目的申请开单并进行录入加急标注、申请单备注的填写的操作功能。同时支持已开检查申请单的打印及状态的查阅，检验结果的展示、报告查阅。</w:t>
      </w:r>
    </w:p>
    <w:bookmarkEnd w:id="70"/>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社区功能</w:t>
      </w:r>
    </w:p>
    <w:p>
      <w:pPr>
        <w:pStyle w:val="389"/>
        <w:rPr>
          <w:color w:val="auto"/>
          <w:szCs w:val="24"/>
        </w:rPr>
      </w:pPr>
      <w:r>
        <w:rPr>
          <w:rFonts w:hint="eastAsia"/>
          <w:color w:val="auto"/>
          <w:szCs w:val="24"/>
          <w:lang w:bidi="ar"/>
        </w:rPr>
        <w:t>在门诊医生站就诊时，可同时为患者创建个人健康档案；对确诊为糖尿病的患者，创建糖尿病档案；对超过35周岁的患者自动提示需要进行首诊测压，并进行高血压核实及高血压档案创建等后续工作。另外，就诊的老年人和儿童会分别创建老年人档案和儿童档案，对于确诊为传染病的病人，可创建传染病报告卡。</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d就诊历史记录</w:t>
      </w:r>
    </w:p>
    <w:p>
      <w:pPr>
        <w:pStyle w:val="389"/>
        <w:rPr>
          <w:color w:val="auto"/>
          <w:szCs w:val="24"/>
        </w:rPr>
      </w:pPr>
      <w:r>
        <w:rPr>
          <w:rFonts w:hint="eastAsia"/>
          <w:color w:val="auto"/>
          <w:szCs w:val="24"/>
          <w:lang w:bidi="ar"/>
        </w:rPr>
        <w:t>提供按当前科室、当前医生、卡号等查询在该机构下已就诊的病人就诊历史记录，提供分别按照处方、处置、病历打印的功能。</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e门诊工作日志</w:t>
      </w:r>
    </w:p>
    <w:p>
      <w:pPr>
        <w:pStyle w:val="389"/>
        <w:rPr>
          <w:color w:val="auto"/>
          <w:szCs w:val="24"/>
        </w:rPr>
      </w:pPr>
      <w:r>
        <w:rPr>
          <w:rFonts w:hint="eastAsia"/>
          <w:color w:val="auto"/>
          <w:szCs w:val="24"/>
          <w:lang w:bidi="ar"/>
        </w:rPr>
        <w:t>记录已发生的门诊诊疗相关情况。提供按时间段查询功能以及打印工作日志列表功能。</w:t>
      </w:r>
    </w:p>
    <w:bookmarkEnd w:id="58"/>
    <w:bookmarkEnd w:id="59"/>
    <w:p>
      <w:pPr>
        <w:pStyle w:val="7"/>
        <w:spacing w:before="0" w:after="0" w:line="360" w:lineRule="auto"/>
        <w:ind w:left="992" w:hanging="992"/>
        <w:rPr>
          <w:rFonts w:ascii="宋体" w:hAnsi="宋体" w:eastAsia="宋体"/>
          <w:color w:val="auto"/>
        </w:rPr>
      </w:pPr>
      <w:bookmarkStart w:id="71" w:name="_Toc356145502"/>
      <w:r>
        <w:rPr>
          <w:rFonts w:hint="eastAsia" w:ascii="宋体" w:hAnsi="宋体" w:eastAsia="宋体"/>
          <w:color w:val="auto"/>
        </w:rPr>
        <w:t>f常用组套维护</w:t>
      </w:r>
      <w:bookmarkEnd w:id="71"/>
    </w:p>
    <w:p>
      <w:pPr>
        <w:pStyle w:val="389"/>
        <w:rPr>
          <w:color w:val="auto"/>
          <w:szCs w:val="24"/>
        </w:rPr>
      </w:pPr>
      <w:r>
        <w:rPr>
          <w:rFonts w:hint="eastAsia"/>
          <w:color w:val="auto"/>
          <w:szCs w:val="24"/>
          <w:lang w:bidi="ar"/>
        </w:rPr>
        <w:t>提供处方组套维护功能，可分别按照西药、中药、草药进行组套，并对已组套提供禁用、开启功能；提供个人常用药维护功能。</w:t>
      </w:r>
    </w:p>
    <w:p>
      <w:pPr>
        <w:pStyle w:val="389"/>
        <w:rPr>
          <w:color w:val="auto"/>
          <w:szCs w:val="24"/>
        </w:rPr>
      </w:pPr>
      <w:r>
        <w:rPr>
          <w:rFonts w:hint="eastAsia"/>
          <w:color w:val="auto"/>
          <w:szCs w:val="24"/>
          <w:lang w:bidi="ar"/>
        </w:rPr>
        <w:t>提供个人常用项目组套维护功能，可进行新增、修改、删除组套等操作，同时对已组套提供禁用、开启功能。</w:t>
      </w:r>
    </w:p>
    <w:p>
      <w:pPr>
        <w:pStyle w:val="7"/>
        <w:spacing w:before="0" w:after="0" w:line="360" w:lineRule="auto"/>
        <w:ind w:left="992" w:hanging="992"/>
        <w:rPr>
          <w:rFonts w:ascii="宋体" w:hAnsi="宋体" w:eastAsia="宋体"/>
          <w:color w:val="auto"/>
        </w:rPr>
      </w:pPr>
      <w:bookmarkStart w:id="72" w:name="_Toc356145504"/>
      <w:r>
        <w:rPr>
          <w:rFonts w:hint="eastAsia" w:ascii="宋体" w:hAnsi="宋体" w:eastAsia="宋体"/>
          <w:color w:val="auto"/>
        </w:rPr>
        <w:t>g常用诊断维护</w:t>
      </w:r>
      <w:bookmarkEnd w:id="72"/>
    </w:p>
    <w:p>
      <w:pPr>
        <w:pStyle w:val="389"/>
        <w:rPr>
          <w:color w:val="auto"/>
          <w:szCs w:val="24"/>
        </w:rPr>
      </w:pPr>
      <w:r>
        <w:rPr>
          <w:rFonts w:hint="eastAsia"/>
          <w:color w:val="auto"/>
          <w:szCs w:val="24"/>
          <w:lang w:bidi="ar"/>
        </w:rPr>
        <w:t>提供项常用诊断维护功能。</w:t>
      </w:r>
    </w:p>
    <w:p>
      <w:pPr>
        <w:pStyle w:val="7"/>
        <w:spacing w:before="0" w:after="0" w:line="360" w:lineRule="auto"/>
        <w:ind w:left="992" w:hanging="992"/>
        <w:rPr>
          <w:rFonts w:ascii="宋体" w:hAnsi="宋体" w:eastAsia="宋体"/>
          <w:color w:val="auto"/>
        </w:rPr>
      </w:pPr>
      <w:bookmarkStart w:id="73" w:name="_Toc356145505"/>
      <w:r>
        <w:rPr>
          <w:rFonts w:hint="eastAsia" w:ascii="宋体" w:hAnsi="宋体" w:eastAsia="宋体"/>
          <w:color w:val="auto"/>
        </w:rPr>
        <w:t>h病历模板维护</w:t>
      </w:r>
      <w:bookmarkEnd w:id="73"/>
    </w:p>
    <w:p>
      <w:pPr>
        <w:pStyle w:val="389"/>
        <w:rPr>
          <w:color w:val="auto"/>
          <w:szCs w:val="24"/>
        </w:rPr>
      </w:pPr>
      <w:r>
        <w:rPr>
          <w:rFonts w:hint="eastAsia"/>
          <w:color w:val="auto"/>
          <w:szCs w:val="24"/>
          <w:lang w:bidi="ar"/>
        </w:rPr>
        <w:t>提供个人</w:t>
      </w:r>
      <w:r>
        <w:rPr>
          <w:rFonts w:hint="eastAsia"/>
          <w:color w:val="auto"/>
          <w:szCs w:val="24"/>
          <w:lang w:eastAsia="zh-CN" w:bidi="ar"/>
        </w:rPr>
        <w:t>及专科</w:t>
      </w:r>
      <w:r>
        <w:rPr>
          <w:rFonts w:hint="eastAsia"/>
          <w:color w:val="auto"/>
          <w:szCs w:val="24"/>
          <w:lang w:bidi="ar"/>
        </w:rPr>
        <w:t>常用病历模板维护功能，可进行新增、修改、删除模板等操作，同时对已创建的病历模板提供禁用、开启功能。</w:t>
      </w:r>
    </w:p>
    <w:p>
      <w:pPr>
        <w:pStyle w:val="7"/>
        <w:spacing w:before="0" w:after="0" w:line="360" w:lineRule="auto"/>
        <w:ind w:left="992" w:hanging="992"/>
        <w:rPr>
          <w:rFonts w:ascii="宋体" w:hAnsi="宋体" w:eastAsia="宋体"/>
          <w:color w:val="auto"/>
        </w:rPr>
      </w:pPr>
      <w:bookmarkStart w:id="74" w:name="_Toc356145506"/>
      <w:r>
        <w:rPr>
          <w:rFonts w:hint="eastAsia" w:ascii="宋体" w:hAnsi="宋体" w:eastAsia="宋体"/>
          <w:color w:val="auto"/>
        </w:rPr>
        <w:t>i诊疗方案维护</w:t>
      </w:r>
      <w:bookmarkEnd w:id="74"/>
    </w:p>
    <w:p>
      <w:pPr>
        <w:pStyle w:val="389"/>
        <w:rPr>
          <w:color w:val="auto"/>
          <w:szCs w:val="24"/>
        </w:rPr>
      </w:pPr>
      <w:r>
        <w:rPr>
          <w:rFonts w:hint="eastAsia"/>
          <w:color w:val="auto"/>
          <w:szCs w:val="24"/>
          <w:lang w:bidi="ar"/>
        </w:rPr>
        <w:t>提供全套的诊疗方案模板维护，前提是先维护好常用诊断、处方组套、项目组套、病历模板。在门诊全科工作站中支持直接调用诊疗方案模板，实现同类病情解决方案的最高效录入。</w:t>
      </w:r>
    </w:p>
    <w:p>
      <w:pPr>
        <w:pStyle w:val="389"/>
        <w:rPr>
          <w:color w:val="auto"/>
          <w:szCs w:val="24"/>
        </w:rPr>
      </w:pPr>
      <w:r>
        <w:rPr>
          <w:rFonts w:hint="eastAsia"/>
          <w:color w:val="auto"/>
          <w:szCs w:val="24"/>
          <w:lang w:bidi="ar"/>
        </w:rPr>
        <w:t>健康信息服务</w:t>
      </w:r>
    </w:p>
    <w:p>
      <w:pPr>
        <w:pStyle w:val="389"/>
        <w:rPr>
          <w:color w:val="auto"/>
          <w:szCs w:val="24"/>
        </w:rPr>
      </w:pPr>
      <w:r>
        <w:rPr>
          <w:rFonts w:hint="eastAsia"/>
          <w:color w:val="auto"/>
          <w:szCs w:val="24"/>
          <w:lang w:bidi="ar"/>
        </w:rPr>
        <w:t>本产品遵循国家规范文件建设以健康档案为基础的居民健康互动平台，整合医院与社区卫生信息系统，通过联通现有的医疗信息系统提供城市居民基本健康状况和社区卫生服务的完整资料，为居民享受基本医疗和公共卫生服务、开展健康咨询提供服务平台。</w:t>
      </w:r>
    </w:p>
    <w:p>
      <w:pPr>
        <w:pStyle w:val="6"/>
        <w:spacing w:before="0" w:after="0" w:line="360" w:lineRule="auto"/>
        <w:ind w:left="851" w:hanging="851"/>
        <w:rPr>
          <w:rFonts w:ascii="宋体" w:hAnsi="宋体"/>
          <w:color w:val="auto"/>
          <w:sz w:val="24"/>
          <w:szCs w:val="24"/>
        </w:rPr>
      </w:pPr>
      <w:bookmarkStart w:id="75" w:name="_Toc26350"/>
      <w:bookmarkStart w:id="76" w:name="_Hlk150172923"/>
      <w:bookmarkStart w:id="77" w:name="_Toc28084"/>
      <w:bookmarkStart w:id="78" w:name="_Toc286647720"/>
      <w:r>
        <w:rPr>
          <w:rFonts w:hint="eastAsia" w:ascii="宋体" w:hAnsi="宋体"/>
          <w:color w:val="auto"/>
          <w:sz w:val="24"/>
          <w:szCs w:val="24"/>
        </w:rPr>
        <w:t>（4）门诊护士</w:t>
      </w:r>
      <w:bookmarkEnd w:id="75"/>
      <w:r>
        <w:rPr>
          <w:rFonts w:hint="eastAsia" w:ascii="宋体" w:hAnsi="宋体" w:cs="微软雅黑"/>
          <w:color w:val="auto"/>
          <w:sz w:val="24"/>
          <w:szCs w:val="24"/>
          <w:shd w:val="clear" w:color="auto" w:fill="FFFFFF"/>
        </w:rPr>
        <w:t>（需提供演示）</w:t>
      </w:r>
    </w:p>
    <w:bookmarkEnd w:id="76"/>
    <w:p>
      <w:pPr>
        <w:pStyle w:val="7"/>
        <w:spacing w:before="0" w:after="0" w:line="360" w:lineRule="auto"/>
        <w:ind w:left="992" w:hanging="992"/>
        <w:rPr>
          <w:rFonts w:ascii="宋体" w:hAnsi="宋体" w:eastAsia="宋体"/>
          <w:color w:val="auto"/>
        </w:rPr>
      </w:pPr>
      <w:bookmarkStart w:id="79" w:name="_Hlk150256471"/>
      <w:r>
        <w:rPr>
          <w:rFonts w:hint="eastAsia" w:ascii="宋体" w:hAnsi="宋体" w:eastAsia="宋体"/>
          <w:color w:val="auto"/>
        </w:rPr>
        <w:t>a皮试处理</w:t>
      </w:r>
    </w:p>
    <w:p>
      <w:pPr>
        <w:pStyle w:val="389"/>
        <w:rPr>
          <w:color w:val="auto"/>
          <w:szCs w:val="24"/>
        </w:rPr>
      </w:pPr>
      <w:r>
        <w:rPr>
          <w:rFonts w:hint="eastAsia"/>
          <w:color w:val="auto"/>
          <w:szCs w:val="24"/>
          <w:lang w:bidi="ar"/>
        </w:rPr>
        <w:t>对门诊医生站开具的有皮试药品处方进行皮试处理，可针对药品信息设置的原液皮试和非原液皮试判断是否先收费后皮试，并对皮试结果为阳性的患者自动产生其对应的过敏史。</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b取消皮试</w:t>
      </w:r>
    </w:p>
    <w:p>
      <w:pPr>
        <w:pStyle w:val="389"/>
        <w:rPr>
          <w:color w:val="auto"/>
          <w:szCs w:val="24"/>
        </w:rPr>
      </w:pPr>
      <w:r>
        <w:rPr>
          <w:rFonts w:hint="eastAsia"/>
          <w:color w:val="auto"/>
          <w:szCs w:val="24"/>
          <w:lang w:bidi="ar"/>
        </w:rPr>
        <w:t>将已经皮试处理的皮试药品进行取消皮试，使皮试药品可重新皮试处理。</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c预检分诊</w:t>
      </w:r>
    </w:p>
    <w:p>
      <w:pPr>
        <w:pStyle w:val="389"/>
        <w:rPr>
          <w:color w:val="auto"/>
          <w:szCs w:val="24"/>
        </w:rPr>
      </w:pPr>
      <w:r>
        <w:rPr>
          <w:rFonts w:hint="eastAsia"/>
          <w:color w:val="auto"/>
          <w:szCs w:val="24"/>
          <w:lang w:bidi="ar"/>
        </w:rPr>
        <w:t>针对进入基层医疗机构的患者进行预检分诊，并提前进行生命体征采集及临床症状询问。同时支持采集到的患者信息同步至门诊医生病历内。</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d分诊查询</w:t>
      </w:r>
    </w:p>
    <w:p>
      <w:pPr>
        <w:pStyle w:val="389"/>
        <w:rPr>
          <w:color w:val="auto"/>
          <w:szCs w:val="24"/>
        </w:rPr>
      </w:pPr>
      <w:r>
        <w:rPr>
          <w:rFonts w:hint="eastAsia"/>
          <w:color w:val="auto"/>
          <w:szCs w:val="24"/>
          <w:lang w:bidi="ar"/>
        </w:rPr>
        <w:t>支持通过日期、分诊去向、病人姓名等查询条件对于进行预检分诊患者进行信息查询及统计。</w:t>
      </w:r>
    </w:p>
    <w:bookmarkEnd w:id="79"/>
    <w:p>
      <w:pPr>
        <w:pStyle w:val="6"/>
        <w:spacing w:before="0" w:after="0" w:line="360" w:lineRule="auto"/>
        <w:ind w:left="851" w:hanging="851"/>
        <w:rPr>
          <w:rFonts w:ascii="宋体" w:hAnsi="宋体" w:cs="宋体"/>
          <w:color w:val="auto"/>
          <w:sz w:val="24"/>
          <w:szCs w:val="24"/>
          <w:lang w:bidi="ar"/>
        </w:rPr>
      </w:pPr>
      <w:bookmarkStart w:id="80" w:name="_Hlk150172927"/>
      <w:r>
        <w:rPr>
          <w:rFonts w:hint="eastAsia" w:ascii="宋体" w:hAnsi="宋体" w:cs="宋体"/>
          <w:color w:val="auto"/>
          <w:sz w:val="24"/>
          <w:szCs w:val="24"/>
          <w:lang w:bidi="ar"/>
        </w:rPr>
        <w:t>（5）</w:t>
      </w:r>
      <w:r>
        <w:rPr>
          <w:rFonts w:hint="eastAsia" w:ascii="宋体" w:hAnsi="宋体" w:cs="宋体"/>
          <w:color w:val="auto"/>
          <w:kern w:val="0"/>
          <w:sz w:val="24"/>
          <w:szCs w:val="24"/>
        </w:rPr>
        <w:t>疾病监管协同系统</w:t>
      </w:r>
      <w:r>
        <w:rPr>
          <w:rFonts w:hint="eastAsia" w:ascii="宋体" w:hAnsi="宋体" w:cs="微软雅黑"/>
          <w:color w:val="auto"/>
          <w:sz w:val="24"/>
          <w:szCs w:val="24"/>
          <w:shd w:val="clear" w:color="auto" w:fill="FFFFFF"/>
        </w:rPr>
        <w:t>（需提供演示）</w:t>
      </w:r>
    </w:p>
    <w:bookmarkEnd w:id="80"/>
    <w:p>
      <w:pPr>
        <w:pStyle w:val="389"/>
        <w:rPr>
          <w:color w:val="auto"/>
          <w:szCs w:val="24"/>
        </w:rPr>
      </w:pPr>
      <w:bookmarkStart w:id="81" w:name="_Hlk150256459"/>
      <w:r>
        <w:rPr>
          <w:rFonts w:hint="eastAsia"/>
          <w:color w:val="auto"/>
          <w:szCs w:val="24"/>
          <w:lang w:bidi="ar"/>
        </w:rPr>
        <w:t>对接DSCS传染病报卡，支持基本信息互通。支持对传染病报卡的维护、审核、上报、统计和导出功能。</w:t>
      </w:r>
    </w:p>
    <w:p>
      <w:pPr>
        <w:pStyle w:val="389"/>
        <w:rPr>
          <w:color w:val="auto"/>
          <w:szCs w:val="24"/>
          <w:lang w:bidi="ar"/>
        </w:rPr>
      </w:pPr>
      <w:r>
        <w:rPr>
          <w:rFonts w:hint="eastAsia"/>
          <w:color w:val="auto"/>
          <w:szCs w:val="24"/>
          <w:lang w:bidi="ar"/>
        </w:rPr>
        <w:t>支持在系统内根据诊断进行慢病报卡的提醒和填写，提供规范的疾病报卡页面，并在报卡过程中提供逻辑校验、自动排重和漏报监控。</w:t>
      </w:r>
    </w:p>
    <w:bookmarkEnd w:id="81"/>
    <w:p>
      <w:pPr>
        <w:pStyle w:val="6"/>
        <w:spacing w:before="0" w:after="0" w:line="360" w:lineRule="auto"/>
        <w:ind w:left="851" w:hanging="851"/>
        <w:rPr>
          <w:rFonts w:ascii="宋体" w:hAnsi="宋体"/>
          <w:color w:val="auto"/>
          <w:sz w:val="24"/>
          <w:szCs w:val="24"/>
        </w:rPr>
      </w:pPr>
      <w:r>
        <w:rPr>
          <w:rFonts w:hint="eastAsia" w:ascii="宋体" w:hAnsi="宋体"/>
          <w:color w:val="auto"/>
          <w:sz w:val="24"/>
          <w:szCs w:val="24"/>
        </w:rPr>
        <w:t>（6）双向转诊</w:t>
      </w:r>
    </w:p>
    <w:bookmarkEnd w:id="77"/>
    <w:bookmarkEnd w:id="78"/>
    <w:p>
      <w:pPr>
        <w:pStyle w:val="7"/>
        <w:spacing w:before="0" w:after="0" w:line="360" w:lineRule="auto"/>
        <w:ind w:left="992" w:hanging="992"/>
        <w:rPr>
          <w:rFonts w:hint="eastAsia" w:ascii="宋体" w:hAnsi="宋体" w:eastAsia="宋体" w:cs="宋体"/>
          <w:color w:val="auto"/>
        </w:rPr>
      </w:pPr>
      <w:bookmarkStart w:id="82" w:name="_Hlk150172931"/>
      <w:bookmarkStart w:id="83" w:name="_Toc2475"/>
      <w:r>
        <w:rPr>
          <w:rFonts w:hint="eastAsia" w:ascii="宋体" w:hAnsi="宋体" w:eastAsia="宋体" w:cs="宋体"/>
          <w:color w:val="auto"/>
        </w:rPr>
        <w:t>a转诊申请</w:t>
      </w:r>
      <w:r>
        <w:rPr>
          <w:rFonts w:hint="eastAsia" w:ascii="宋体" w:hAnsi="宋体" w:eastAsia="宋体" w:cs="宋体"/>
          <w:color w:val="auto"/>
          <w:shd w:val="clear" w:color="auto" w:fill="FFFFFF"/>
        </w:rPr>
        <w:t>（需提供演示）</w:t>
      </w:r>
    </w:p>
    <w:bookmarkEnd w:id="82"/>
    <w:p>
      <w:pPr>
        <w:pStyle w:val="389"/>
        <w:rPr>
          <w:color w:val="auto"/>
          <w:szCs w:val="24"/>
        </w:rPr>
      </w:pPr>
      <w:bookmarkStart w:id="84" w:name="_Hlk150256498"/>
      <w:r>
        <w:rPr>
          <w:rFonts w:hint="eastAsia"/>
          <w:color w:val="auto"/>
          <w:szCs w:val="24"/>
          <w:lang w:bidi="ar"/>
        </w:rPr>
        <w:t>社区服务中心撰写病情摘要，在填写转诊申请单提交转诊申请单到医院，医院通过病情情况确定是否需要接收该病人，如果转诊被接收，社区服务中心通知病人将预约信息提供给患者，支持根据电子预约单进行就诊。</w:t>
      </w:r>
    </w:p>
    <w:bookmarkEnd w:id="84"/>
    <w:p>
      <w:pPr>
        <w:pStyle w:val="7"/>
        <w:spacing w:before="0" w:after="0" w:line="360" w:lineRule="auto"/>
        <w:ind w:left="992" w:hanging="992"/>
        <w:rPr>
          <w:rFonts w:ascii="宋体" w:hAnsi="宋体" w:eastAsia="宋体"/>
          <w:color w:val="auto"/>
        </w:rPr>
      </w:pPr>
      <w:r>
        <w:rPr>
          <w:rFonts w:hint="eastAsia" w:ascii="宋体" w:hAnsi="宋体" w:eastAsia="宋体"/>
          <w:color w:val="auto"/>
        </w:rPr>
        <w:t>b检验检查记录</w:t>
      </w:r>
    </w:p>
    <w:p>
      <w:pPr>
        <w:pStyle w:val="389"/>
        <w:rPr>
          <w:color w:val="auto"/>
          <w:szCs w:val="24"/>
        </w:rPr>
      </w:pPr>
      <w:r>
        <w:rPr>
          <w:rFonts w:hint="eastAsia"/>
          <w:color w:val="auto"/>
          <w:szCs w:val="24"/>
          <w:lang w:bidi="ar"/>
        </w:rPr>
        <w:t>大型医院在完成检验检查后将结果反馈于社区服务中心，全科医生根据检验检查单定义诊断。</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c统计分析</w:t>
      </w:r>
    </w:p>
    <w:p>
      <w:pPr>
        <w:pStyle w:val="389"/>
        <w:rPr>
          <w:color w:val="auto"/>
          <w:szCs w:val="24"/>
        </w:rPr>
      </w:pPr>
      <w:r>
        <w:rPr>
          <w:rFonts w:hint="eastAsia"/>
          <w:color w:val="auto"/>
          <w:szCs w:val="24"/>
          <w:lang w:bidi="ar"/>
        </w:rPr>
        <w:t>统计转诊费用情况，统计上下转诊预约成功、失败人次情况，列出各类项目预约人次。</w:t>
      </w:r>
    </w:p>
    <w:p>
      <w:pPr>
        <w:pStyle w:val="5"/>
        <w:spacing w:before="0" w:after="0" w:line="360" w:lineRule="auto"/>
        <w:ind w:left="709" w:hanging="709"/>
        <w:rPr>
          <w:rFonts w:ascii="宋体" w:hAnsi="宋体" w:eastAsia="宋体"/>
          <w:color w:val="auto"/>
          <w:sz w:val="24"/>
          <w:szCs w:val="24"/>
          <w:lang w:val="en-US"/>
        </w:rPr>
      </w:pPr>
      <w:r>
        <w:rPr>
          <w:rFonts w:hint="eastAsia" w:ascii="宋体" w:hAnsi="宋体" w:eastAsia="宋体"/>
          <w:color w:val="auto"/>
          <w:sz w:val="24"/>
          <w:szCs w:val="24"/>
          <w:lang w:val="en-US"/>
        </w:rPr>
        <w:t>4.1.2</w:t>
      </w:r>
      <w:r>
        <w:rPr>
          <w:rFonts w:hint="eastAsia" w:ascii="宋体" w:hAnsi="宋体" w:eastAsia="宋体"/>
          <w:color w:val="auto"/>
          <w:sz w:val="24"/>
          <w:szCs w:val="24"/>
        </w:rPr>
        <w:t>、住院</w:t>
      </w:r>
      <w:bookmarkEnd w:id="83"/>
      <w:r>
        <w:rPr>
          <w:rFonts w:hint="eastAsia" w:ascii="宋体" w:hAnsi="宋体" w:eastAsia="宋体"/>
          <w:color w:val="auto"/>
          <w:sz w:val="24"/>
          <w:szCs w:val="24"/>
        </w:rPr>
        <w:t>管理</w:t>
      </w:r>
      <w:r>
        <w:rPr>
          <w:rFonts w:hint="eastAsia" w:ascii="宋体" w:hAnsi="宋体" w:eastAsia="宋体"/>
          <w:color w:val="auto"/>
          <w:sz w:val="24"/>
          <w:szCs w:val="24"/>
          <w:lang w:val="en-US"/>
        </w:rPr>
        <w:t>（</w:t>
      </w:r>
      <w:r>
        <w:rPr>
          <w:rFonts w:hint="eastAsia" w:ascii="宋体" w:hAnsi="宋体" w:eastAsia="宋体"/>
          <w:color w:val="auto"/>
          <w:sz w:val="24"/>
          <w:szCs w:val="24"/>
        </w:rPr>
        <w:t>家庭病房</w:t>
      </w:r>
      <w:r>
        <w:rPr>
          <w:rFonts w:hint="eastAsia" w:ascii="宋体" w:hAnsi="宋体" w:eastAsia="宋体"/>
          <w:color w:val="auto"/>
          <w:sz w:val="24"/>
          <w:szCs w:val="24"/>
          <w:lang w:val="en-US"/>
        </w:rPr>
        <w:t>）</w:t>
      </w:r>
    </w:p>
    <w:p>
      <w:pPr>
        <w:pStyle w:val="6"/>
        <w:spacing w:before="0" w:after="0" w:line="360" w:lineRule="auto"/>
        <w:ind w:left="851" w:hanging="851"/>
        <w:rPr>
          <w:rFonts w:ascii="宋体" w:hAnsi="宋体"/>
          <w:color w:val="auto"/>
          <w:sz w:val="24"/>
          <w:szCs w:val="24"/>
        </w:rPr>
      </w:pPr>
      <w:bookmarkStart w:id="85" w:name="_Toc25125"/>
      <w:bookmarkStart w:id="86" w:name="_Toc356145507"/>
      <w:r>
        <w:rPr>
          <w:rFonts w:hint="eastAsia" w:ascii="宋体" w:hAnsi="宋体"/>
          <w:color w:val="auto"/>
          <w:sz w:val="24"/>
          <w:szCs w:val="24"/>
        </w:rPr>
        <w:t>（1）住院管理</w:t>
      </w:r>
      <w:bookmarkEnd w:id="85"/>
      <w:bookmarkEnd w:id="86"/>
    </w:p>
    <w:p>
      <w:pPr>
        <w:pStyle w:val="7"/>
        <w:spacing w:before="0" w:after="0" w:line="360" w:lineRule="auto"/>
        <w:ind w:left="992" w:hanging="992"/>
        <w:rPr>
          <w:rFonts w:ascii="宋体" w:hAnsi="宋体" w:eastAsia="宋体"/>
          <w:color w:val="auto"/>
        </w:rPr>
      </w:pPr>
      <w:bookmarkStart w:id="87" w:name="_Toc345943754"/>
      <w:bookmarkStart w:id="88" w:name="_Toc356145508"/>
      <w:r>
        <w:rPr>
          <w:rFonts w:hint="eastAsia" w:ascii="宋体" w:hAnsi="宋体" w:eastAsia="宋体"/>
          <w:color w:val="auto"/>
        </w:rPr>
        <w:t>a入院登记</w:t>
      </w:r>
      <w:bookmarkEnd w:id="87"/>
      <w:bookmarkEnd w:id="88"/>
    </w:p>
    <w:p>
      <w:pPr>
        <w:pStyle w:val="389"/>
        <w:rPr>
          <w:color w:val="auto"/>
          <w:szCs w:val="24"/>
        </w:rPr>
      </w:pPr>
      <w:r>
        <w:rPr>
          <w:rFonts w:hint="eastAsia"/>
          <w:color w:val="auto"/>
          <w:szCs w:val="24"/>
          <w:lang w:bidi="ar"/>
        </w:rPr>
        <w:t>对住院病人办理入院手续。可通病人档案、诊号码、卡号等调入病人登记入院，也可通过身份证调入病人信息，支持医保刷卡功能，使用前必须维护好操作员使用的发票号码和缴款收据号码，可在系统选项中设置入院登记时是否分配床位和缴款等。</w:t>
      </w:r>
    </w:p>
    <w:p>
      <w:pPr>
        <w:pStyle w:val="7"/>
        <w:spacing w:before="0" w:after="0" w:line="360" w:lineRule="auto"/>
        <w:ind w:left="992" w:hanging="992"/>
        <w:rPr>
          <w:rFonts w:ascii="宋体" w:hAnsi="宋体" w:eastAsia="宋体"/>
          <w:color w:val="auto"/>
        </w:rPr>
      </w:pPr>
      <w:bookmarkStart w:id="89" w:name="_Toc356145509"/>
      <w:r>
        <w:rPr>
          <w:rFonts w:hint="eastAsia" w:ascii="宋体" w:hAnsi="宋体" w:eastAsia="宋体"/>
          <w:color w:val="auto"/>
        </w:rPr>
        <w:t>b病人管理</w:t>
      </w:r>
      <w:bookmarkEnd w:id="89"/>
    </w:p>
    <w:p>
      <w:pPr>
        <w:pStyle w:val="389"/>
        <w:rPr>
          <w:color w:val="auto"/>
          <w:szCs w:val="24"/>
        </w:rPr>
      </w:pPr>
      <w:r>
        <w:rPr>
          <w:rFonts w:hint="eastAsia"/>
          <w:color w:val="auto"/>
          <w:szCs w:val="24"/>
          <w:lang w:bidi="ar"/>
        </w:rPr>
        <w:t>管理当前医疗机构内已办理入院登记手续的病人，包括已打出院证明的病人（备注信息标注为临床出院）,开出院证明的病人不能再修改,转换,注销等,该处的功能包括病人档案修改、查看、注销、病人性质转换，病人账户查询等子功能</w:t>
      </w:r>
    </w:p>
    <w:p>
      <w:pPr>
        <w:pStyle w:val="7"/>
        <w:spacing w:before="0" w:after="0" w:line="360" w:lineRule="auto"/>
        <w:ind w:left="992" w:hanging="992"/>
        <w:rPr>
          <w:rFonts w:ascii="宋体" w:hAnsi="宋体" w:eastAsia="宋体"/>
          <w:color w:val="auto"/>
        </w:rPr>
      </w:pPr>
      <w:bookmarkStart w:id="90" w:name="_Toc356145510"/>
      <w:r>
        <w:rPr>
          <w:rFonts w:hint="eastAsia" w:ascii="宋体" w:hAnsi="宋体" w:eastAsia="宋体"/>
          <w:color w:val="auto"/>
        </w:rPr>
        <w:t>c床位管理</w:t>
      </w:r>
      <w:bookmarkEnd w:id="90"/>
    </w:p>
    <w:p>
      <w:pPr>
        <w:pStyle w:val="389"/>
        <w:rPr>
          <w:color w:val="auto"/>
          <w:szCs w:val="24"/>
        </w:rPr>
      </w:pPr>
      <w:r>
        <w:rPr>
          <w:rFonts w:hint="eastAsia"/>
          <w:color w:val="auto"/>
          <w:szCs w:val="24"/>
          <w:lang w:bidi="ar"/>
        </w:rPr>
        <w:t>对各病区的床位分配病人，可对床位进行分配，并可对已分配床位进行转床、退床等操作。</w:t>
      </w:r>
    </w:p>
    <w:p>
      <w:pPr>
        <w:pStyle w:val="7"/>
        <w:spacing w:before="0" w:after="0" w:line="360" w:lineRule="auto"/>
        <w:ind w:left="992" w:hanging="992"/>
        <w:rPr>
          <w:rFonts w:ascii="宋体" w:hAnsi="宋体" w:eastAsia="宋体"/>
          <w:color w:val="auto"/>
        </w:rPr>
      </w:pPr>
      <w:bookmarkStart w:id="91" w:name="_Toc356145511"/>
      <w:r>
        <w:rPr>
          <w:rFonts w:hint="eastAsia" w:ascii="宋体" w:hAnsi="宋体" w:eastAsia="宋体"/>
          <w:color w:val="auto"/>
        </w:rPr>
        <w:t>d缴款管理</w:t>
      </w:r>
      <w:bookmarkEnd w:id="91"/>
    </w:p>
    <w:p>
      <w:pPr>
        <w:pStyle w:val="389"/>
        <w:rPr>
          <w:color w:val="auto"/>
          <w:szCs w:val="24"/>
        </w:rPr>
      </w:pPr>
      <w:r>
        <w:rPr>
          <w:rFonts w:hint="eastAsia"/>
          <w:color w:val="auto"/>
          <w:szCs w:val="24"/>
          <w:lang w:bidi="ar"/>
        </w:rPr>
        <w:t>对住院病人缴款处理和查询住院病人的所有缴款记录，并可对缴款记录进行注销操作，注销后账户内金额会自动减少相应的金额，缴款操作前必须设置住院系统当前操作员的缴款票据号码。</w:t>
      </w:r>
    </w:p>
    <w:p>
      <w:pPr>
        <w:pStyle w:val="7"/>
        <w:spacing w:before="0" w:after="0" w:line="360" w:lineRule="auto"/>
        <w:ind w:left="992" w:hanging="992"/>
        <w:rPr>
          <w:rFonts w:ascii="宋体" w:hAnsi="宋体" w:eastAsia="宋体"/>
          <w:color w:val="auto"/>
        </w:rPr>
      </w:pPr>
      <w:bookmarkStart w:id="92" w:name="_Toc356145512"/>
      <w:r>
        <w:rPr>
          <w:rFonts w:hint="eastAsia" w:ascii="宋体" w:hAnsi="宋体" w:eastAsia="宋体"/>
          <w:color w:val="auto"/>
        </w:rPr>
        <w:t>e费用记账</w:t>
      </w:r>
      <w:bookmarkEnd w:id="92"/>
    </w:p>
    <w:p>
      <w:pPr>
        <w:pStyle w:val="389"/>
        <w:rPr>
          <w:color w:val="auto"/>
          <w:szCs w:val="24"/>
        </w:rPr>
      </w:pPr>
      <w:r>
        <w:rPr>
          <w:rFonts w:hint="eastAsia"/>
          <w:color w:val="auto"/>
          <w:szCs w:val="24"/>
          <w:lang w:bidi="ar"/>
        </w:rPr>
        <w:t>对病人进行费用记账或退费操作，可记药品费用和项目费用（项目费用输入“.”+拼音码），此处药品取自药库内药品，即药库内有什么药品，这里即可调出什么药品。输入住院号码或床位号即可调出病人；同时提供对已记账费用明细查询。</w:t>
      </w:r>
    </w:p>
    <w:p>
      <w:pPr>
        <w:pStyle w:val="7"/>
        <w:spacing w:before="0" w:after="0" w:line="360" w:lineRule="auto"/>
        <w:ind w:left="992" w:hanging="992"/>
        <w:rPr>
          <w:rFonts w:ascii="宋体" w:hAnsi="宋体" w:eastAsia="宋体"/>
          <w:color w:val="auto"/>
        </w:rPr>
      </w:pPr>
      <w:bookmarkStart w:id="93" w:name="_Toc356145513"/>
      <w:r>
        <w:rPr>
          <w:rFonts w:hint="eastAsia" w:ascii="宋体" w:hAnsi="宋体" w:eastAsia="宋体"/>
          <w:color w:val="auto"/>
        </w:rPr>
        <w:t>f结算管理</w:t>
      </w:r>
      <w:bookmarkEnd w:id="93"/>
    </w:p>
    <w:p>
      <w:pPr>
        <w:pStyle w:val="389"/>
        <w:rPr>
          <w:color w:val="auto"/>
          <w:szCs w:val="24"/>
        </w:rPr>
      </w:pPr>
      <w:r>
        <w:rPr>
          <w:rFonts w:hint="eastAsia"/>
          <w:color w:val="auto"/>
          <w:szCs w:val="24"/>
          <w:lang w:bidi="ar"/>
        </w:rPr>
        <w:t>对完成临床出院的病人进行费用结算处理，需要根据自负费用总额和缴款金额计算出病人需要缴纳或者退找的金额，并完成病人出院、清空床位等，另外医保患者需上传住院费用明细。</w:t>
      </w:r>
    </w:p>
    <w:p>
      <w:pPr>
        <w:pStyle w:val="389"/>
        <w:rPr>
          <w:color w:val="auto"/>
          <w:szCs w:val="24"/>
        </w:rPr>
      </w:pPr>
      <w:r>
        <w:rPr>
          <w:rFonts w:hint="eastAsia"/>
          <w:color w:val="auto"/>
          <w:szCs w:val="24"/>
          <w:lang w:bidi="ar"/>
        </w:rPr>
        <w:t>支持住院病人中途结算。对于一些坏账、乱账，可进行出院终结。</w:t>
      </w:r>
    </w:p>
    <w:p>
      <w:pPr>
        <w:pStyle w:val="7"/>
        <w:spacing w:before="0" w:after="0" w:line="360" w:lineRule="auto"/>
        <w:ind w:left="992" w:hanging="992"/>
        <w:rPr>
          <w:rFonts w:ascii="宋体" w:hAnsi="宋体" w:eastAsia="宋体"/>
          <w:color w:val="auto"/>
        </w:rPr>
      </w:pPr>
      <w:bookmarkStart w:id="94" w:name="_Toc356145514"/>
      <w:r>
        <w:rPr>
          <w:rFonts w:hint="eastAsia" w:ascii="宋体" w:hAnsi="宋体" w:eastAsia="宋体"/>
          <w:color w:val="auto"/>
        </w:rPr>
        <w:t>g结算查询</w:t>
      </w:r>
      <w:bookmarkEnd w:id="94"/>
    </w:p>
    <w:p>
      <w:pPr>
        <w:pStyle w:val="389"/>
        <w:rPr>
          <w:color w:val="auto"/>
          <w:szCs w:val="24"/>
        </w:rPr>
      </w:pPr>
      <w:r>
        <w:rPr>
          <w:rFonts w:hint="eastAsia"/>
          <w:color w:val="auto"/>
          <w:szCs w:val="24"/>
          <w:lang w:bidi="ar"/>
        </w:rPr>
        <w:t>根据时间段、员工、科室、住院号、发票号条件等单独或组合查询当前医疗机构内各结算类型的病人费用情况。</w:t>
      </w:r>
    </w:p>
    <w:p>
      <w:pPr>
        <w:pStyle w:val="7"/>
        <w:spacing w:before="0" w:after="0" w:line="360" w:lineRule="auto"/>
        <w:ind w:left="992" w:hanging="992"/>
        <w:rPr>
          <w:rFonts w:ascii="宋体" w:hAnsi="宋体" w:eastAsia="宋体"/>
          <w:color w:val="auto"/>
        </w:rPr>
      </w:pPr>
      <w:bookmarkStart w:id="95" w:name="_Toc356145515"/>
      <w:r>
        <w:rPr>
          <w:rFonts w:hint="eastAsia" w:ascii="宋体" w:hAnsi="宋体" w:eastAsia="宋体"/>
          <w:color w:val="auto"/>
        </w:rPr>
        <w:t>h日终结账</w:t>
      </w:r>
      <w:bookmarkEnd w:id="95"/>
    </w:p>
    <w:p>
      <w:pPr>
        <w:pStyle w:val="389"/>
        <w:rPr>
          <w:color w:val="auto"/>
          <w:szCs w:val="24"/>
        </w:rPr>
      </w:pPr>
      <w:r>
        <w:rPr>
          <w:rFonts w:hint="eastAsia"/>
          <w:color w:val="auto"/>
          <w:szCs w:val="24"/>
          <w:lang w:bidi="ar"/>
        </w:rPr>
        <w:t>当前收款员对结算及缴款等费用进行结帐操作，主要是电脑帐和实际帐进行核对，结帐的时间范围是上次结帐时间到当前时间，一般是一日结帐一次，但是支持一日结帐多次。</w:t>
      </w:r>
    </w:p>
    <w:p>
      <w:pPr>
        <w:pStyle w:val="389"/>
        <w:rPr>
          <w:color w:val="auto"/>
          <w:szCs w:val="24"/>
        </w:rPr>
      </w:pPr>
      <w:r>
        <w:rPr>
          <w:rFonts w:hint="eastAsia"/>
          <w:color w:val="auto"/>
          <w:szCs w:val="24"/>
          <w:lang w:bidi="ar"/>
        </w:rPr>
        <w:t>医保支付的部分能够体现在结账报表的明细中。</w:t>
      </w:r>
    </w:p>
    <w:p>
      <w:pPr>
        <w:pStyle w:val="389"/>
        <w:rPr>
          <w:color w:val="auto"/>
          <w:szCs w:val="24"/>
        </w:rPr>
      </w:pPr>
      <w:r>
        <w:rPr>
          <w:rFonts w:hint="eastAsia"/>
          <w:color w:val="auto"/>
          <w:szCs w:val="24"/>
          <w:lang w:bidi="ar"/>
        </w:rPr>
        <w:t>能够取消最近一次未汇总的结账。</w:t>
      </w:r>
    </w:p>
    <w:p>
      <w:pPr>
        <w:pStyle w:val="7"/>
        <w:spacing w:before="0" w:after="0" w:line="360" w:lineRule="auto"/>
        <w:ind w:left="992" w:hanging="992"/>
        <w:rPr>
          <w:rFonts w:ascii="宋体" w:hAnsi="宋体" w:eastAsia="宋体"/>
          <w:color w:val="auto"/>
        </w:rPr>
      </w:pPr>
      <w:bookmarkStart w:id="96" w:name="_Toc356145516"/>
      <w:r>
        <w:rPr>
          <w:rFonts w:hint="eastAsia" w:ascii="宋体" w:hAnsi="宋体" w:eastAsia="宋体"/>
          <w:color w:val="auto"/>
        </w:rPr>
        <w:t>i日终汇总</w:t>
      </w:r>
      <w:bookmarkEnd w:id="96"/>
    </w:p>
    <w:p>
      <w:pPr>
        <w:pStyle w:val="389"/>
        <w:rPr>
          <w:color w:val="auto"/>
          <w:szCs w:val="24"/>
        </w:rPr>
      </w:pPr>
      <w:r>
        <w:rPr>
          <w:rFonts w:hint="eastAsia"/>
          <w:color w:val="auto"/>
          <w:szCs w:val="24"/>
          <w:lang w:bidi="ar"/>
        </w:rPr>
        <w:t>对所有收费员的结帐数据进行一个汇总操作，主要是电脑帐和实际帐进行核对，汇总的时间范围是上次汇总时间到当前时间；</w:t>
      </w:r>
    </w:p>
    <w:p>
      <w:pPr>
        <w:pStyle w:val="389"/>
        <w:rPr>
          <w:color w:val="auto"/>
          <w:szCs w:val="24"/>
        </w:rPr>
      </w:pPr>
      <w:r>
        <w:rPr>
          <w:rFonts w:hint="eastAsia"/>
          <w:color w:val="auto"/>
          <w:szCs w:val="24"/>
          <w:lang w:bidi="ar"/>
        </w:rPr>
        <w:t>对这段时间的医院收入进行汇总操作，但是这部分收入还没有全部进行过结帐处理,内容和格式都与不同；</w:t>
      </w:r>
    </w:p>
    <w:p>
      <w:pPr>
        <w:pStyle w:val="389"/>
        <w:rPr>
          <w:color w:val="auto"/>
          <w:szCs w:val="24"/>
        </w:rPr>
      </w:pPr>
      <w:r>
        <w:rPr>
          <w:rFonts w:hint="eastAsia"/>
          <w:color w:val="auto"/>
          <w:szCs w:val="24"/>
          <w:lang w:bidi="ar"/>
        </w:rPr>
        <w:t>日结汇总一日只可汇总一次。</w:t>
      </w:r>
    </w:p>
    <w:p>
      <w:pPr>
        <w:pStyle w:val="389"/>
        <w:rPr>
          <w:color w:val="auto"/>
          <w:szCs w:val="24"/>
        </w:rPr>
      </w:pPr>
      <w:r>
        <w:rPr>
          <w:rFonts w:hint="eastAsia"/>
          <w:color w:val="auto"/>
          <w:szCs w:val="24"/>
          <w:lang w:bidi="ar"/>
        </w:rPr>
        <w:t>医保支付的部分能够体现在汇总报表的明细中。</w:t>
      </w:r>
    </w:p>
    <w:p>
      <w:pPr>
        <w:pStyle w:val="389"/>
        <w:rPr>
          <w:color w:val="auto"/>
          <w:szCs w:val="24"/>
        </w:rPr>
      </w:pPr>
      <w:r>
        <w:rPr>
          <w:rFonts w:hint="eastAsia"/>
          <w:color w:val="auto"/>
          <w:szCs w:val="24"/>
          <w:lang w:bidi="ar"/>
        </w:rPr>
        <w:t>能够取消最近一次未月结的汇总。</w:t>
      </w:r>
    </w:p>
    <w:p>
      <w:pPr>
        <w:pStyle w:val="7"/>
        <w:spacing w:before="0" w:after="0" w:line="360" w:lineRule="auto"/>
        <w:ind w:left="992" w:hanging="992"/>
        <w:rPr>
          <w:rFonts w:ascii="宋体" w:hAnsi="宋体" w:eastAsia="宋体"/>
          <w:color w:val="auto"/>
        </w:rPr>
      </w:pPr>
      <w:bookmarkStart w:id="97" w:name="_Toc356145517"/>
      <w:r>
        <w:rPr>
          <w:rFonts w:hint="eastAsia" w:ascii="宋体" w:hAnsi="宋体" w:eastAsia="宋体"/>
          <w:color w:val="auto"/>
        </w:rPr>
        <w:t>j票据管理</w:t>
      </w:r>
      <w:bookmarkEnd w:id="97"/>
    </w:p>
    <w:p>
      <w:pPr>
        <w:pStyle w:val="389"/>
        <w:rPr>
          <w:color w:val="auto"/>
          <w:szCs w:val="24"/>
        </w:rPr>
      </w:pPr>
      <w:r>
        <w:rPr>
          <w:rFonts w:hint="eastAsia"/>
          <w:color w:val="auto"/>
          <w:szCs w:val="24"/>
          <w:lang w:bidi="ar"/>
        </w:rPr>
        <w:t>设置每个该系统操作员的结算发票号码和缴款发票号码。不设置该票据，操作员不能进行缴款和病人结算。已经在已有的起始号码和终止号码之间的号码，不能够被重复使用，号码被使用后，即不能被删除。</w:t>
      </w:r>
    </w:p>
    <w:p>
      <w:pPr>
        <w:pStyle w:val="7"/>
        <w:spacing w:before="0" w:after="0" w:line="360" w:lineRule="auto"/>
        <w:ind w:left="992" w:hanging="992"/>
        <w:rPr>
          <w:rFonts w:ascii="宋体" w:hAnsi="宋体" w:eastAsia="宋体"/>
          <w:color w:val="auto"/>
        </w:rPr>
      </w:pPr>
      <w:bookmarkStart w:id="98" w:name="_Toc356145518"/>
      <w:r>
        <w:rPr>
          <w:rFonts w:hint="eastAsia" w:ascii="宋体" w:hAnsi="宋体" w:eastAsia="宋体"/>
          <w:color w:val="auto"/>
        </w:rPr>
        <w:t>k床位设置</w:t>
      </w:r>
      <w:bookmarkEnd w:id="98"/>
    </w:p>
    <w:p>
      <w:pPr>
        <w:pStyle w:val="389"/>
        <w:rPr>
          <w:color w:val="auto"/>
          <w:szCs w:val="24"/>
        </w:rPr>
      </w:pPr>
      <w:r>
        <w:rPr>
          <w:rFonts w:hint="eastAsia"/>
          <w:color w:val="auto"/>
          <w:szCs w:val="24"/>
          <w:lang w:bidi="ar"/>
        </w:rPr>
        <w:t>设置各病区的床位和床位费等，设置床位所属的科室等信息。</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l催缴管理</w:t>
      </w:r>
    </w:p>
    <w:p>
      <w:pPr>
        <w:pStyle w:val="389"/>
        <w:rPr>
          <w:color w:val="auto"/>
          <w:szCs w:val="24"/>
        </w:rPr>
      </w:pPr>
      <w:r>
        <w:rPr>
          <w:rFonts w:hint="eastAsia"/>
          <w:color w:val="auto"/>
          <w:szCs w:val="24"/>
          <w:lang w:bidi="ar"/>
        </w:rPr>
        <w:t>医院欠费管理的一个组成部分，可根据科室、病区等条件查询已欠费住院病人，并提供在院欠费病人清单、催款单等打印功能。</w:t>
      </w:r>
    </w:p>
    <w:p>
      <w:pPr>
        <w:pStyle w:val="6"/>
        <w:spacing w:before="0" w:after="0" w:line="360" w:lineRule="auto"/>
        <w:ind w:left="851" w:hanging="851"/>
        <w:rPr>
          <w:rFonts w:ascii="宋体" w:hAnsi="宋体"/>
          <w:color w:val="auto"/>
          <w:sz w:val="24"/>
          <w:szCs w:val="24"/>
        </w:rPr>
      </w:pPr>
      <w:bookmarkStart w:id="99" w:name="_Toc4819"/>
      <w:bookmarkStart w:id="100" w:name="_Toc356145519"/>
      <w:r>
        <w:rPr>
          <w:rFonts w:hint="eastAsia" w:ascii="宋体" w:hAnsi="宋体"/>
          <w:color w:val="auto"/>
          <w:sz w:val="24"/>
          <w:szCs w:val="24"/>
        </w:rPr>
        <w:t>（2）病区管理</w:t>
      </w:r>
      <w:bookmarkEnd w:id="99"/>
      <w:bookmarkEnd w:id="100"/>
    </w:p>
    <w:p>
      <w:pPr>
        <w:pStyle w:val="7"/>
        <w:spacing w:before="0" w:after="0" w:line="360" w:lineRule="auto"/>
        <w:ind w:left="992" w:hanging="992"/>
        <w:rPr>
          <w:rFonts w:ascii="宋体" w:hAnsi="宋体" w:eastAsia="宋体"/>
          <w:color w:val="auto"/>
        </w:rPr>
      </w:pPr>
      <w:r>
        <w:rPr>
          <w:rFonts w:hint="eastAsia" w:ascii="宋体" w:hAnsi="宋体" w:eastAsia="宋体"/>
          <w:color w:val="auto"/>
        </w:rPr>
        <w:t>a病区护士站</w:t>
      </w:r>
    </w:p>
    <w:p>
      <w:pPr>
        <w:pStyle w:val="8"/>
        <w:spacing w:before="0" w:after="0" w:line="360" w:lineRule="auto"/>
        <w:ind w:left="1134" w:hanging="1134"/>
        <w:rPr>
          <w:rFonts w:ascii="宋体" w:hAnsi="宋体"/>
          <w:b w:val="0"/>
          <w:bCs w:val="0"/>
          <w:color w:val="auto"/>
        </w:rPr>
      </w:pPr>
      <w:bookmarkStart w:id="101" w:name="_Toc356145520"/>
      <w:r>
        <w:rPr>
          <w:rFonts w:hint="eastAsia" w:ascii="宋体" w:hAnsi="宋体"/>
          <w:b w:val="0"/>
          <w:bCs w:val="0"/>
          <w:color w:val="auto"/>
        </w:rPr>
        <w:t>病人管理</w:t>
      </w:r>
      <w:bookmarkEnd w:id="101"/>
    </w:p>
    <w:p>
      <w:pPr>
        <w:pStyle w:val="389"/>
        <w:rPr>
          <w:color w:val="auto"/>
          <w:szCs w:val="24"/>
        </w:rPr>
      </w:pPr>
      <w:r>
        <w:rPr>
          <w:rFonts w:hint="eastAsia"/>
          <w:color w:val="auto"/>
          <w:szCs w:val="24"/>
          <w:lang w:bidi="ar"/>
        </w:rPr>
        <w:t>采用网格列表方式进行显示，展示病人的信息和床位的信息(包括两部分病人，一部分是有床位的，一部分是没有床位的)，没有病人的床位只需要显示床位的信息即可。</w:t>
      </w:r>
    </w:p>
    <w:p>
      <w:pPr>
        <w:pStyle w:val="389"/>
        <w:rPr>
          <w:color w:val="auto"/>
          <w:szCs w:val="24"/>
        </w:rPr>
      </w:pPr>
      <w:r>
        <w:rPr>
          <w:rFonts w:hint="eastAsia"/>
          <w:color w:val="auto"/>
          <w:szCs w:val="24"/>
          <w:lang w:bidi="ar"/>
        </w:rPr>
        <w:t>界面也可使用床位列表的形式显示，该形式下显示所有的床位及其上面的病人。没有床位的病人不会在此界面上显示。</w:t>
      </w:r>
    </w:p>
    <w:p>
      <w:pPr>
        <w:pStyle w:val="389"/>
        <w:rPr>
          <w:color w:val="auto"/>
          <w:szCs w:val="24"/>
        </w:rPr>
      </w:pPr>
      <w:r>
        <w:rPr>
          <w:rFonts w:hint="eastAsia"/>
          <w:color w:val="auto"/>
          <w:szCs w:val="24"/>
          <w:lang w:bidi="ar"/>
        </w:rPr>
        <w:t>该界面同时是病人医疗信息录入、分配床位、退床、医嘱处理、体温单、护理记录、退药申请、住院帐卡等功能的入口。</w:t>
      </w:r>
    </w:p>
    <w:p>
      <w:pPr>
        <w:pStyle w:val="8"/>
        <w:spacing w:before="0" w:after="0" w:line="360" w:lineRule="auto"/>
        <w:ind w:left="1134" w:hanging="1134"/>
        <w:rPr>
          <w:rFonts w:ascii="宋体" w:hAnsi="宋体"/>
          <w:b w:val="0"/>
          <w:bCs w:val="0"/>
          <w:color w:val="auto"/>
        </w:rPr>
      </w:pPr>
      <w:bookmarkStart w:id="102" w:name="_Toc356145521"/>
      <w:r>
        <w:rPr>
          <w:rFonts w:hint="eastAsia" w:ascii="宋体" w:hAnsi="宋体"/>
          <w:b w:val="0"/>
          <w:bCs w:val="0"/>
          <w:color w:val="auto"/>
        </w:rPr>
        <w:t>医嘱处理</w:t>
      </w:r>
      <w:bookmarkEnd w:id="102"/>
    </w:p>
    <w:p>
      <w:pPr>
        <w:pStyle w:val="389"/>
        <w:rPr>
          <w:color w:val="auto"/>
          <w:szCs w:val="24"/>
        </w:rPr>
      </w:pPr>
      <w:r>
        <w:rPr>
          <w:rFonts w:hint="eastAsia"/>
          <w:color w:val="auto"/>
          <w:szCs w:val="24"/>
          <w:lang w:bidi="ar"/>
        </w:rPr>
        <w:t>病区护士对在院病人进行医嘱处理，包括药品医嘱和费用医嘱，处理由住院医生工作站提交过来的长期医嘱和护士自己录入的护理医嘱。提供包括插入、删除、新组、单停、全停、赋空、复核、取消复核、药品医嘱提交、医技项目提交、病区项目执行、长期医嘱退回、保存、查询、取消停嘱医嘱、刷新、关闭等功能。其中，草药医嘱的录入具有门诊草药方录入的特点，支持录入帖数、脚注、煎法等信息。</w:t>
      </w:r>
    </w:p>
    <w:p>
      <w:pPr>
        <w:pStyle w:val="389"/>
        <w:rPr>
          <w:color w:val="auto"/>
          <w:szCs w:val="24"/>
        </w:rPr>
      </w:pPr>
      <w:r>
        <w:rPr>
          <w:rFonts w:hint="eastAsia"/>
          <w:color w:val="auto"/>
          <w:szCs w:val="24"/>
          <w:lang w:bidi="ar"/>
        </w:rPr>
        <w:t>另外，支持药品医嘱的药品附加计价功能和费用医嘱的项目附加计价功能，同时支持物资库存的自动查询和扣减及其对应物资的计费。</w:t>
      </w:r>
    </w:p>
    <w:p>
      <w:pPr>
        <w:pStyle w:val="8"/>
        <w:spacing w:before="0" w:after="0" w:line="360" w:lineRule="auto"/>
        <w:ind w:left="1134" w:hanging="1134"/>
        <w:rPr>
          <w:rFonts w:ascii="宋体" w:hAnsi="宋体"/>
          <w:b w:val="0"/>
          <w:bCs w:val="0"/>
          <w:color w:val="auto"/>
        </w:rPr>
      </w:pPr>
      <w:bookmarkStart w:id="103" w:name="_Toc356145522"/>
      <w:r>
        <w:rPr>
          <w:rFonts w:hint="eastAsia" w:ascii="宋体" w:hAnsi="宋体"/>
          <w:b w:val="0"/>
          <w:bCs w:val="0"/>
          <w:color w:val="auto"/>
        </w:rPr>
        <w:t>药品医嘱提交</w:t>
      </w:r>
      <w:bookmarkEnd w:id="103"/>
    </w:p>
    <w:p>
      <w:pPr>
        <w:pStyle w:val="389"/>
        <w:rPr>
          <w:color w:val="auto"/>
          <w:szCs w:val="24"/>
        </w:rPr>
      </w:pPr>
      <w:r>
        <w:rPr>
          <w:rFonts w:hint="eastAsia"/>
          <w:color w:val="auto"/>
          <w:szCs w:val="24"/>
          <w:lang w:bidi="ar"/>
        </w:rPr>
        <w:t>把当前病人的普通医嘱提交到各自的药房。药品医嘱提交后，传至对应药房，药房可进行发药、医嘱退回病区等处理。普通医嘱分为长期医嘱和临时医嘱。长期医嘱提交之后在有效期内每天支持在药房领药，临时医嘱提交之后只能在药房领一次药。</w:t>
      </w:r>
    </w:p>
    <w:p>
      <w:pPr>
        <w:pStyle w:val="8"/>
        <w:spacing w:before="0" w:after="0" w:line="360" w:lineRule="auto"/>
        <w:ind w:left="1134" w:hanging="1134"/>
        <w:rPr>
          <w:rFonts w:ascii="宋体" w:hAnsi="宋体"/>
          <w:b w:val="0"/>
          <w:bCs w:val="0"/>
          <w:color w:val="auto"/>
        </w:rPr>
      </w:pPr>
      <w:bookmarkStart w:id="104" w:name="_Toc356145523"/>
      <w:r>
        <w:rPr>
          <w:rFonts w:hint="eastAsia" w:ascii="宋体" w:hAnsi="宋体"/>
          <w:b w:val="0"/>
          <w:bCs w:val="0"/>
          <w:color w:val="auto"/>
        </w:rPr>
        <w:t>病区项目提交</w:t>
      </w:r>
    </w:p>
    <w:p>
      <w:pPr>
        <w:pStyle w:val="389"/>
        <w:rPr>
          <w:color w:val="auto"/>
          <w:szCs w:val="24"/>
        </w:rPr>
      </w:pPr>
      <w:r>
        <w:rPr>
          <w:rFonts w:hint="eastAsia"/>
          <w:color w:val="auto"/>
          <w:szCs w:val="24"/>
          <w:lang w:bidi="ar"/>
        </w:rPr>
        <w:t>对当前病区的需要提交至医技科室的费用医嘱进行提交操作，提供按项目和按病人两种方式提交。</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病区项目执行</w:t>
      </w:r>
      <w:bookmarkEnd w:id="104"/>
    </w:p>
    <w:p>
      <w:pPr>
        <w:pStyle w:val="389"/>
        <w:rPr>
          <w:color w:val="auto"/>
          <w:szCs w:val="24"/>
        </w:rPr>
      </w:pPr>
      <w:r>
        <w:rPr>
          <w:rFonts w:hint="eastAsia"/>
          <w:color w:val="auto"/>
          <w:szCs w:val="24"/>
          <w:lang w:bidi="ar"/>
        </w:rPr>
        <w:t>对当前病区的需要由病区来执行的费用医嘱进行执行计费操作，同时对医技执行后的费用医嘱附加计价项目进行执行计费操作。</w:t>
      </w:r>
    </w:p>
    <w:p>
      <w:pPr>
        <w:pStyle w:val="8"/>
        <w:spacing w:before="0" w:after="0" w:line="360" w:lineRule="auto"/>
        <w:ind w:left="1134" w:hanging="1134"/>
        <w:rPr>
          <w:rFonts w:ascii="宋体" w:hAnsi="宋体"/>
          <w:b w:val="0"/>
          <w:bCs w:val="0"/>
          <w:color w:val="auto"/>
        </w:rPr>
      </w:pPr>
      <w:bookmarkStart w:id="105" w:name="_Toc356145524"/>
      <w:r>
        <w:rPr>
          <w:rFonts w:hint="eastAsia" w:ascii="宋体" w:hAnsi="宋体"/>
          <w:b w:val="0"/>
          <w:bCs w:val="0"/>
          <w:color w:val="auto"/>
        </w:rPr>
        <w:t>附加计价执行</w:t>
      </w:r>
      <w:bookmarkEnd w:id="105"/>
    </w:p>
    <w:p>
      <w:pPr>
        <w:pStyle w:val="389"/>
        <w:rPr>
          <w:color w:val="auto"/>
          <w:szCs w:val="24"/>
        </w:rPr>
      </w:pPr>
      <w:r>
        <w:rPr>
          <w:rFonts w:hint="eastAsia"/>
          <w:color w:val="auto"/>
          <w:szCs w:val="24"/>
          <w:lang w:bidi="ar"/>
        </w:rPr>
        <w:t>执行药品医嘱的附加计价的项目。</w:t>
      </w:r>
    </w:p>
    <w:p>
      <w:pPr>
        <w:pStyle w:val="8"/>
        <w:spacing w:before="0" w:after="0" w:line="360" w:lineRule="auto"/>
        <w:ind w:left="1134" w:hanging="1134"/>
        <w:rPr>
          <w:rFonts w:ascii="宋体" w:hAnsi="宋体"/>
          <w:b w:val="0"/>
          <w:bCs w:val="0"/>
          <w:color w:val="auto"/>
        </w:rPr>
      </w:pPr>
      <w:bookmarkStart w:id="106" w:name="_Toc356145525"/>
      <w:bookmarkStart w:id="107" w:name="_Toc343690775"/>
      <w:r>
        <w:rPr>
          <w:rFonts w:hint="eastAsia" w:ascii="宋体" w:hAnsi="宋体"/>
          <w:b w:val="0"/>
          <w:bCs w:val="0"/>
          <w:color w:val="auto"/>
        </w:rPr>
        <w:t>欠费控制</w:t>
      </w:r>
    </w:p>
    <w:p>
      <w:pPr>
        <w:pStyle w:val="389"/>
        <w:rPr>
          <w:color w:val="auto"/>
          <w:szCs w:val="24"/>
        </w:rPr>
      </w:pPr>
      <w:r>
        <w:rPr>
          <w:rFonts w:hint="eastAsia"/>
          <w:color w:val="auto"/>
          <w:szCs w:val="24"/>
          <w:lang w:bidi="ar"/>
        </w:rPr>
        <w:t>提交或执行病人医嘱时，费用金额大于病人的剩余金额时，不允许继续当前操作。欠费控制功能用于【药品医嘱提交】、【病区项目提交】、【病区项目执行】、【附加计价执行】。</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医嘱卡片打印</w:t>
      </w:r>
    </w:p>
    <w:p>
      <w:pPr>
        <w:pStyle w:val="389"/>
        <w:rPr>
          <w:color w:val="auto"/>
          <w:szCs w:val="24"/>
        </w:rPr>
      </w:pPr>
      <w:r>
        <w:rPr>
          <w:rFonts w:hint="eastAsia"/>
          <w:color w:val="auto"/>
          <w:szCs w:val="24"/>
          <w:lang w:bidi="ar"/>
        </w:rPr>
        <w:t>提供对住院病人口服卡、注射卡、静滴卡、输液巡视卡等卡片的打印功能。</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提醒查询</w:t>
      </w:r>
    </w:p>
    <w:p>
      <w:pPr>
        <w:pStyle w:val="389"/>
        <w:rPr>
          <w:color w:val="auto"/>
          <w:szCs w:val="24"/>
        </w:rPr>
      </w:pPr>
      <w:r>
        <w:rPr>
          <w:rFonts w:hint="eastAsia"/>
          <w:color w:val="auto"/>
          <w:szCs w:val="24"/>
          <w:lang w:bidi="ar"/>
        </w:rPr>
        <w:t>显示其他科室提交的转科申请及当前科室已转出而对方科室未确认的病人列表，并对提交至本科室的转科病人，提供转入功能。</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批量复核</w:t>
      </w:r>
    </w:p>
    <w:p>
      <w:pPr>
        <w:pStyle w:val="389"/>
        <w:rPr>
          <w:color w:val="auto"/>
          <w:szCs w:val="24"/>
        </w:rPr>
      </w:pPr>
      <w:r>
        <w:rPr>
          <w:rFonts w:hint="eastAsia"/>
          <w:color w:val="auto"/>
          <w:szCs w:val="24"/>
          <w:lang w:bidi="ar"/>
        </w:rPr>
        <w:t>提供对住院病人的医嘱进行批量复核的功能，同时提供按照单个病人和全部病人两种方式进行批量复核。</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退药申请</w:t>
      </w:r>
      <w:bookmarkEnd w:id="106"/>
      <w:bookmarkEnd w:id="107"/>
    </w:p>
    <w:p>
      <w:pPr>
        <w:pStyle w:val="389"/>
        <w:rPr>
          <w:color w:val="auto"/>
          <w:szCs w:val="24"/>
        </w:rPr>
      </w:pPr>
      <w:r>
        <w:rPr>
          <w:rFonts w:hint="eastAsia"/>
          <w:color w:val="auto"/>
          <w:szCs w:val="24"/>
          <w:lang w:bidi="ar"/>
        </w:rPr>
        <w:t>对已经发药的药品进行退回药房并相应退回病人费用的申请操作，需要药房确认。退药申请界面需要看到发药记录的信息，退药数量不能超过发药记录的药品数量之和。</w:t>
      </w:r>
    </w:p>
    <w:p>
      <w:pPr>
        <w:pStyle w:val="8"/>
        <w:spacing w:before="0" w:after="0" w:line="360" w:lineRule="auto"/>
        <w:ind w:left="1134" w:hanging="1134"/>
        <w:rPr>
          <w:rFonts w:ascii="宋体" w:hAnsi="宋体"/>
          <w:b w:val="0"/>
          <w:bCs w:val="0"/>
          <w:color w:val="auto"/>
        </w:rPr>
      </w:pPr>
      <w:bookmarkStart w:id="108" w:name="_Toc356145526"/>
      <w:r>
        <w:rPr>
          <w:rFonts w:hint="eastAsia" w:ascii="宋体" w:hAnsi="宋体"/>
          <w:b w:val="0"/>
          <w:bCs w:val="0"/>
          <w:color w:val="auto"/>
        </w:rPr>
        <w:t>病区退费</w:t>
      </w:r>
    </w:p>
    <w:p>
      <w:pPr>
        <w:pStyle w:val="389"/>
        <w:rPr>
          <w:color w:val="auto"/>
          <w:szCs w:val="24"/>
        </w:rPr>
      </w:pPr>
      <w:r>
        <w:rPr>
          <w:rFonts w:hint="eastAsia"/>
          <w:color w:val="auto"/>
          <w:szCs w:val="24"/>
          <w:lang w:bidi="ar"/>
        </w:rPr>
        <w:t>对于在院病人已记账的诊疗费用，可进行退费，退费的数量不能超过已记账的数量。</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分配床位</w:t>
      </w:r>
      <w:bookmarkEnd w:id="108"/>
    </w:p>
    <w:p>
      <w:pPr>
        <w:pStyle w:val="389"/>
        <w:rPr>
          <w:color w:val="auto"/>
          <w:szCs w:val="24"/>
        </w:rPr>
      </w:pPr>
      <w:r>
        <w:rPr>
          <w:rFonts w:hint="eastAsia"/>
          <w:color w:val="auto"/>
          <w:szCs w:val="24"/>
          <w:lang w:bidi="ar"/>
        </w:rPr>
        <w:t>对未分配床位的病人进行分配空床位操作，床位科室需要跟病人科室需要一致。</w:t>
      </w:r>
    </w:p>
    <w:p>
      <w:pPr>
        <w:pStyle w:val="8"/>
        <w:spacing w:before="0" w:after="0" w:line="360" w:lineRule="auto"/>
        <w:ind w:left="1134" w:hanging="1134"/>
        <w:rPr>
          <w:rFonts w:ascii="宋体" w:hAnsi="宋体"/>
          <w:b w:val="0"/>
          <w:bCs w:val="0"/>
          <w:color w:val="auto"/>
        </w:rPr>
      </w:pPr>
      <w:bookmarkStart w:id="109" w:name="_Toc356145527"/>
      <w:r>
        <w:rPr>
          <w:rFonts w:hint="eastAsia" w:ascii="宋体" w:hAnsi="宋体"/>
          <w:b w:val="0"/>
          <w:bCs w:val="0"/>
          <w:color w:val="auto"/>
        </w:rPr>
        <w:t>转床</w:t>
      </w:r>
      <w:bookmarkEnd w:id="109"/>
    </w:p>
    <w:p>
      <w:pPr>
        <w:pStyle w:val="389"/>
        <w:rPr>
          <w:color w:val="auto"/>
          <w:szCs w:val="24"/>
        </w:rPr>
      </w:pPr>
      <w:r>
        <w:rPr>
          <w:rFonts w:hint="eastAsia"/>
          <w:color w:val="auto"/>
          <w:szCs w:val="24"/>
          <w:lang w:bidi="ar"/>
        </w:rPr>
        <w:t>同科室的病人进行换床操作，支持转到空床，也支持两个病人之前转换床位。</w:t>
      </w:r>
    </w:p>
    <w:p>
      <w:pPr>
        <w:pStyle w:val="8"/>
        <w:spacing w:before="0" w:after="0" w:line="360" w:lineRule="auto"/>
        <w:ind w:left="1134" w:hanging="1134"/>
        <w:rPr>
          <w:rFonts w:ascii="宋体" w:hAnsi="宋体"/>
          <w:b w:val="0"/>
          <w:bCs w:val="0"/>
          <w:color w:val="auto"/>
        </w:rPr>
      </w:pPr>
      <w:bookmarkStart w:id="110" w:name="_Toc356145528"/>
      <w:r>
        <w:rPr>
          <w:rFonts w:hint="eastAsia" w:ascii="宋体" w:hAnsi="宋体"/>
          <w:b w:val="0"/>
          <w:bCs w:val="0"/>
          <w:color w:val="auto"/>
        </w:rPr>
        <w:t>退床</w:t>
      </w:r>
      <w:bookmarkEnd w:id="110"/>
    </w:p>
    <w:p>
      <w:pPr>
        <w:pStyle w:val="389"/>
        <w:rPr>
          <w:color w:val="auto"/>
          <w:szCs w:val="24"/>
        </w:rPr>
      </w:pPr>
      <w:r>
        <w:rPr>
          <w:rFonts w:hint="eastAsia"/>
          <w:color w:val="auto"/>
          <w:szCs w:val="24"/>
          <w:lang w:bidi="ar"/>
        </w:rPr>
        <w:t>对于已经出院的病人，可进行退床操作，清空其所对应的床位相关信息。</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体温单</w:t>
      </w:r>
    </w:p>
    <w:p>
      <w:pPr>
        <w:pStyle w:val="389"/>
        <w:rPr>
          <w:color w:val="auto"/>
          <w:szCs w:val="24"/>
        </w:rPr>
      </w:pPr>
      <w:r>
        <w:rPr>
          <w:rFonts w:hint="eastAsia"/>
          <w:color w:val="auto"/>
          <w:szCs w:val="24"/>
          <w:lang w:bidi="ar"/>
        </w:rPr>
        <w:t>体温单记录患者的体温、脉搏、呼吸、血压、摄入液量、排出量、引流量、皮试等情况，包含患者的基本个人信息、患者病情的初步信息及动态变化。</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护理记录</w:t>
      </w:r>
    </w:p>
    <w:p>
      <w:pPr>
        <w:pStyle w:val="389"/>
        <w:rPr>
          <w:color w:val="auto"/>
          <w:szCs w:val="24"/>
        </w:rPr>
      </w:pPr>
      <w:r>
        <w:rPr>
          <w:rFonts w:hint="eastAsia"/>
          <w:color w:val="auto"/>
          <w:szCs w:val="24"/>
          <w:lang w:bidi="ar"/>
        </w:rPr>
        <w:t>护理记录包括意识、脉搏、体温、呼吸、血压、血氧饱和度、吸氧、入量、出量、颜色形状、皮肤状况、管道护理、病情观察及措施等内容。</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风险评估</w:t>
      </w:r>
    </w:p>
    <w:p>
      <w:pPr>
        <w:pStyle w:val="389"/>
        <w:rPr>
          <w:color w:val="auto"/>
          <w:szCs w:val="24"/>
        </w:rPr>
      </w:pPr>
      <w:r>
        <w:rPr>
          <w:rFonts w:hint="eastAsia"/>
          <w:color w:val="auto"/>
          <w:szCs w:val="24"/>
          <w:lang w:bidi="ar"/>
        </w:rPr>
        <w:t>支持对病人住院期间存在的各种风险、做出评估，定义风险评估因子，判断风险等级。</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护士排班</w:t>
      </w:r>
    </w:p>
    <w:p>
      <w:pPr>
        <w:pStyle w:val="389"/>
        <w:rPr>
          <w:color w:val="auto"/>
          <w:szCs w:val="24"/>
        </w:rPr>
      </w:pPr>
      <w:r>
        <w:rPr>
          <w:rFonts w:hint="eastAsia"/>
          <w:color w:val="auto"/>
          <w:szCs w:val="24"/>
          <w:lang w:bidi="ar"/>
        </w:rPr>
        <w:t>维护护士排班。选择相应的护士支持对其进行排班。支持复制排班、删除、病区、班次、上周、下周等按钮功能。</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护士交班</w:t>
      </w:r>
    </w:p>
    <w:p>
      <w:pPr>
        <w:pStyle w:val="389"/>
        <w:rPr>
          <w:color w:val="auto"/>
          <w:szCs w:val="24"/>
        </w:rPr>
      </w:pPr>
      <w:r>
        <w:rPr>
          <w:rFonts w:hint="eastAsia"/>
          <w:color w:val="auto"/>
          <w:szCs w:val="24"/>
          <w:lang w:bidi="ar"/>
        </w:rPr>
        <w:t>维护护士排班。支持增加交班、追加交班和检索等功能。</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住院皮试</w:t>
      </w:r>
    </w:p>
    <w:p>
      <w:pPr>
        <w:pStyle w:val="389"/>
        <w:rPr>
          <w:color w:val="auto"/>
          <w:szCs w:val="24"/>
        </w:rPr>
      </w:pPr>
      <w:r>
        <w:rPr>
          <w:rFonts w:hint="eastAsia"/>
          <w:color w:val="auto"/>
          <w:szCs w:val="24"/>
          <w:lang w:bidi="ar"/>
        </w:rPr>
        <w:t>针对医生开具的住院皮试医嘱，进行相应的皮试操作，录入对应的皮试结果。</w:t>
      </w:r>
    </w:p>
    <w:p>
      <w:pPr>
        <w:pStyle w:val="8"/>
        <w:spacing w:before="0" w:after="0" w:line="360" w:lineRule="auto"/>
        <w:ind w:left="1134" w:hanging="1134"/>
        <w:rPr>
          <w:rFonts w:ascii="宋体" w:hAnsi="宋体"/>
          <w:b w:val="0"/>
          <w:bCs w:val="0"/>
          <w:color w:val="auto"/>
        </w:rPr>
      </w:pPr>
      <w:bookmarkStart w:id="111" w:name="_Toc356145532"/>
      <w:bookmarkStart w:id="112" w:name="_Toc345943772"/>
      <w:bookmarkStart w:id="113" w:name="_Toc356145529"/>
      <w:r>
        <w:rPr>
          <w:rFonts w:hint="eastAsia" w:ascii="宋体" w:hAnsi="宋体"/>
          <w:b w:val="0"/>
          <w:bCs w:val="0"/>
          <w:color w:val="auto"/>
        </w:rPr>
        <w:t>通知出院</w:t>
      </w:r>
      <w:bookmarkEnd w:id="111"/>
      <w:bookmarkEnd w:id="112"/>
    </w:p>
    <w:p>
      <w:pPr>
        <w:pStyle w:val="389"/>
        <w:rPr>
          <w:color w:val="auto"/>
          <w:szCs w:val="24"/>
        </w:rPr>
      </w:pPr>
      <w:r>
        <w:rPr>
          <w:rFonts w:hint="eastAsia"/>
          <w:color w:val="auto"/>
          <w:szCs w:val="24"/>
          <w:lang w:bidi="ar"/>
        </w:rPr>
        <w:t>给已经办理出院证的病人打上通知出院标记。医嘱未停、未提交、未执行，退药医嘱未确认或未提交等业务没完成的需完成相关操作之后才能通知出院。</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帐卡</w:t>
      </w:r>
    </w:p>
    <w:p>
      <w:pPr>
        <w:pStyle w:val="389"/>
        <w:rPr>
          <w:color w:val="auto"/>
          <w:szCs w:val="24"/>
        </w:rPr>
      </w:pPr>
      <w:r>
        <w:rPr>
          <w:rFonts w:hint="eastAsia"/>
          <w:color w:val="auto"/>
          <w:szCs w:val="24"/>
          <w:lang w:bidi="ar"/>
        </w:rPr>
        <w:t xml:space="preserve">可查看汇总金额及明细清单，同时提供查看缴款的记录的功能。明细清单提供按照全部、医疗、药品三种类别进行查询，并可按照明细格式和医嘱格式显示查询结果， </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变动医嘱查询</w:t>
      </w:r>
    </w:p>
    <w:p>
      <w:pPr>
        <w:pStyle w:val="389"/>
        <w:rPr>
          <w:color w:val="auto"/>
          <w:szCs w:val="24"/>
        </w:rPr>
      </w:pPr>
      <w:r>
        <w:rPr>
          <w:rFonts w:hint="eastAsia"/>
          <w:color w:val="auto"/>
          <w:szCs w:val="24"/>
          <w:lang w:bidi="ar"/>
        </w:rPr>
        <w:t>变动医嘱指新开、新停的医嘱，也可查询临时医嘱。</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发药药房设置</w:t>
      </w:r>
      <w:bookmarkEnd w:id="113"/>
    </w:p>
    <w:p>
      <w:pPr>
        <w:pStyle w:val="389"/>
        <w:rPr>
          <w:color w:val="auto"/>
          <w:szCs w:val="24"/>
        </w:rPr>
      </w:pPr>
      <w:r>
        <w:rPr>
          <w:rFonts w:hint="eastAsia"/>
          <w:color w:val="auto"/>
          <w:szCs w:val="24"/>
          <w:lang w:bidi="ar"/>
        </w:rPr>
        <w:t>每个病区支持设定自己对应的发药药房。发药药房的设置支持通过原有的药品类型来设置对应的发药药房。病区的医嘱录入中，每组药品医嘱确定一个发药药房。</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b病区医生站</w:t>
      </w:r>
    </w:p>
    <w:p>
      <w:pPr>
        <w:pStyle w:val="8"/>
        <w:spacing w:before="0" w:after="0" w:line="360" w:lineRule="auto"/>
        <w:ind w:left="1134" w:hanging="1134"/>
        <w:rPr>
          <w:rFonts w:ascii="宋体" w:hAnsi="宋体"/>
          <w:b/>
          <w:bCs/>
          <w:color w:val="auto"/>
        </w:rPr>
      </w:pPr>
      <w:bookmarkStart w:id="114" w:name="_Hlk150172935"/>
      <w:r>
        <w:rPr>
          <w:rFonts w:hint="eastAsia" w:ascii="宋体" w:hAnsi="宋体"/>
          <w:b/>
          <w:bCs/>
          <w:color w:val="auto"/>
        </w:rPr>
        <w:t>医嘱录入</w:t>
      </w:r>
      <w:r>
        <w:rPr>
          <w:rFonts w:hint="eastAsia" w:ascii="宋体" w:hAnsi="宋体" w:cs="微软雅黑"/>
          <w:b/>
          <w:bCs/>
          <w:color w:val="auto"/>
          <w:shd w:val="clear" w:color="auto" w:fill="FFFFFF"/>
        </w:rPr>
        <w:t>（需提供演示）</w:t>
      </w:r>
    </w:p>
    <w:bookmarkEnd w:id="114"/>
    <w:p>
      <w:pPr>
        <w:pStyle w:val="389"/>
        <w:rPr>
          <w:color w:val="auto"/>
          <w:szCs w:val="24"/>
        </w:rPr>
      </w:pPr>
      <w:bookmarkStart w:id="115" w:name="_Hlk150256514"/>
      <w:r>
        <w:rPr>
          <w:rFonts w:hint="eastAsia"/>
          <w:color w:val="auto"/>
          <w:szCs w:val="24"/>
          <w:lang w:bidi="ar"/>
        </w:rPr>
        <w:t>提供插入、删除、新组、单停、全停、赋空、提交、保存、查询等操作功能，另外提供常用药、医嘱组套等助手功能。</w:t>
      </w:r>
    </w:p>
    <w:bookmarkEnd w:id="115"/>
    <w:p>
      <w:pPr>
        <w:pStyle w:val="8"/>
        <w:spacing w:before="0" w:after="0" w:line="360" w:lineRule="auto"/>
        <w:ind w:left="1134" w:hanging="1134"/>
        <w:rPr>
          <w:rFonts w:ascii="宋体" w:hAnsi="宋体"/>
          <w:b w:val="0"/>
          <w:bCs w:val="0"/>
          <w:color w:val="auto"/>
        </w:rPr>
      </w:pPr>
      <w:bookmarkStart w:id="116" w:name="_Toc356145531"/>
      <w:bookmarkStart w:id="117" w:name="_Toc345943771"/>
      <w:r>
        <w:rPr>
          <w:rFonts w:hint="eastAsia" w:ascii="宋体" w:hAnsi="宋体"/>
          <w:b w:val="0"/>
          <w:bCs w:val="0"/>
          <w:color w:val="auto"/>
        </w:rPr>
        <w:t>转科处理</w:t>
      </w:r>
    </w:p>
    <w:p>
      <w:pPr>
        <w:pStyle w:val="389"/>
        <w:rPr>
          <w:color w:val="auto"/>
          <w:szCs w:val="24"/>
        </w:rPr>
      </w:pPr>
      <w:r>
        <w:rPr>
          <w:rFonts w:hint="eastAsia"/>
          <w:color w:val="auto"/>
          <w:szCs w:val="24"/>
          <w:lang w:bidi="ar"/>
        </w:rPr>
        <w:t>将病人的所属科室转换至其他科室，将其主</w:t>
      </w:r>
      <w:r>
        <w:rPr>
          <w:rFonts w:hint="eastAsia"/>
          <w:color w:val="auto"/>
          <w:szCs w:val="24"/>
          <w:lang w:eastAsia="zh-CN" w:bidi="ar"/>
        </w:rPr>
        <w:t>治</w:t>
      </w:r>
      <w:r>
        <w:rPr>
          <w:rFonts w:hint="eastAsia"/>
          <w:color w:val="auto"/>
          <w:szCs w:val="24"/>
          <w:lang w:bidi="ar"/>
        </w:rPr>
        <w:t>医师转换为其他医师。病人在原科室的所有业务必须全部结束才允许转至其他科室。包括转科处理（为当前病人选择转后科室、转后病区及转后医生，完成病人的转出操作）和取消转科（病人从当前科室转出但转后科室未接收前，允许取消转科）两种方式。</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出院证</w:t>
      </w:r>
      <w:bookmarkEnd w:id="116"/>
      <w:bookmarkEnd w:id="117"/>
    </w:p>
    <w:p>
      <w:pPr>
        <w:pStyle w:val="389"/>
        <w:rPr>
          <w:color w:val="auto"/>
          <w:szCs w:val="24"/>
        </w:rPr>
      </w:pPr>
      <w:r>
        <w:rPr>
          <w:rFonts w:hint="eastAsia"/>
          <w:color w:val="auto"/>
          <w:szCs w:val="24"/>
          <w:lang w:bidi="ar"/>
        </w:rPr>
        <w:t>病人在医疗层面已经支持办理出院，包括录入出院日期，出院方式，以及填写对病人出院后的建议。在护士处理完病人的医嘱，药品及费用等遗漏工作，并完成通知出院后，在住院处对该病人进行结算处理。</w:t>
      </w:r>
    </w:p>
    <w:p>
      <w:pPr>
        <w:pStyle w:val="8"/>
        <w:spacing w:before="0" w:after="0" w:line="360" w:lineRule="auto"/>
        <w:ind w:left="1134" w:hanging="1134"/>
        <w:rPr>
          <w:rFonts w:ascii="宋体" w:hAnsi="宋体"/>
          <w:b/>
          <w:bCs/>
          <w:color w:val="auto"/>
        </w:rPr>
      </w:pPr>
      <w:r>
        <w:rPr>
          <w:rFonts w:hint="eastAsia" w:ascii="宋体" w:hAnsi="宋体"/>
          <w:b/>
          <w:bCs/>
          <w:color w:val="auto"/>
        </w:rPr>
        <w:t>书写病历</w:t>
      </w:r>
      <w:r>
        <w:rPr>
          <w:rFonts w:hint="eastAsia" w:ascii="宋体" w:hAnsi="宋体" w:cs="微软雅黑"/>
          <w:b/>
          <w:bCs/>
          <w:color w:val="auto"/>
          <w:shd w:val="clear" w:color="auto" w:fill="FFFFFF"/>
        </w:rPr>
        <w:t>（需提供演示）</w:t>
      </w:r>
    </w:p>
    <w:p>
      <w:pPr>
        <w:pStyle w:val="389"/>
        <w:rPr>
          <w:color w:val="auto"/>
          <w:szCs w:val="24"/>
        </w:rPr>
      </w:pPr>
      <w:bookmarkStart w:id="118" w:name="_Hlk150256524"/>
      <w:r>
        <w:rPr>
          <w:rFonts w:hint="eastAsia"/>
          <w:color w:val="auto"/>
          <w:szCs w:val="24"/>
          <w:lang w:bidi="ar"/>
        </w:rPr>
        <w:t>书写和编辑包括住院病案首页、入院记录、病程记录、出（转）院记录在内的各类文书和记录。</w:t>
      </w:r>
    </w:p>
    <w:p>
      <w:pPr>
        <w:pStyle w:val="8"/>
        <w:spacing w:before="0" w:after="0" w:line="360" w:lineRule="auto"/>
        <w:ind w:left="1134" w:hanging="1134"/>
        <w:rPr>
          <w:rFonts w:ascii="宋体" w:hAnsi="宋体"/>
          <w:b/>
          <w:bCs/>
          <w:color w:val="auto"/>
        </w:rPr>
      </w:pPr>
      <w:bookmarkStart w:id="119" w:name="_Toc356145530"/>
      <w:bookmarkStart w:id="120" w:name="_Toc356145615"/>
      <w:bookmarkStart w:id="121" w:name="_Toc356145534"/>
      <w:r>
        <w:rPr>
          <w:rFonts w:hint="eastAsia" w:ascii="宋体" w:hAnsi="宋体"/>
          <w:b/>
          <w:bCs/>
          <w:color w:val="auto"/>
        </w:rPr>
        <w:t>医嘱组套维护</w:t>
      </w:r>
      <w:bookmarkEnd w:id="119"/>
      <w:r>
        <w:rPr>
          <w:rFonts w:hint="eastAsia" w:ascii="宋体" w:hAnsi="宋体" w:cs="微软雅黑"/>
          <w:b/>
          <w:bCs/>
          <w:color w:val="auto"/>
          <w:shd w:val="clear" w:color="auto" w:fill="FFFFFF"/>
        </w:rPr>
        <w:t>（需提供演示）</w:t>
      </w:r>
    </w:p>
    <w:p>
      <w:pPr>
        <w:pStyle w:val="389"/>
        <w:rPr>
          <w:color w:val="auto"/>
          <w:szCs w:val="24"/>
        </w:rPr>
      </w:pPr>
      <w:r>
        <w:rPr>
          <w:rFonts w:hint="eastAsia"/>
          <w:color w:val="auto"/>
          <w:szCs w:val="24"/>
          <w:lang w:bidi="ar"/>
        </w:rPr>
        <w:t>将常用的药品维护成组套，录医嘱时直接调入组套。组套可分别按照西药、成药、草药、项目来进行组套，并可对组套提供新增、修改、删除、禁用、启用等操作。</w:t>
      </w:r>
    </w:p>
    <w:bookmarkEnd w:id="118"/>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会诊记录</w:t>
      </w:r>
    </w:p>
    <w:p>
      <w:pPr>
        <w:pStyle w:val="389"/>
        <w:rPr>
          <w:color w:val="auto"/>
          <w:szCs w:val="24"/>
        </w:rPr>
      </w:pPr>
      <w:r>
        <w:rPr>
          <w:rFonts w:hint="eastAsia"/>
          <w:color w:val="auto"/>
          <w:szCs w:val="24"/>
          <w:lang w:bidi="ar"/>
        </w:rPr>
        <w:t>填制、保存及查询相应手术的会诊记录。</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医嘱处理</w:t>
      </w:r>
    </w:p>
    <w:p>
      <w:pPr>
        <w:pStyle w:val="389"/>
        <w:rPr>
          <w:color w:val="auto"/>
          <w:szCs w:val="24"/>
        </w:rPr>
      </w:pPr>
      <w:r>
        <w:rPr>
          <w:rFonts w:hint="eastAsia"/>
          <w:color w:val="auto"/>
          <w:szCs w:val="24"/>
          <w:lang w:bidi="ar"/>
        </w:rPr>
        <w:t>对手术病人进行医嘱处理，主要针对药品医嘱。</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退药申请</w:t>
      </w:r>
    </w:p>
    <w:p>
      <w:pPr>
        <w:pStyle w:val="389"/>
        <w:rPr>
          <w:color w:val="auto"/>
          <w:szCs w:val="24"/>
        </w:rPr>
      </w:pPr>
      <w:r>
        <w:rPr>
          <w:rFonts w:hint="eastAsia"/>
          <w:color w:val="auto"/>
          <w:szCs w:val="24"/>
          <w:lang w:bidi="ar"/>
        </w:rPr>
        <w:t>对手术病人已记费的药品费用进行退费操作。</w:t>
      </w:r>
    </w:p>
    <w:p>
      <w:pPr>
        <w:pStyle w:val="8"/>
        <w:spacing w:before="0" w:after="0" w:line="360" w:lineRule="auto"/>
        <w:ind w:left="1134" w:hanging="1134"/>
        <w:rPr>
          <w:rFonts w:ascii="宋体" w:hAnsi="宋体"/>
          <w:b w:val="0"/>
          <w:bCs w:val="0"/>
          <w:color w:val="auto"/>
        </w:rPr>
      </w:pPr>
      <w:r>
        <w:rPr>
          <w:rFonts w:hint="eastAsia" w:ascii="宋体" w:hAnsi="宋体"/>
          <w:b w:val="0"/>
          <w:bCs w:val="0"/>
          <w:color w:val="auto"/>
        </w:rPr>
        <w:t>费用处理</w:t>
      </w:r>
    </w:p>
    <w:p>
      <w:pPr>
        <w:pStyle w:val="389"/>
        <w:rPr>
          <w:color w:val="auto"/>
          <w:szCs w:val="24"/>
        </w:rPr>
      </w:pPr>
      <w:r>
        <w:rPr>
          <w:rFonts w:hint="eastAsia"/>
          <w:color w:val="auto"/>
          <w:szCs w:val="24"/>
          <w:lang w:bidi="ar"/>
        </w:rPr>
        <w:t>对手术病人进行费用医嘱的录入及记费操作。</w:t>
      </w:r>
    </w:p>
    <w:p>
      <w:pPr>
        <w:pStyle w:val="6"/>
        <w:spacing w:before="0" w:after="0" w:line="360" w:lineRule="auto"/>
        <w:ind w:left="851" w:hanging="851"/>
        <w:rPr>
          <w:rFonts w:ascii="宋体" w:hAnsi="宋体"/>
          <w:color w:val="auto"/>
          <w:sz w:val="24"/>
          <w:szCs w:val="24"/>
        </w:rPr>
      </w:pPr>
      <w:bookmarkStart w:id="122" w:name="_Toc7654"/>
      <w:r>
        <w:rPr>
          <w:rFonts w:hint="eastAsia" w:ascii="宋体" w:hAnsi="宋体"/>
          <w:color w:val="auto"/>
          <w:sz w:val="24"/>
          <w:szCs w:val="24"/>
        </w:rPr>
        <w:t>（3）电子病历</w:t>
      </w:r>
      <w:bookmarkEnd w:id="120"/>
      <w:bookmarkEnd w:id="122"/>
    </w:p>
    <w:p>
      <w:pPr>
        <w:pStyle w:val="7"/>
        <w:spacing w:before="0" w:after="0" w:line="360" w:lineRule="auto"/>
        <w:ind w:left="992" w:hanging="992"/>
        <w:rPr>
          <w:rFonts w:ascii="宋体" w:hAnsi="宋体" w:eastAsia="宋体"/>
          <w:color w:val="auto"/>
        </w:rPr>
      </w:pPr>
      <w:bookmarkStart w:id="123" w:name="_Toc356145616"/>
      <w:r>
        <w:rPr>
          <w:rFonts w:hint="eastAsia" w:ascii="宋体" w:hAnsi="宋体" w:eastAsia="宋体"/>
          <w:color w:val="auto"/>
        </w:rPr>
        <w:t>a病案首页</w:t>
      </w:r>
      <w:bookmarkEnd w:id="123"/>
    </w:p>
    <w:p>
      <w:pPr>
        <w:pStyle w:val="389"/>
        <w:rPr>
          <w:color w:val="auto"/>
          <w:szCs w:val="24"/>
        </w:rPr>
      </w:pPr>
      <w:r>
        <w:rPr>
          <w:rFonts w:hint="eastAsia"/>
          <w:color w:val="auto"/>
          <w:szCs w:val="24"/>
          <w:lang w:bidi="ar"/>
        </w:rPr>
        <w:t>根据2012版西医病案首页的格式要求，分别制作“住院病案首页”页面和“住院病案首页”的打印页面。</w:t>
      </w:r>
    </w:p>
    <w:p>
      <w:pPr>
        <w:pStyle w:val="389"/>
        <w:rPr>
          <w:color w:val="auto"/>
          <w:szCs w:val="24"/>
        </w:rPr>
      </w:pPr>
      <w:r>
        <w:rPr>
          <w:rFonts w:hint="eastAsia"/>
          <w:color w:val="auto"/>
          <w:szCs w:val="24"/>
          <w:lang w:bidi="ar"/>
        </w:rPr>
        <w:t>首页页面中对于支持选择的内容采取“点选”，“下拉选择”的方式方便用户选择。</w:t>
      </w:r>
    </w:p>
    <w:p>
      <w:pPr>
        <w:pStyle w:val="389"/>
        <w:rPr>
          <w:color w:val="auto"/>
          <w:szCs w:val="24"/>
        </w:rPr>
      </w:pPr>
      <w:r>
        <w:rPr>
          <w:rFonts w:hint="eastAsia"/>
          <w:color w:val="auto"/>
          <w:szCs w:val="24"/>
          <w:lang w:bidi="ar"/>
        </w:rPr>
        <w:t>用户输入的首页页面与打印首页页面不同，打印首页页面打出的格式严格按照卫生部发文格式打印。</w:t>
      </w:r>
    </w:p>
    <w:p>
      <w:pPr>
        <w:pStyle w:val="389"/>
        <w:rPr>
          <w:color w:val="auto"/>
          <w:szCs w:val="24"/>
        </w:rPr>
      </w:pPr>
      <w:r>
        <w:rPr>
          <w:rFonts w:hint="eastAsia"/>
          <w:color w:val="auto"/>
          <w:szCs w:val="24"/>
          <w:lang w:bidi="ar"/>
        </w:rPr>
        <w:t>采用分类别、多TAB页分开录入的方式，分成如下多个类别：</w:t>
      </w:r>
    </w:p>
    <w:p>
      <w:pPr>
        <w:pStyle w:val="389"/>
        <w:rPr>
          <w:color w:val="auto"/>
          <w:szCs w:val="24"/>
        </w:rPr>
      </w:pPr>
      <w:r>
        <w:rPr>
          <w:rFonts w:hint="eastAsia"/>
          <w:color w:val="auto"/>
          <w:szCs w:val="24"/>
          <w:lang w:bidi="ar"/>
        </w:rPr>
        <w:t>基本信息、西医诊断、手术信息、费用统计、医生签名、附加项目。</w:t>
      </w:r>
    </w:p>
    <w:p>
      <w:pPr>
        <w:pStyle w:val="389"/>
        <w:rPr>
          <w:rFonts w:cs="仿宋"/>
          <w:color w:val="auto"/>
          <w:szCs w:val="24"/>
        </w:rPr>
      </w:pPr>
      <w:r>
        <w:rPr>
          <w:rFonts w:hint="eastAsia"/>
          <w:color w:val="auto"/>
          <w:szCs w:val="24"/>
          <w:lang w:bidi="ar"/>
        </w:rPr>
        <w:t>首页中的项目具有项目的属性。</w:t>
      </w:r>
    </w:p>
    <w:p>
      <w:pPr>
        <w:pStyle w:val="389"/>
        <w:rPr>
          <w:color w:val="auto"/>
          <w:szCs w:val="24"/>
          <w:lang w:bidi="ar"/>
        </w:rPr>
      </w:pPr>
      <w:r>
        <w:rPr>
          <w:rFonts w:hint="eastAsia"/>
          <w:color w:val="auto"/>
          <w:szCs w:val="24"/>
          <w:lang w:bidi="ar"/>
        </w:rPr>
        <w:t>首页项目提供3种更新方式：不更新、主动更新、手动更新。</w:t>
      </w:r>
    </w:p>
    <w:p>
      <w:pPr>
        <w:pStyle w:val="389"/>
        <w:ind w:left="920" w:hanging="440" w:firstLineChars="0"/>
        <w:rPr>
          <w:rFonts w:cs="仿宋"/>
          <w:color w:val="auto"/>
          <w:szCs w:val="24"/>
        </w:rPr>
      </w:pPr>
      <w:r>
        <w:rPr>
          <w:rFonts w:cs="仿宋"/>
          <w:color w:val="auto"/>
          <w:szCs w:val="24"/>
        </w:rPr>
        <w:t></w:t>
      </w:r>
      <w:r>
        <w:rPr>
          <w:rFonts w:hint="eastAsia" w:cs="仿宋"/>
          <w:color w:val="auto"/>
          <w:szCs w:val="24"/>
        </w:rPr>
        <w:t>不更新：针对配置数据集取值的项目，只在新增时获取数据。</w:t>
      </w:r>
    </w:p>
    <w:p>
      <w:pPr>
        <w:pStyle w:val="389"/>
        <w:ind w:left="920" w:hanging="440" w:firstLineChars="0"/>
        <w:rPr>
          <w:rFonts w:cs="仿宋"/>
          <w:color w:val="auto"/>
          <w:szCs w:val="24"/>
        </w:rPr>
      </w:pPr>
      <w:r>
        <w:rPr>
          <w:rFonts w:cs="仿宋"/>
          <w:color w:val="auto"/>
          <w:szCs w:val="24"/>
        </w:rPr>
        <w:t></w:t>
      </w:r>
      <w:r>
        <w:rPr>
          <w:rFonts w:hint="eastAsia" w:cs="仿宋"/>
          <w:color w:val="auto"/>
          <w:szCs w:val="24"/>
        </w:rPr>
        <w:t>主动更新：针对配置数据集取值的项目，每次打开首页时，如果当前内容和数据库不一致，用数据库中的内容替换当前内容。</w:t>
      </w:r>
    </w:p>
    <w:p>
      <w:pPr>
        <w:pStyle w:val="389"/>
        <w:ind w:left="920" w:hanging="440" w:firstLineChars="0"/>
        <w:rPr>
          <w:rFonts w:cs="仿宋"/>
          <w:color w:val="auto"/>
          <w:szCs w:val="24"/>
        </w:rPr>
      </w:pPr>
      <w:r>
        <w:rPr>
          <w:rFonts w:cs="仿宋"/>
          <w:color w:val="auto"/>
          <w:szCs w:val="24"/>
        </w:rPr>
        <w:t></w:t>
      </w:r>
      <w:r>
        <w:rPr>
          <w:rFonts w:hint="eastAsia" w:cs="仿宋"/>
          <w:color w:val="auto"/>
          <w:szCs w:val="24"/>
        </w:rPr>
        <w:t>手动更新：针对配置数据集取值的项目，在首页中设置按钮手动更新，如果当前内容和数据库不一致，用数据库中的内容替换当前内容。</w:t>
      </w:r>
    </w:p>
    <w:p>
      <w:pPr>
        <w:pStyle w:val="389"/>
        <w:rPr>
          <w:color w:val="auto"/>
          <w:szCs w:val="24"/>
        </w:rPr>
      </w:pPr>
      <w:r>
        <w:rPr>
          <w:rFonts w:hint="eastAsia"/>
          <w:color w:val="auto"/>
          <w:szCs w:val="24"/>
          <w:lang w:bidi="ar"/>
        </w:rPr>
        <w:t>当业务中的数据更新后需要同步更新首页中数据，对医生修改过的数据在自动更新时提示医生进行选择是否需要覆盖。</w:t>
      </w:r>
    </w:p>
    <w:p>
      <w:pPr>
        <w:pStyle w:val="389"/>
        <w:rPr>
          <w:color w:val="auto"/>
          <w:szCs w:val="24"/>
        </w:rPr>
      </w:pPr>
      <w:r>
        <w:rPr>
          <w:rFonts w:hint="eastAsia"/>
          <w:color w:val="auto"/>
          <w:szCs w:val="24"/>
          <w:lang w:bidi="ar"/>
        </w:rPr>
        <w:t>对于诊断及手术，允许多条记录前后调换顺序，对于诊断允许指定主诊断。</w:t>
      </w:r>
    </w:p>
    <w:p>
      <w:pPr>
        <w:pStyle w:val="389"/>
        <w:rPr>
          <w:color w:val="auto"/>
          <w:szCs w:val="24"/>
        </w:rPr>
      </w:pPr>
      <w:r>
        <w:rPr>
          <w:rFonts w:hint="eastAsia"/>
          <w:color w:val="auto"/>
          <w:szCs w:val="24"/>
          <w:lang w:bidi="ar"/>
        </w:rPr>
        <w:t>对于诊断的录入需要提供录入拼音码、五笔码、其它码后显示可选列表进行选择的方式，选择后同步将对于的ICD写入，同时也允许自由修改诊断的名称。</w:t>
      </w:r>
    </w:p>
    <w:p>
      <w:pPr>
        <w:pStyle w:val="389"/>
        <w:rPr>
          <w:color w:val="auto"/>
          <w:szCs w:val="24"/>
        </w:rPr>
      </w:pPr>
      <w:r>
        <w:rPr>
          <w:rFonts w:hint="eastAsia"/>
          <w:color w:val="auto"/>
          <w:szCs w:val="24"/>
          <w:lang w:bidi="ar"/>
        </w:rPr>
        <w:t>录入时对数据项需要进行有效性的校验，有效性的校验例如必填项、未填项、出生日期判断、身份证判断等。</w:t>
      </w:r>
    </w:p>
    <w:p>
      <w:pPr>
        <w:pStyle w:val="389"/>
        <w:rPr>
          <w:color w:val="auto"/>
          <w:szCs w:val="24"/>
        </w:rPr>
      </w:pPr>
      <w:r>
        <w:rPr>
          <w:rFonts w:hint="eastAsia"/>
          <w:color w:val="auto"/>
          <w:szCs w:val="24"/>
          <w:lang w:bidi="ar"/>
        </w:rPr>
        <w:t>首页中一些数据项不允许修改，采用自动更新的方式，比如姓名、性别等，对于不能修改的项目设为只读。</w:t>
      </w:r>
    </w:p>
    <w:p>
      <w:pPr>
        <w:pStyle w:val="389"/>
        <w:rPr>
          <w:color w:val="auto"/>
          <w:szCs w:val="24"/>
        </w:rPr>
      </w:pPr>
      <w:r>
        <w:rPr>
          <w:rFonts w:hint="eastAsia"/>
          <w:color w:val="auto"/>
          <w:szCs w:val="24"/>
          <w:lang w:bidi="ar"/>
        </w:rPr>
        <w:t xml:space="preserve">提供首页签名栏，支持弹出签名窗口录入密码后将医生的姓名自动填写到签名栏中。 </w:t>
      </w:r>
    </w:p>
    <w:p>
      <w:pPr>
        <w:pStyle w:val="389"/>
        <w:rPr>
          <w:color w:val="auto"/>
          <w:szCs w:val="24"/>
        </w:rPr>
      </w:pPr>
      <w:r>
        <w:rPr>
          <w:rFonts w:hint="eastAsia"/>
          <w:color w:val="auto"/>
          <w:szCs w:val="24"/>
          <w:lang w:bidi="ar"/>
        </w:rPr>
        <w:t>审阅权限：签名栏是否允许操作，要和权限挂钩。</w:t>
      </w:r>
    </w:p>
    <w:p>
      <w:pPr>
        <w:pStyle w:val="7"/>
        <w:spacing w:before="0" w:after="0" w:line="360" w:lineRule="auto"/>
        <w:ind w:left="992" w:hanging="992"/>
        <w:rPr>
          <w:rFonts w:ascii="宋体" w:hAnsi="宋体" w:eastAsia="宋体"/>
          <w:color w:val="auto"/>
        </w:rPr>
      </w:pPr>
      <w:bookmarkStart w:id="124" w:name="_Toc356145617"/>
      <w:r>
        <w:rPr>
          <w:rFonts w:hint="eastAsia" w:ascii="宋体" w:hAnsi="宋体" w:eastAsia="宋体"/>
          <w:color w:val="auto"/>
        </w:rPr>
        <w:t>b创建病历文档</w:t>
      </w:r>
      <w:bookmarkEnd w:id="124"/>
    </w:p>
    <w:p>
      <w:pPr>
        <w:pStyle w:val="389"/>
        <w:rPr>
          <w:color w:val="auto"/>
          <w:szCs w:val="24"/>
        </w:rPr>
      </w:pPr>
      <w:r>
        <w:rPr>
          <w:rFonts w:hint="eastAsia"/>
          <w:color w:val="auto"/>
          <w:szCs w:val="24"/>
          <w:lang w:bidi="ar"/>
        </w:rPr>
        <w:t>用户选择指定病历类别的病历模板。</w:t>
      </w:r>
    </w:p>
    <w:p>
      <w:pPr>
        <w:pStyle w:val="389"/>
        <w:rPr>
          <w:color w:val="auto"/>
          <w:szCs w:val="24"/>
        </w:rPr>
      </w:pPr>
      <w:r>
        <w:rPr>
          <w:rFonts w:hint="eastAsia"/>
          <w:color w:val="auto"/>
          <w:szCs w:val="24"/>
          <w:lang w:bidi="ar"/>
        </w:rPr>
        <w:t>根据用户的医疗角色，判断是否拥有该模板类别的“病历书写权限”。</w:t>
      </w:r>
    </w:p>
    <w:p>
      <w:pPr>
        <w:pStyle w:val="389"/>
        <w:rPr>
          <w:color w:val="auto"/>
          <w:szCs w:val="24"/>
        </w:rPr>
      </w:pPr>
      <w:r>
        <w:rPr>
          <w:rFonts w:hint="eastAsia"/>
          <w:color w:val="auto"/>
          <w:szCs w:val="24"/>
          <w:lang w:bidi="ar"/>
        </w:rPr>
        <w:t>创建病历数据（若是首次创建病程，一并创建页面页脚）。</w:t>
      </w:r>
    </w:p>
    <w:p>
      <w:pPr>
        <w:pStyle w:val="389"/>
        <w:rPr>
          <w:color w:val="auto"/>
          <w:szCs w:val="24"/>
        </w:rPr>
      </w:pPr>
      <w:r>
        <w:rPr>
          <w:rFonts w:hint="eastAsia"/>
          <w:color w:val="auto"/>
          <w:szCs w:val="24"/>
          <w:lang w:bidi="ar"/>
        </w:rPr>
        <w:t>加载病历模板数据。</w:t>
      </w:r>
    </w:p>
    <w:p>
      <w:pPr>
        <w:pStyle w:val="389"/>
        <w:rPr>
          <w:color w:val="auto"/>
          <w:szCs w:val="24"/>
        </w:rPr>
      </w:pPr>
      <w:r>
        <w:rPr>
          <w:rFonts w:hint="eastAsia"/>
          <w:color w:val="auto"/>
          <w:szCs w:val="24"/>
          <w:lang w:bidi="ar"/>
        </w:rPr>
        <w:t>调用“编辑文档”，切换到编辑状态。</w:t>
      </w:r>
    </w:p>
    <w:p>
      <w:pPr>
        <w:pStyle w:val="7"/>
        <w:spacing w:before="0" w:after="0" w:line="360" w:lineRule="auto"/>
        <w:ind w:left="992" w:hanging="992"/>
        <w:rPr>
          <w:rFonts w:ascii="宋体" w:hAnsi="宋体" w:eastAsia="宋体"/>
          <w:color w:val="auto"/>
        </w:rPr>
      </w:pPr>
      <w:bookmarkStart w:id="125" w:name="_Toc356145618"/>
      <w:r>
        <w:rPr>
          <w:rFonts w:hint="eastAsia" w:ascii="宋体" w:hAnsi="宋体" w:eastAsia="宋体"/>
          <w:color w:val="auto"/>
        </w:rPr>
        <w:t>c浏览病历文档</w:t>
      </w:r>
      <w:bookmarkEnd w:id="125"/>
    </w:p>
    <w:p>
      <w:pPr>
        <w:pStyle w:val="389"/>
        <w:rPr>
          <w:color w:val="auto"/>
          <w:szCs w:val="24"/>
        </w:rPr>
      </w:pPr>
      <w:r>
        <w:rPr>
          <w:rFonts w:hint="eastAsia"/>
          <w:color w:val="auto"/>
          <w:szCs w:val="24"/>
          <w:lang w:bidi="ar"/>
        </w:rPr>
        <w:t>打开一份病历文档，若无则打开空页面。</w:t>
      </w:r>
    </w:p>
    <w:p>
      <w:pPr>
        <w:pStyle w:val="389"/>
        <w:rPr>
          <w:color w:val="auto"/>
          <w:szCs w:val="24"/>
        </w:rPr>
      </w:pPr>
      <w:r>
        <w:rPr>
          <w:rFonts w:hint="eastAsia"/>
          <w:color w:val="auto"/>
          <w:szCs w:val="24"/>
          <w:lang w:bidi="ar"/>
        </w:rPr>
        <w:t>用户可根据个人习惯，缩放病历文档；</w:t>
      </w:r>
    </w:p>
    <w:p>
      <w:pPr>
        <w:pStyle w:val="389"/>
        <w:rPr>
          <w:color w:val="auto"/>
          <w:szCs w:val="24"/>
        </w:rPr>
      </w:pPr>
      <w:r>
        <w:rPr>
          <w:rFonts w:hint="eastAsia"/>
          <w:color w:val="auto"/>
          <w:szCs w:val="24"/>
          <w:lang w:bidi="ar"/>
        </w:rPr>
        <w:t>用户可查阅修改痕迹（基于文字对比技术的修改痕迹）</w:t>
      </w:r>
    </w:p>
    <w:p>
      <w:pPr>
        <w:pStyle w:val="389"/>
        <w:rPr>
          <w:color w:val="auto"/>
          <w:szCs w:val="24"/>
        </w:rPr>
      </w:pPr>
      <w:r>
        <w:rPr>
          <w:rFonts w:hint="eastAsia"/>
          <w:color w:val="auto"/>
          <w:szCs w:val="24"/>
          <w:lang w:bidi="ar"/>
        </w:rPr>
        <w:t>医生可查阅病历审计日志。</w:t>
      </w:r>
    </w:p>
    <w:p>
      <w:pPr>
        <w:pStyle w:val="7"/>
        <w:spacing w:before="0" w:after="0" w:line="360" w:lineRule="auto"/>
        <w:ind w:left="992" w:hanging="992"/>
        <w:rPr>
          <w:rFonts w:ascii="宋体" w:hAnsi="宋体" w:eastAsia="宋体"/>
          <w:color w:val="auto"/>
        </w:rPr>
      </w:pPr>
      <w:bookmarkStart w:id="126" w:name="_Toc356145619"/>
      <w:r>
        <w:rPr>
          <w:rFonts w:hint="eastAsia" w:ascii="宋体" w:hAnsi="宋体" w:eastAsia="宋体"/>
          <w:color w:val="auto"/>
        </w:rPr>
        <w:t>d书写病历文档</w:t>
      </w:r>
      <w:bookmarkEnd w:id="126"/>
    </w:p>
    <w:p>
      <w:pPr>
        <w:pStyle w:val="389"/>
        <w:rPr>
          <w:color w:val="auto"/>
          <w:szCs w:val="24"/>
        </w:rPr>
      </w:pPr>
      <w:r>
        <w:rPr>
          <w:rFonts w:hint="eastAsia"/>
          <w:color w:val="auto"/>
          <w:szCs w:val="24"/>
          <w:lang w:bidi="ar"/>
        </w:rPr>
        <w:t>提供病历文档编辑、病历锁、元素编辑器、文字编辑、表格编辑、图片编辑、撤销/恢复编辑、结构化复制/剪切/粘贴、文字样式设置、段落样式设置、段落标题修改、引用元素更新、自动备份病历文档、实现引用功能、书写医生签名、使用书写助手等。</w:t>
      </w:r>
    </w:p>
    <w:p>
      <w:pPr>
        <w:pStyle w:val="7"/>
        <w:spacing w:before="0" w:after="0" w:line="360" w:lineRule="auto"/>
        <w:ind w:left="992" w:hanging="992"/>
        <w:rPr>
          <w:rFonts w:ascii="宋体" w:hAnsi="宋体" w:eastAsia="宋体"/>
          <w:color w:val="auto"/>
        </w:rPr>
      </w:pPr>
      <w:bookmarkStart w:id="127" w:name="_Toc356145620"/>
      <w:r>
        <w:rPr>
          <w:rFonts w:hint="eastAsia" w:ascii="宋体" w:hAnsi="宋体" w:eastAsia="宋体"/>
          <w:color w:val="auto"/>
        </w:rPr>
        <w:t>e保存病历文档</w:t>
      </w:r>
      <w:bookmarkEnd w:id="127"/>
    </w:p>
    <w:p>
      <w:pPr>
        <w:pStyle w:val="389"/>
        <w:rPr>
          <w:color w:val="auto"/>
          <w:szCs w:val="24"/>
        </w:rPr>
      </w:pPr>
      <w:r>
        <w:rPr>
          <w:rFonts w:hint="eastAsia"/>
          <w:color w:val="auto"/>
          <w:szCs w:val="24"/>
          <w:lang w:bidi="ar"/>
        </w:rPr>
        <w:t>保存病历文档，存储病历数据，同步保存共享文档（HTML），当保存病历文档不成功时候将文档保存到本地。</w:t>
      </w:r>
    </w:p>
    <w:p>
      <w:pPr>
        <w:pStyle w:val="7"/>
        <w:spacing w:before="0" w:after="0" w:line="360" w:lineRule="auto"/>
        <w:ind w:left="992" w:hanging="992"/>
        <w:rPr>
          <w:rFonts w:ascii="宋体" w:hAnsi="宋体" w:eastAsia="宋体"/>
          <w:color w:val="auto"/>
        </w:rPr>
      </w:pPr>
      <w:bookmarkStart w:id="128" w:name="_Toc356145621"/>
      <w:r>
        <w:rPr>
          <w:rFonts w:hint="eastAsia" w:ascii="宋体" w:hAnsi="宋体" w:eastAsia="宋体"/>
          <w:color w:val="auto"/>
        </w:rPr>
        <w:t>f删除病历文档</w:t>
      </w:r>
      <w:bookmarkEnd w:id="128"/>
    </w:p>
    <w:p>
      <w:pPr>
        <w:pStyle w:val="389"/>
        <w:rPr>
          <w:color w:val="auto"/>
          <w:szCs w:val="24"/>
        </w:rPr>
      </w:pPr>
      <w:r>
        <w:rPr>
          <w:rFonts w:hint="eastAsia"/>
          <w:color w:val="auto"/>
          <w:szCs w:val="24"/>
          <w:lang w:bidi="ar"/>
        </w:rPr>
        <w:t>若有签名，不允许删除病历文档；删除病历文档，病历文档需执行解锁，编辑器中内容显示和病历树结构中结点需重新更新（数值），若病程，需重新打开病程记录。</w:t>
      </w:r>
    </w:p>
    <w:p>
      <w:pPr>
        <w:pStyle w:val="7"/>
        <w:spacing w:before="0" w:after="0" w:line="360" w:lineRule="auto"/>
        <w:ind w:left="992" w:hanging="992"/>
        <w:rPr>
          <w:rFonts w:ascii="宋体" w:hAnsi="宋体" w:eastAsia="宋体"/>
          <w:color w:val="auto"/>
        </w:rPr>
      </w:pPr>
      <w:bookmarkStart w:id="129" w:name="_Toc356145622"/>
      <w:r>
        <w:rPr>
          <w:rFonts w:hint="eastAsia" w:ascii="宋体" w:hAnsi="宋体" w:eastAsia="宋体"/>
          <w:color w:val="auto"/>
        </w:rPr>
        <w:t>g打印病历文档</w:t>
      </w:r>
      <w:bookmarkEnd w:id="129"/>
    </w:p>
    <w:p>
      <w:pPr>
        <w:pStyle w:val="389"/>
        <w:rPr>
          <w:color w:val="auto"/>
          <w:szCs w:val="24"/>
        </w:rPr>
      </w:pPr>
      <w:r>
        <w:rPr>
          <w:rFonts w:hint="eastAsia"/>
          <w:color w:val="auto"/>
          <w:szCs w:val="24"/>
          <w:lang w:bidi="ar"/>
        </w:rPr>
        <w:t>编辑界面与打印界面分离，所有的打印操作在打印预览界面完成。支持多种打印模式包括普通打印、打印当前病程、向前续打、向后续打、选择打印、显示/不显示网格线等。</w:t>
      </w:r>
    </w:p>
    <w:p>
      <w:pPr>
        <w:pStyle w:val="7"/>
        <w:spacing w:before="0" w:after="0" w:line="360" w:lineRule="auto"/>
        <w:ind w:left="992" w:hanging="992"/>
        <w:rPr>
          <w:rFonts w:ascii="宋体" w:hAnsi="宋体" w:eastAsia="宋体"/>
          <w:color w:val="auto"/>
        </w:rPr>
      </w:pPr>
      <w:bookmarkStart w:id="130" w:name="_Toc356145623"/>
      <w:r>
        <w:rPr>
          <w:rFonts w:hint="eastAsia" w:ascii="宋体" w:hAnsi="宋体" w:eastAsia="宋体"/>
          <w:color w:val="auto"/>
        </w:rPr>
        <w:t>h病历书写助手</w:t>
      </w:r>
      <w:bookmarkEnd w:id="130"/>
    </w:p>
    <w:p>
      <w:pPr>
        <w:pStyle w:val="389"/>
        <w:rPr>
          <w:color w:val="auto"/>
          <w:szCs w:val="24"/>
        </w:rPr>
      </w:pPr>
      <w:r>
        <w:rPr>
          <w:rFonts w:hint="eastAsia"/>
          <w:color w:val="auto"/>
          <w:szCs w:val="24"/>
          <w:lang w:bidi="ar"/>
        </w:rPr>
        <w:t>调用数据盒、调用常用语、调用医学表达式等辅助病历书写。</w:t>
      </w:r>
    </w:p>
    <w:p>
      <w:pPr>
        <w:pStyle w:val="7"/>
        <w:spacing w:before="0" w:after="0" w:line="360" w:lineRule="auto"/>
        <w:ind w:left="992" w:hanging="992"/>
        <w:rPr>
          <w:rFonts w:ascii="宋体" w:hAnsi="宋体" w:eastAsia="宋体"/>
          <w:color w:val="auto"/>
        </w:rPr>
      </w:pPr>
      <w:bookmarkStart w:id="131" w:name="_Toc356145624"/>
      <w:r>
        <w:rPr>
          <w:rFonts w:hint="eastAsia" w:ascii="宋体" w:hAnsi="宋体" w:eastAsia="宋体"/>
          <w:color w:val="auto"/>
        </w:rPr>
        <w:t>i医疗角色病历权限配置</w:t>
      </w:r>
      <w:bookmarkEnd w:id="131"/>
    </w:p>
    <w:p>
      <w:pPr>
        <w:pStyle w:val="389"/>
        <w:rPr>
          <w:color w:val="auto"/>
          <w:szCs w:val="24"/>
        </w:rPr>
      </w:pPr>
      <w:r>
        <w:rPr>
          <w:rFonts w:hint="eastAsia"/>
          <w:color w:val="auto"/>
          <w:szCs w:val="24"/>
          <w:lang w:bidi="ar"/>
        </w:rPr>
        <w:t>按门户角色设置病历书写权限，可对一个医疗角色执行新增、修改、删除等操作；选择一个医疗角色后，显示该角色对应的病历类别权限，按类别编码排序，病历类别权限包括：查看、书写、打印、审阅，并可对这四种病历类别权限进行操作。</w:t>
      </w:r>
    </w:p>
    <w:p>
      <w:pPr>
        <w:pStyle w:val="7"/>
        <w:spacing w:before="0" w:after="0" w:line="360" w:lineRule="auto"/>
        <w:ind w:left="992" w:hanging="992"/>
        <w:rPr>
          <w:rFonts w:ascii="宋体" w:hAnsi="宋体" w:eastAsia="宋体"/>
          <w:color w:val="auto"/>
        </w:rPr>
      </w:pPr>
      <w:bookmarkStart w:id="132" w:name="_Toc356145625"/>
      <w:r>
        <w:rPr>
          <w:rFonts w:hint="eastAsia" w:ascii="宋体" w:hAnsi="宋体" w:eastAsia="宋体"/>
          <w:color w:val="auto"/>
        </w:rPr>
        <w:t>j病历记录查询</w:t>
      </w:r>
      <w:bookmarkEnd w:id="132"/>
    </w:p>
    <w:p>
      <w:pPr>
        <w:pStyle w:val="389"/>
        <w:rPr>
          <w:color w:val="auto"/>
          <w:szCs w:val="24"/>
        </w:rPr>
      </w:pPr>
      <w:r>
        <w:rPr>
          <w:rFonts w:hint="eastAsia"/>
          <w:color w:val="auto"/>
          <w:szCs w:val="24"/>
          <w:lang w:bidi="ar"/>
        </w:rPr>
        <w:t>提供病历记录查询功能，设定病历资料中的项目条件，查找出符合条件的病历，同时对查出的结果集提供按照病历详情或只是简单浏览病历的方式查看病历。</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k未审阅病历查询</w:t>
      </w:r>
    </w:p>
    <w:p>
      <w:pPr>
        <w:pStyle w:val="389"/>
        <w:rPr>
          <w:color w:val="auto"/>
          <w:szCs w:val="24"/>
        </w:rPr>
      </w:pPr>
      <w:r>
        <w:rPr>
          <w:rFonts w:hint="eastAsia"/>
          <w:color w:val="auto"/>
          <w:szCs w:val="24"/>
          <w:lang w:bidi="ar"/>
        </w:rPr>
        <w:t>提供对主治医生未审阅的病历记录进行查询，设定病历资料中的项目条件，查找出符合条件的未签名的病历记录。同时对查出的结果集提供按照病历详情或只是简单浏览病历的方式查看病历。</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l我的模板</w:t>
      </w:r>
    </w:p>
    <w:p>
      <w:pPr>
        <w:pStyle w:val="389"/>
        <w:rPr>
          <w:color w:val="auto"/>
          <w:szCs w:val="24"/>
        </w:rPr>
      </w:pPr>
      <w:r>
        <w:rPr>
          <w:rFonts w:hint="eastAsia"/>
          <w:color w:val="auto"/>
          <w:szCs w:val="24"/>
          <w:lang w:bidi="ar"/>
        </w:rPr>
        <w:t>支持在病历书写过程中保存某份具有共性的未签名的病历为个人模板。提供医生本人保存过的所有个人模板统一维护的入口，提供注销、恢复、保存、修改模板、预览等功能。</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m我的选项</w:t>
      </w:r>
    </w:p>
    <w:p>
      <w:pPr>
        <w:pStyle w:val="389"/>
        <w:rPr>
          <w:color w:val="auto"/>
          <w:szCs w:val="24"/>
        </w:rPr>
      </w:pPr>
      <w:r>
        <w:rPr>
          <w:rFonts w:hint="eastAsia"/>
          <w:color w:val="auto"/>
          <w:szCs w:val="24"/>
          <w:lang w:bidi="ar"/>
        </w:rPr>
        <w:t>设置书写病历时是否自动跳转到下一个元素、自动保存病历文档的恢复文件的间隔时间、病历文档的显示比例等参数。</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n医学表达式</w:t>
      </w:r>
    </w:p>
    <w:p>
      <w:pPr>
        <w:pStyle w:val="389"/>
        <w:rPr>
          <w:color w:val="auto"/>
          <w:szCs w:val="24"/>
        </w:rPr>
      </w:pPr>
      <w:r>
        <w:rPr>
          <w:rFonts w:hint="eastAsia"/>
          <w:color w:val="auto"/>
          <w:szCs w:val="24"/>
          <w:lang w:bidi="ar"/>
        </w:rPr>
        <w:t>维护各类医学表达式，提供新增、修改属性、编辑图片、注销等功能。</w:t>
      </w:r>
    </w:p>
    <w:p>
      <w:pPr>
        <w:pStyle w:val="6"/>
        <w:spacing w:before="0" w:after="0" w:line="360" w:lineRule="auto"/>
        <w:ind w:left="851" w:hanging="851"/>
        <w:rPr>
          <w:rFonts w:ascii="宋体" w:hAnsi="宋体"/>
          <w:color w:val="auto"/>
          <w:sz w:val="24"/>
          <w:szCs w:val="24"/>
        </w:rPr>
      </w:pPr>
      <w:bookmarkStart w:id="133" w:name="_Toc777"/>
      <w:r>
        <w:rPr>
          <w:rFonts w:hint="eastAsia" w:ascii="宋体" w:hAnsi="宋体"/>
          <w:color w:val="auto"/>
          <w:sz w:val="24"/>
          <w:szCs w:val="24"/>
        </w:rPr>
        <w:t>（4）住院药房</w:t>
      </w:r>
      <w:bookmarkEnd w:id="121"/>
      <w:bookmarkEnd w:id="133"/>
    </w:p>
    <w:p>
      <w:pPr>
        <w:pStyle w:val="7"/>
        <w:spacing w:before="0" w:after="0" w:line="360" w:lineRule="auto"/>
        <w:ind w:left="992" w:hanging="992"/>
        <w:rPr>
          <w:rFonts w:ascii="宋体" w:hAnsi="宋体" w:eastAsia="宋体"/>
          <w:color w:val="auto"/>
        </w:rPr>
      </w:pPr>
      <w:bookmarkStart w:id="134" w:name="_Toc356145535"/>
      <w:r>
        <w:rPr>
          <w:rFonts w:hint="eastAsia" w:ascii="宋体" w:hAnsi="宋体" w:eastAsia="宋体"/>
          <w:color w:val="auto"/>
        </w:rPr>
        <w:t>a医嘱发药</w:t>
      </w:r>
      <w:bookmarkEnd w:id="134"/>
    </w:p>
    <w:p>
      <w:pPr>
        <w:pStyle w:val="389"/>
        <w:rPr>
          <w:color w:val="auto"/>
          <w:szCs w:val="24"/>
        </w:rPr>
      </w:pPr>
      <w:r>
        <w:rPr>
          <w:rFonts w:hint="eastAsia"/>
          <w:color w:val="auto"/>
          <w:szCs w:val="24"/>
          <w:lang w:bidi="ar"/>
        </w:rPr>
        <w:t>针对病区系统中药品医嘱输入的医嘱提交到相对应药房的药品的发药处理。在药房内需设置相应的科室权限才可对科室发药。发药可按照医嘱发药和汇总发药两种方式进行，同时提供药品退回病区功能。</w:t>
      </w:r>
    </w:p>
    <w:p>
      <w:pPr>
        <w:pStyle w:val="7"/>
        <w:spacing w:before="0" w:after="0" w:line="360" w:lineRule="auto"/>
        <w:ind w:left="992" w:hanging="992"/>
        <w:rPr>
          <w:rFonts w:ascii="宋体" w:hAnsi="宋体" w:eastAsia="宋体"/>
          <w:color w:val="auto"/>
        </w:rPr>
      </w:pPr>
      <w:bookmarkStart w:id="135" w:name="_Toc356145536"/>
      <w:r>
        <w:rPr>
          <w:rFonts w:hint="eastAsia" w:ascii="宋体" w:hAnsi="宋体" w:eastAsia="宋体"/>
          <w:color w:val="auto"/>
        </w:rPr>
        <w:t>b病区退药</w:t>
      </w:r>
      <w:bookmarkEnd w:id="135"/>
    </w:p>
    <w:p>
      <w:pPr>
        <w:pStyle w:val="389"/>
        <w:rPr>
          <w:color w:val="auto"/>
          <w:szCs w:val="24"/>
        </w:rPr>
      </w:pPr>
      <w:r>
        <w:rPr>
          <w:rFonts w:hint="eastAsia"/>
          <w:color w:val="auto"/>
          <w:szCs w:val="24"/>
          <w:lang w:bidi="ar"/>
        </w:rPr>
        <w:t>对病区患者的退药申请单的处理，病区系统中退药申请提交后，会汇总到相应的药房的病区退药窗口中，进行退药，退药的同时退费。</w:t>
      </w:r>
    </w:p>
    <w:p>
      <w:pPr>
        <w:pStyle w:val="7"/>
        <w:spacing w:before="0" w:after="0" w:line="360" w:lineRule="auto"/>
        <w:ind w:left="992" w:hanging="992"/>
        <w:rPr>
          <w:rFonts w:ascii="宋体" w:hAnsi="宋体" w:eastAsia="宋体"/>
          <w:color w:val="auto"/>
        </w:rPr>
      </w:pPr>
      <w:bookmarkStart w:id="136" w:name="_Toc356145537"/>
      <w:r>
        <w:rPr>
          <w:rFonts w:hint="eastAsia" w:ascii="宋体" w:hAnsi="宋体" w:eastAsia="宋体"/>
          <w:color w:val="auto"/>
        </w:rPr>
        <w:t>c药房记账</w:t>
      </w:r>
    </w:p>
    <w:p>
      <w:pPr>
        <w:pStyle w:val="389"/>
        <w:rPr>
          <w:color w:val="auto"/>
          <w:szCs w:val="24"/>
        </w:rPr>
      </w:pPr>
      <w:r>
        <w:rPr>
          <w:rFonts w:hint="eastAsia"/>
          <w:color w:val="auto"/>
          <w:szCs w:val="24"/>
          <w:lang w:bidi="ar"/>
        </w:rPr>
        <w:t>住院病人拿着医生手工开具的处方单，到对应药房进行记账处理。药房人员根据住院号码或者床位调出病人信息，然后根据处方单的内容进行录入系统操作，录入完成记账时对病人进行计费，并将药品发放给病人的操作。</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d发药查询</w:t>
      </w:r>
      <w:bookmarkEnd w:id="136"/>
    </w:p>
    <w:p>
      <w:pPr>
        <w:pStyle w:val="389"/>
        <w:rPr>
          <w:color w:val="auto"/>
          <w:szCs w:val="24"/>
        </w:rPr>
      </w:pPr>
      <w:r>
        <w:rPr>
          <w:rFonts w:hint="eastAsia"/>
          <w:color w:val="auto"/>
          <w:szCs w:val="24"/>
          <w:lang w:bidi="ar"/>
        </w:rPr>
        <w:t>可按照住院科室和发药药品类型以及操作员等查询条件查询某时间段内所有病人的发药明细，提供相应打印功能。</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e发药汇总查询</w:t>
      </w:r>
    </w:p>
    <w:p>
      <w:pPr>
        <w:pStyle w:val="389"/>
        <w:rPr>
          <w:color w:val="auto"/>
          <w:szCs w:val="24"/>
        </w:rPr>
      </w:pPr>
      <w:r>
        <w:rPr>
          <w:rFonts w:hint="eastAsia"/>
          <w:color w:val="auto"/>
          <w:szCs w:val="24"/>
          <w:lang w:bidi="ar"/>
        </w:rPr>
        <w:t>按照住院科室查询药品在某时间段内被使用的情况，可分别按照发药类型和退药类型以及二者的汇总作分类查询。</w:t>
      </w:r>
    </w:p>
    <w:p>
      <w:pPr>
        <w:pStyle w:val="5"/>
        <w:spacing w:before="0" w:after="0" w:line="360" w:lineRule="auto"/>
        <w:ind w:left="709" w:hanging="709"/>
        <w:rPr>
          <w:rFonts w:ascii="宋体" w:hAnsi="宋体" w:eastAsia="宋体"/>
          <w:color w:val="auto"/>
          <w:sz w:val="24"/>
          <w:szCs w:val="24"/>
        </w:rPr>
      </w:pPr>
      <w:bookmarkStart w:id="137" w:name="_Toc26491"/>
      <w:r>
        <w:rPr>
          <w:rFonts w:hint="eastAsia" w:ascii="宋体" w:hAnsi="宋体" w:eastAsia="宋体"/>
          <w:color w:val="auto"/>
          <w:sz w:val="24"/>
          <w:szCs w:val="24"/>
        </w:rPr>
        <w:t>4.1.3、统一支付平台（微信、支付宝结算）</w:t>
      </w:r>
    </w:p>
    <w:p>
      <w:pPr>
        <w:pStyle w:val="6"/>
        <w:spacing w:before="0" w:after="0" w:line="360" w:lineRule="auto"/>
        <w:ind w:left="851" w:hanging="851"/>
        <w:rPr>
          <w:rFonts w:ascii="宋体" w:hAnsi="宋体"/>
          <w:color w:val="auto"/>
          <w:sz w:val="24"/>
          <w:szCs w:val="24"/>
        </w:rPr>
      </w:pPr>
      <w:r>
        <w:rPr>
          <w:rFonts w:hint="eastAsia" w:ascii="宋体" w:hAnsi="宋体"/>
          <w:color w:val="auto"/>
          <w:sz w:val="24"/>
          <w:szCs w:val="24"/>
        </w:rPr>
        <w:t>（1）自助查账</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a交易查账</w:t>
      </w:r>
    </w:p>
    <w:p>
      <w:pPr>
        <w:pStyle w:val="389"/>
        <w:rPr>
          <w:color w:val="auto"/>
          <w:szCs w:val="24"/>
        </w:rPr>
      </w:pPr>
      <w:r>
        <w:rPr>
          <w:rFonts w:hint="eastAsia"/>
          <w:color w:val="auto"/>
          <w:szCs w:val="24"/>
          <w:lang w:bidi="ar"/>
        </w:rPr>
        <w:t>支持实时查看当日支付宝、微信的成交笔数及金额。</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b交易管理</w:t>
      </w:r>
    </w:p>
    <w:p>
      <w:pPr>
        <w:pStyle w:val="389"/>
        <w:ind w:firstLine="482"/>
        <w:rPr>
          <w:b/>
          <w:bCs/>
          <w:color w:val="auto"/>
          <w:szCs w:val="24"/>
        </w:rPr>
      </w:pPr>
      <w:r>
        <w:rPr>
          <w:rFonts w:hint="eastAsia"/>
          <w:b/>
          <w:bCs/>
          <w:color w:val="auto"/>
          <w:szCs w:val="24"/>
          <w:lang w:bidi="ar"/>
        </w:rPr>
        <w:t>交易记录查询</w:t>
      </w:r>
    </w:p>
    <w:p>
      <w:pPr>
        <w:pStyle w:val="389"/>
        <w:rPr>
          <w:color w:val="auto"/>
          <w:szCs w:val="24"/>
        </w:rPr>
      </w:pPr>
      <w:r>
        <w:rPr>
          <w:rFonts w:hint="eastAsia"/>
          <w:color w:val="auto"/>
          <w:szCs w:val="24"/>
          <w:lang w:bidi="ar"/>
        </w:rPr>
        <w:t>可实时查询当前医院下所有的交易订单信息，包括订单日期、业务单号、金额、退款金额、支付状态、支付渠道、类型、方式、渠道流水号及门店号关联账户简称信息。</w:t>
      </w:r>
    </w:p>
    <w:p>
      <w:pPr>
        <w:pStyle w:val="389"/>
        <w:ind w:firstLine="482"/>
        <w:rPr>
          <w:b/>
          <w:bCs/>
          <w:color w:val="auto"/>
          <w:szCs w:val="24"/>
        </w:rPr>
      </w:pPr>
      <w:r>
        <w:rPr>
          <w:rFonts w:hint="eastAsia"/>
          <w:b/>
          <w:bCs/>
          <w:color w:val="auto"/>
          <w:szCs w:val="24"/>
          <w:lang w:bidi="ar"/>
        </w:rPr>
        <w:t>退款记录查询</w:t>
      </w:r>
    </w:p>
    <w:p>
      <w:pPr>
        <w:pStyle w:val="389"/>
        <w:rPr>
          <w:color w:val="auto"/>
          <w:szCs w:val="24"/>
        </w:rPr>
      </w:pPr>
      <w:r>
        <w:rPr>
          <w:rFonts w:hint="eastAsia"/>
          <w:color w:val="auto"/>
          <w:szCs w:val="24"/>
          <w:lang w:bidi="ar"/>
        </w:rPr>
        <w:t>可实时查询当前医院下所有的退款订单信息，包括交易时间、业务单号、金额、处理状态、原业务单号、原付款人、支付渠道（微信/支付宝）、方式（线上/线下）、门店号。</w:t>
      </w:r>
    </w:p>
    <w:p>
      <w:pPr>
        <w:pStyle w:val="389"/>
        <w:ind w:firstLine="482"/>
        <w:rPr>
          <w:b/>
          <w:bCs/>
          <w:color w:val="auto"/>
          <w:szCs w:val="24"/>
        </w:rPr>
      </w:pPr>
      <w:r>
        <w:rPr>
          <w:rFonts w:hint="eastAsia"/>
          <w:b/>
          <w:bCs/>
          <w:color w:val="auto"/>
          <w:szCs w:val="24"/>
          <w:lang w:bidi="ar"/>
        </w:rPr>
        <w:t>自助异常退款</w:t>
      </w:r>
    </w:p>
    <w:p>
      <w:pPr>
        <w:pStyle w:val="389"/>
        <w:rPr>
          <w:color w:val="auto"/>
          <w:szCs w:val="24"/>
        </w:rPr>
      </w:pPr>
      <w:r>
        <w:rPr>
          <w:rFonts w:hint="eastAsia" w:cs="宋体"/>
          <w:color w:val="auto"/>
          <w:szCs w:val="24"/>
          <w:lang w:bidi="ar"/>
        </w:rPr>
        <w:t>手动发起退款操作，输入原业务订单号、退款业务单号、原渠道、付款时间、付款人、订单总额、本次退款金额以及特权密码（即医院退款密码），确认提交。</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c统计分析</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日交易情况统计表</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查看当前登录医院每日支付宝、微信交易金额、交易量数据统计图表。</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月交易情况统计表</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查看当前登录医院每月支付宝、微信交易金额、交易量数据统计图表。</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季交易情况统计表</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查看当前登录医院每个季度支付宝、微信交易金额、交易量数据统计图表。</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总交易情况统计表</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查看当前登录医院所有通过支付宝、微信进行交易的交易金额、交易量统计数据及数据分布图。</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统一对账（日交易清单）</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可按交易时间段查询医院与第三方支付平台日交易数据汇总明细，支持查询结果的导出。</w:t>
      </w:r>
    </w:p>
    <w:p>
      <w:pPr>
        <w:pStyle w:val="6"/>
        <w:spacing w:before="0" w:after="0" w:line="360" w:lineRule="auto"/>
        <w:ind w:left="851" w:hanging="851"/>
        <w:rPr>
          <w:rFonts w:ascii="宋体" w:hAnsi="宋体"/>
          <w:color w:val="auto"/>
          <w:sz w:val="24"/>
          <w:szCs w:val="24"/>
        </w:rPr>
      </w:pPr>
      <w:r>
        <w:rPr>
          <w:rFonts w:hint="eastAsia" w:ascii="宋体" w:hAnsi="宋体"/>
          <w:color w:val="auto"/>
          <w:sz w:val="24"/>
          <w:szCs w:val="24"/>
        </w:rPr>
        <w:t>（2）交易管理</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a交易管理总览</w:t>
      </w:r>
    </w:p>
    <w:p>
      <w:pPr>
        <w:pStyle w:val="389"/>
        <w:rPr>
          <w:color w:val="auto"/>
          <w:szCs w:val="24"/>
        </w:rPr>
      </w:pPr>
      <w:r>
        <w:rPr>
          <w:rFonts w:hint="eastAsia"/>
          <w:color w:val="auto"/>
          <w:szCs w:val="24"/>
          <w:lang w:bidi="ar"/>
        </w:rPr>
        <w:t>支持实时查看昨日交易金额总数、昨日交易笔数总数以及单笔均价，可查看医院统计数据以及交易金额排名。</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b医院管理</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回调地址配置</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配置线上应用接口的回调地址，用于通知支付完成信息。可进行增删改查。</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应用厂商管理</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应用厂商信息的新增、删除、编辑和查询。</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入网参数设置</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按医院号、医院名称、分中心（区域）及签约类型查询各医院的服务商、支付渠道、签约类型信息。</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医院入网登记</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使用聚合支付的医院都需先在管理端平台上进行医院信息的设立，添加完医院后，选中该医院，可进行添加签约、选择对账参数、入网的登记、签约、添加入网参数、添加</w:t>
      </w:r>
      <w:r>
        <w:rPr>
          <w:rFonts w:hint="eastAsia" w:ascii="宋体" w:hAnsi="宋体"/>
          <w:color w:val="auto"/>
          <w:kern w:val="0"/>
          <w:sz w:val="24"/>
          <w:lang w:bidi="ar"/>
        </w:rPr>
        <w:t>HIS</w:t>
      </w:r>
      <w:r>
        <w:rPr>
          <w:rFonts w:hint="eastAsia" w:ascii="宋体" w:hAnsi="宋体" w:cs="宋体"/>
          <w:color w:val="auto"/>
          <w:kern w:val="0"/>
          <w:sz w:val="24"/>
          <w:lang w:bidi="ar"/>
        </w:rPr>
        <w:t>开发者</w:t>
      </w:r>
      <w:r>
        <w:rPr>
          <w:rFonts w:hint="eastAsia" w:ascii="宋体" w:hAnsi="宋体"/>
          <w:color w:val="auto"/>
          <w:kern w:val="0"/>
          <w:sz w:val="24"/>
          <w:lang w:bidi="ar"/>
        </w:rPr>
        <w:t>ID</w:t>
      </w:r>
      <w:r>
        <w:rPr>
          <w:rFonts w:hint="eastAsia" w:ascii="宋体" w:hAnsi="宋体" w:cs="宋体"/>
          <w:color w:val="auto"/>
          <w:kern w:val="0"/>
          <w:sz w:val="24"/>
          <w:lang w:bidi="ar"/>
        </w:rPr>
        <w:t>以及关联开发者</w:t>
      </w:r>
      <w:r>
        <w:rPr>
          <w:rFonts w:hint="eastAsia" w:ascii="宋体" w:hAnsi="宋体"/>
          <w:color w:val="auto"/>
          <w:kern w:val="0"/>
          <w:sz w:val="24"/>
          <w:lang w:bidi="ar"/>
        </w:rPr>
        <w:t>ID</w:t>
      </w:r>
      <w:r>
        <w:rPr>
          <w:rFonts w:hint="eastAsia" w:ascii="宋体" w:hAnsi="宋体" w:cs="宋体"/>
          <w:color w:val="auto"/>
          <w:kern w:val="0"/>
          <w:sz w:val="24"/>
          <w:lang w:bidi="ar"/>
        </w:rPr>
        <w:t>的操作。</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回调信息查询</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可按开发者</w:t>
      </w:r>
      <w:r>
        <w:rPr>
          <w:rFonts w:hint="eastAsia" w:ascii="宋体" w:hAnsi="宋体"/>
          <w:color w:val="auto"/>
          <w:kern w:val="0"/>
          <w:sz w:val="24"/>
          <w:lang w:bidi="ar"/>
        </w:rPr>
        <w:t>ID</w:t>
      </w:r>
      <w:r>
        <w:rPr>
          <w:rFonts w:hint="eastAsia" w:ascii="宋体" w:hAnsi="宋体" w:cs="宋体"/>
          <w:color w:val="auto"/>
          <w:kern w:val="0"/>
          <w:sz w:val="24"/>
          <w:lang w:bidi="ar"/>
        </w:rPr>
        <w:t>、功能码（接口标识）、订单号查询接口回调信息。</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c基础设置</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字典管理</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字典管理：用户可在此模块中对系统字典维护及配置。</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菜单管理</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用户可在此模块中对系统菜单进行维护及配置。</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分中心管理</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用户可在此模块中添加及维护分中心信息</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d系统管理</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用户管理</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对平台用户进行维护及管理。</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自助查账系统用户管理</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可查看医院端的用户账号信息列表，选中任一用户信息可进行密码重置及授权密码的重置。</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e交易管理</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交易流水查询</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查看所有的交易订单信息，包括订单信息、交易渠道、交易状态、付款信息、交易金额、交易日期、订单标题及渠道流水号。</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退款流水查询</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查看所有的退款订单信息，包括订单信息、交易渠道、交易状态、原支付业务单号、交易金额、交易日期、订单标题及渠道流水号。</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f对账管理</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对账结果查询</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查询平台与第三方支付平台每日系统自动对账结果。支持选择需要重新对账的日期进行重新对账。</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对账日报查询</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查询各医院中各交易类型、渠道的当日对账交易明细。</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对账差错查询</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查询对账差错明细信息。</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对账模板设置</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对对账模板进行新增、配置及维护。</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g统计分析</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医院交易情况统计表</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查看医院通过支付宝及微信进行交易的汇总数据，可按医院医院号、医院名称及交易日期查询医院交易数据明细，并支持导出功能。</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医院每日交易信息汇总</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查看医院不同支付渠道的每日交易汇总数据，可按医院号、医院名称及日期查询各医院每日交易汇总数据，并支持导出功能。</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医院交易类型情况表</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查看医院档期及累计的线上和线下交易汇总金额，可按医院医院号、医院名称及交易日期查询，并支持导出功能。</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普通收款报表</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即当日医院净收入报表。可查看医院总净额、支付宝净额及微信净额汇总数据，可按医院号、交易日期进行查询。</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h决策分析</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平台交易统计表</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看平台交易数据统计日报、周报、月报、季报及年报。</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平台交易分析表</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查看图表形式平台日交易、月交易、季交易、年度交易、月支付方式统计、渠道月分布、渠道季分布、渠道年分布统计分析表。</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医院交易统计表</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查看医院交易数据统计日报、周报、月报、季报及年报。</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医院交易分析表</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查看图表形式医院日交易、月交易、季交易、年度交易、月支付方式统计分析表。</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ie-CNY聚合服务</w:t>
      </w:r>
    </w:p>
    <w:p>
      <w:pPr>
        <w:widowControl/>
        <w:spacing w:line="360" w:lineRule="auto"/>
        <w:ind w:firstLine="560"/>
        <w:rPr>
          <w:rFonts w:ascii="宋体" w:hAnsi="宋体"/>
          <w:color w:val="auto"/>
          <w:sz w:val="24"/>
        </w:rPr>
      </w:pPr>
      <w:r>
        <w:rPr>
          <w:rFonts w:hint="eastAsia" w:ascii="宋体" w:hAnsi="宋体"/>
          <w:color w:val="auto"/>
          <w:kern w:val="0"/>
          <w:sz w:val="24"/>
          <w:lang w:bidi="ar"/>
        </w:rPr>
        <w:t>e-CNY</w:t>
      </w:r>
      <w:r>
        <w:rPr>
          <w:rFonts w:hint="eastAsia" w:ascii="宋体" w:hAnsi="宋体" w:cs="宋体"/>
          <w:color w:val="auto"/>
          <w:kern w:val="0"/>
          <w:sz w:val="24"/>
          <w:lang w:bidi="ar"/>
        </w:rPr>
        <w:t>聚合服务是集成央行数字人民币运营机构通道，为聚合支付平台提供数字人民币支付功能。</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对公钱包管理</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运营机构管理：查看已接入央行数字人民币运营机构。</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医院管理：查看已接入聚合支付平台医院信息。</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对公钱包配置：医院在不同运营机构开立的对公钱包进行配置关联。</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对公钱包在线申请（待银行开通）：在线提供资质证照，向运营机构申请开立对公钱包。</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交易管理</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查看所有的数字人民币交易交易订单信息，包括订单信息、交易渠道、交易状态、付款信息、交易金额、交易日期、订单标题及渠道流水号、运营机构、对公钱包号。</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账务管理</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运营机构对账单查询</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数字人民币对账结果查询</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数字人民币对账差错查询</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对账模板设置：自定义对账文件表头显示信息</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统计分析</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对公钱包交易情况统计：查看医院通过数字人民币交易的汇总数据，可按医院医院、交易日期、对公钱包编号、运营机构名称，查询医院交易数据明细，并支持导出功能。</w:t>
      </w:r>
    </w:p>
    <w:p>
      <w:pPr>
        <w:widowControl/>
        <w:spacing w:line="360" w:lineRule="auto"/>
        <w:ind w:firstLine="562"/>
        <w:rPr>
          <w:rFonts w:ascii="宋体" w:hAnsi="宋体"/>
          <w:b/>
          <w:color w:val="auto"/>
          <w:sz w:val="24"/>
        </w:rPr>
      </w:pPr>
      <w:r>
        <w:rPr>
          <w:rFonts w:hint="eastAsia" w:ascii="宋体" w:hAnsi="宋体"/>
          <w:b/>
          <w:color w:val="auto"/>
          <w:kern w:val="0"/>
          <w:sz w:val="24"/>
          <w:lang w:bidi="ar"/>
        </w:rPr>
        <w:t>日志记录</w:t>
      </w:r>
    </w:p>
    <w:p>
      <w:pPr>
        <w:widowControl/>
        <w:spacing w:line="360" w:lineRule="auto"/>
        <w:ind w:firstLine="560"/>
        <w:rPr>
          <w:rFonts w:ascii="宋体" w:hAnsi="宋体"/>
          <w:color w:val="auto"/>
          <w:sz w:val="24"/>
        </w:rPr>
      </w:pPr>
      <w:r>
        <w:rPr>
          <w:rFonts w:hint="eastAsia" w:ascii="宋体" w:hAnsi="宋体" w:cs="宋体"/>
          <w:color w:val="auto"/>
          <w:kern w:val="0"/>
          <w:sz w:val="24"/>
          <w:lang w:bidi="ar"/>
        </w:rPr>
        <w:t>可查看日志记录，监视系统中发生的事件，通过它来检查错误发生的原因，或者寻找受到攻击时攻击者留下的痕迹。</w:t>
      </w:r>
    </w:p>
    <w:p>
      <w:pPr>
        <w:pStyle w:val="6"/>
        <w:spacing w:before="0" w:after="0" w:line="360" w:lineRule="auto"/>
        <w:ind w:left="851" w:hanging="851"/>
        <w:rPr>
          <w:rFonts w:ascii="宋体" w:hAnsi="宋体"/>
          <w:color w:val="auto"/>
          <w:sz w:val="24"/>
          <w:szCs w:val="24"/>
        </w:rPr>
      </w:pPr>
      <w:r>
        <w:rPr>
          <w:rFonts w:hint="eastAsia" w:ascii="宋体" w:hAnsi="宋体"/>
          <w:color w:val="auto"/>
          <w:sz w:val="24"/>
          <w:szCs w:val="24"/>
        </w:rPr>
        <w:t>（3）统一对账</w:t>
      </w:r>
    </w:p>
    <w:p>
      <w:pPr>
        <w:snapToGrid w:val="0"/>
        <w:spacing w:line="360" w:lineRule="auto"/>
        <w:ind w:firstLine="480"/>
        <w:jc w:val="left"/>
        <w:rPr>
          <w:rFonts w:ascii="宋体" w:hAnsi="宋体"/>
          <w:color w:val="auto"/>
          <w:sz w:val="24"/>
        </w:rPr>
      </w:pPr>
      <w:r>
        <w:rPr>
          <w:rFonts w:ascii="宋体" w:hAnsi="宋体" w:cs="Wingdings"/>
          <w:color w:val="auto"/>
          <w:sz w:val="24"/>
        </w:rPr>
        <w:t></w:t>
      </w:r>
      <w:r>
        <w:rPr>
          <w:rFonts w:hint="eastAsia" w:ascii="宋体" w:hAnsi="宋体" w:cs="宋体"/>
          <w:color w:val="auto"/>
          <w:kern w:val="0"/>
          <w:sz w:val="24"/>
          <w:lang w:bidi="ar"/>
        </w:rPr>
        <w:t>聚合支付平台提供医院，可登录自助查账平台</w:t>
      </w:r>
    </w:p>
    <w:p>
      <w:pPr>
        <w:snapToGrid w:val="0"/>
        <w:spacing w:line="360" w:lineRule="auto"/>
        <w:ind w:firstLine="480"/>
        <w:jc w:val="left"/>
        <w:rPr>
          <w:rFonts w:ascii="宋体" w:hAnsi="宋体"/>
          <w:color w:val="auto"/>
          <w:sz w:val="24"/>
        </w:rPr>
      </w:pPr>
      <w:r>
        <w:rPr>
          <w:rFonts w:ascii="宋体" w:hAnsi="宋体" w:cs="Wingdings"/>
          <w:color w:val="auto"/>
          <w:sz w:val="24"/>
        </w:rPr>
        <w:t></w:t>
      </w:r>
      <w:r>
        <w:rPr>
          <w:rFonts w:hint="eastAsia" w:ascii="宋体" w:hAnsi="宋体" w:cs="宋体"/>
          <w:color w:val="auto"/>
          <w:kern w:val="0"/>
          <w:sz w:val="24"/>
          <w:lang w:bidi="ar"/>
        </w:rPr>
        <w:t>聚合支付平台提供医院，支付宝</w:t>
      </w:r>
      <w:r>
        <w:rPr>
          <w:rFonts w:hint="eastAsia" w:ascii="宋体" w:hAnsi="宋体"/>
          <w:color w:val="auto"/>
          <w:kern w:val="0"/>
          <w:sz w:val="24"/>
          <w:lang w:bidi="ar"/>
        </w:rPr>
        <w:t>/</w:t>
      </w:r>
      <w:r>
        <w:rPr>
          <w:rFonts w:hint="eastAsia" w:ascii="宋体" w:hAnsi="宋体" w:cs="宋体"/>
          <w:color w:val="auto"/>
          <w:kern w:val="0"/>
          <w:sz w:val="24"/>
          <w:lang w:bidi="ar"/>
        </w:rPr>
        <w:t>微信支付对账结果，即医院日交易清单</w:t>
      </w:r>
    </w:p>
    <w:p>
      <w:pPr>
        <w:snapToGrid w:val="0"/>
        <w:spacing w:line="360" w:lineRule="auto"/>
        <w:ind w:firstLine="480"/>
        <w:jc w:val="left"/>
        <w:rPr>
          <w:rFonts w:ascii="宋体" w:hAnsi="宋体"/>
          <w:color w:val="auto"/>
          <w:sz w:val="24"/>
        </w:rPr>
      </w:pPr>
      <w:r>
        <w:rPr>
          <w:rFonts w:ascii="宋体" w:hAnsi="宋体" w:cs="Wingdings"/>
          <w:color w:val="auto"/>
          <w:sz w:val="24"/>
        </w:rPr>
        <w:t></w:t>
      </w:r>
      <w:r>
        <w:rPr>
          <w:rFonts w:hint="eastAsia" w:ascii="宋体" w:hAnsi="宋体" w:cs="宋体"/>
          <w:color w:val="auto"/>
          <w:kern w:val="0"/>
          <w:sz w:val="24"/>
          <w:lang w:bidi="ar"/>
        </w:rPr>
        <w:t>聚合支付平台提供支付宝</w:t>
      </w:r>
      <w:r>
        <w:rPr>
          <w:rFonts w:hint="eastAsia" w:ascii="宋体" w:hAnsi="宋体"/>
          <w:color w:val="auto"/>
          <w:kern w:val="0"/>
          <w:sz w:val="24"/>
          <w:lang w:bidi="ar"/>
        </w:rPr>
        <w:t>/</w:t>
      </w:r>
      <w:r>
        <w:rPr>
          <w:rFonts w:hint="eastAsia" w:ascii="宋体" w:hAnsi="宋体" w:cs="宋体"/>
          <w:color w:val="auto"/>
          <w:kern w:val="0"/>
          <w:sz w:val="24"/>
          <w:lang w:bidi="ar"/>
        </w:rPr>
        <w:t>微信的对账单，支持下载对账文件，通过比对交易数据，实现</w:t>
      </w:r>
      <w:r>
        <w:rPr>
          <w:rFonts w:hint="eastAsia" w:ascii="宋体" w:hAnsi="宋体"/>
          <w:color w:val="auto"/>
          <w:kern w:val="0"/>
          <w:sz w:val="24"/>
          <w:lang w:bidi="ar"/>
        </w:rPr>
        <w:t>HIS</w:t>
      </w:r>
      <w:r>
        <w:rPr>
          <w:rFonts w:hint="eastAsia" w:ascii="宋体" w:hAnsi="宋体" w:cs="宋体"/>
          <w:color w:val="auto"/>
          <w:kern w:val="0"/>
          <w:sz w:val="24"/>
          <w:lang w:bidi="ar"/>
        </w:rPr>
        <w:t>与平台交易对账。</w:t>
      </w:r>
    </w:p>
    <w:p>
      <w:pPr>
        <w:snapToGrid w:val="0"/>
        <w:spacing w:line="360" w:lineRule="auto"/>
        <w:ind w:firstLine="480"/>
        <w:jc w:val="left"/>
        <w:rPr>
          <w:rFonts w:ascii="宋体" w:hAnsi="宋体"/>
          <w:color w:val="auto"/>
          <w:sz w:val="24"/>
        </w:rPr>
      </w:pPr>
      <w:r>
        <w:rPr>
          <w:rFonts w:ascii="宋体" w:hAnsi="宋体" w:cs="Wingdings"/>
          <w:color w:val="auto"/>
          <w:sz w:val="24"/>
        </w:rPr>
        <w:t></w:t>
      </w:r>
      <w:r>
        <w:rPr>
          <w:rFonts w:hint="eastAsia" w:ascii="宋体" w:hAnsi="宋体" w:cs="宋体"/>
          <w:color w:val="auto"/>
          <w:kern w:val="0"/>
          <w:sz w:val="24"/>
          <w:lang w:bidi="ar"/>
        </w:rPr>
        <w:t>当产生单边账的情况下，聚合支付平台管理员介入和区域协同查询问题，如确认产生单边账，那么平台管理员可进行退款，也可提供退款授权码给医院财务自行退款操作。（单边账指用户已付款，聚合支付平台已确认支付完成，但</w:t>
      </w:r>
      <w:r>
        <w:rPr>
          <w:rFonts w:hint="eastAsia" w:ascii="宋体" w:hAnsi="宋体"/>
          <w:color w:val="auto"/>
          <w:kern w:val="0"/>
          <w:sz w:val="24"/>
          <w:lang w:bidi="ar"/>
        </w:rPr>
        <w:t>HIS</w:t>
      </w:r>
      <w:r>
        <w:rPr>
          <w:rFonts w:hint="eastAsia" w:ascii="宋体" w:hAnsi="宋体" w:cs="宋体"/>
          <w:color w:val="auto"/>
          <w:kern w:val="0"/>
          <w:sz w:val="24"/>
          <w:lang w:bidi="ar"/>
        </w:rPr>
        <w:t>系统无交易记录的订单）</w:t>
      </w:r>
    </w:p>
    <w:p>
      <w:pPr>
        <w:pStyle w:val="6"/>
        <w:spacing w:before="0" w:after="0" w:line="360" w:lineRule="auto"/>
        <w:ind w:left="851" w:hanging="851"/>
        <w:rPr>
          <w:rFonts w:ascii="宋体" w:hAnsi="宋体"/>
          <w:color w:val="auto"/>
          <w:sz w:val="24"/>
          <w:szCs w:val="24"/>
        </w:rPr>
      </w:pPr>
      <w:r>
        <w:rPr>
          <w:rFonts w:hint="eastAsia" w:ascii="宋体" w:hAnsi="宋体"/>
          <w:color w:val="auto"/>
          <w:sz w:val="24"/>
          <w:szCs w:val="24"/>
        </w:rPr>
        <w:t>（4）退款及授权</w:t>
      </w:r>
    </w:p>
    <w:p>
      <w:pPr>
        <w:widowControl/>
        <w:spacing w:line="360" w:lineRule="auto"/>
        <w:ind w:firstLine="560"/>
        <w:rPr>
          <w:rFonts w:ascii="宋体" w:hAnsi="宋体" w:cs="宋体"/>
          <w:color w:val="auto"/>
          <w:kern w:val="0"/>
          <w:sz w:val="24"/>
          <w:lang w:bidi="ar"/>
        </w:rPr>
      </w:pPr>
      <w:r>
        <w:rPr>
          <w:rFonts w:hint="eastAsia" w:ascii="宋体" w:hAnsi="宋体" w:cs="宋体"/>
          <w:color w:val="auto"/>
          <w:kern w:val="0"/>
          <w:sz w:val="24"/>
          <w:lang w:bidi="ar"/>
        </w:rPr>
        <w:t>支持单边账、微信当面付、支付宝原路返回等退款及授权。</w:t>
      </w:r>
    </w:p>
    <w:p>
      <w:pPr>
        <w:pStyle w:val="5"/>
        <w:spacing w:before="0" w:after="0" w:line="360" w:lineRule="auto"/>
        <w:ind w:left="709" w:hanging="709"/>
        <w:rPr>
          <w:rFonts w:ascii="宋体" w:hAnsi="宋体" w:eastAsia="宋体"/>
          <w:color w:val="auto"/>
          <w:sz w:val="24"/>
          <w:szCs w:val="24"/>
        </w:rPr>
      </w:pPr>
      <w:bookmarkStart w:id="138" w:name="_Toc20161"/>
      <w:r>
        <w:rPr>
          <w:rFonts w:hint="eastAsia" w:ascii="宋体" w:hAnsi="宋体" w:eastAsia="宋体"/>
          <w:color w:val="auto"/>
          <w:sz w:val="24"/>
          <w:szCs w:val="24"/>
        </w:rPr>
        <w:t>4.1.4、运营管理</w:t>
      </w:r>
      <w:bookmarkEnd w:id="138"/>
    </w:p>
    <w:p>
      <w:pPr>
        <w:pStyle w:val="6"/>
        <w:spacing w:before="0" w:after="0" w:line="360" w:lineRule="auto"/>
        <w:ind w:left="851" w:hanging="851"/>
        <w:rPr>
          <w:rFonts w:ascii="宋体" w:hAnsi="宋体"/>
          <w:color w:val="auto"/>
          <w:sz w:val="24"/>
          <w:szCs w:val="24"/>
        </w:rPr>
      </w:pPr>
      <w:bookmarkStart w:id="139" w:name="_Toc356145551"/>
      <w:bookmarkStart w:id="140" w:name="_Toc26898"/>
      <w:r>
        <w:rPr>
          <w:rFonts w:hint="eastAsia" w:ascii="宋体" w:hAnsi="宋体"/>
          <w:color w:val="auto"/>
          <w:sz w:val="24"/>
          <w:szCs w:val="24"/>
        </w:rPr>
        <w:t>（1）药品管理</w:t>
      </w:r>
      <w:bookmarkEnd w:id="139"/>
      <w:bookmarkEnd w:id="140"/>
    </w:p>
    <w:p>
      <w:pPr>
        <w:pStyle w:val="7"/>
        <w:spacing w:before="0" w:after="0" w:line="360" w:lineRule="auto"/>
        <w:ind w:left="992" w:hanging="992"/>
        <w:rPr>
          <w:rFonts w:ascii="宋体" w:hAnsi="宋体" w:eastAsia="宋体"/>
          <w:color w:val="auto"/>
        </w:rPr>
      </w:pPr>
      <w:bookmarkStart w:id="141" w:name="_Toc356145552"/>
      <w:r>
        <w:rPr>
          <w:rFonts w:hint="eastAsia" w:ascii="宋体" w:hAnsi="宋体" w:eastAsia="宋体"/>
          <w:color w:val="auto"/>
        </w:rPr>
        <w:t>a药品公共信息维护</w:t>
      </w:r>
      <w:bookmarkEnd w:id="141"/>
    </w:p>
    <w:p>
      <w:pPr>
        <w:pStyle w:val="389"/>
        <w:rPr>
          <w:color w:val="auto"/>
          <w:szCs w:val="24"/>
        </w:rPr>
      </w:pPr>
      <w:r>
        <w:rPr>
          <w:rFonts w:hint="eastAsia"/>
          <w:color w:val="auto"/>
          <w:szCs w:val="24"/>
          <w:lang w:bidi="ar"/>
        </w:rPr>
        <w:t>维护药品的公共信息，包括药品的属性、药品的价格，药品的别名，药品说明，用药限制，供所有医疗机构使用。医疗机构必须通过调入此处的药品目录。</w:t>
      </w:r>
    </w:p>
    <w:p>
      <w:pPr>
        <w:pStyle w:val="389"/>
        <w:rPr>
          <w:color w:val="auto"/>
          <w:szCs w:val="24"/>
        </w:rPr>
      </w:pPr>
      <w:r>
        <w:rPr>
          <w:rFonts w:hint="eastAsia"/>
          <w:color w:val="auto"/>
          <w:szCs w:val="24"/>
          <w:lang w:bidi="ar"/>
        </w:rPr>
        <w:t>药品支持自定义账簿类别，在收费报表中医院对于药品的分类可能各不相同，基本的西药费、中药费、草药费的类别可能难以满足医院的要求，因而在药品维护时支持将药品对照为事先定义好的账簿类别，在财务报表中会将产生的药品费用会归并为对应的类别。</w:t>
      </w:r>
    </w:p>
    <w:p>
      <w:pPr>
        <w:pStyle w:val="7"/>
        <w:spacing w:before="0" w:after="0" w:line="360" w:lineRule="auto"/>
        <w:ind w:left="992" w:hanging="992"/>
        <w:rPr>
          <w:rFonts w:ascii="宋体" w:hAnsi="宋体" w:eastAsia="宋体"/>
          <w:color w:val="auto"/>
        </w:rPr>
      </w:pPr>
      <w:bookmarkStart w:id="142" w:name="_Toc356145553"/>
      <w:r>
        <w:rPr>
          <w:rFonts w:hint="eastAsia" w:ascii="宋体" w:hAnsi="宋体" w:eastAsia="宋体"/>
          <w:color w:val="auto"/>
        </w:rPr>
        <w:t>b药品属性维护</w:t>
      </w:r>
      <w:bookmarkEnd w:id="142"/>
    </w:p>
    <w:p>
      <w:pPr>
        <w:pStyle w:val="389"/>
        <w:rPr>
          <w:color w:val="auto"/>
          <w:szCs w:val="24"/>
        </w:rPr>
      </w:pPr>
      <w:r>
        <w:rPr>
          <w:rFonts w:hint="eastAsia"/>
          <w:color w:val="auto"/>
          <w:szCs w:val="24"/>
          <w:lang w:bidi="ar"/>
        </w:rPr>
        <w:t>对药品的剂型、发药方式和输液标志的信息进行维护，这些是最基本的信息。</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c生产厂家维护</w:t>
      </w:r>
    </w:p>
    <w:p>
      <w:pPr>
        <w:pStyle w:val="389"/>
        <w:rPr>
          <w:color w:val="auto"/>
          <w:szCs w:val="24"/>
        </w:rPr>
      </w:pPr>
      <w:r>
        <w:rPr>
          <w:rFonts w:hint="eastAsia"/>
          <w:color w:val="auto"/>
          <w:szCs w:val="24"/>
          <w:lang w:bidi="ar"/>
        </w:rPr>
        <w:t>提供生产厂家新增、修改、删除等维护功能。已使用过的生产厂家不能被修改和删除。</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d进货单位维护</w:t>
      </w:r>
    </w:p>
    <w:p>
      <w:pPr>
        <w:pStyle w:val="389"/>
        <w:rPr>
          <w:color w:val="auto"/>
          <w:szCs w:val="24"/>
        </w:rPr>
      </w:pPr>
      <w:r>
        <w:rPr>
          <w:rFonts w:hint="eastAsia"/>
          <w:color w:val="auto"/>
          <w:szCs w:val="24"/>
          <w:lang w:bidi="ar"/>
        </w:rPr>
        <w:t>对进货单位进行维护，包括单位名称、联系人、账号、地址、开户银行、联系电话、是否作废等内容。</w:t>
      </w:r>
    </w:p>
    <w:p>
      <w:pPr>
        <w:pStyle w:val="6"/>
        <w:spacing w:before="0" w:after="0" w:line="360" w:lineRule="auto"/>
        <w:ind w:left="851" w:hanging="851"/>
        <w:rPr>
          <w:rFonts w:ascii="宋体" w:hAnsi="宋体"/>
          <w:color w:val="auto"/>
          <w:sz w:val="24"/>
          <w:szCs w:val="24"/>
        </w:rPr>
      </w:pPr>
      <w:bookmarkStart w:id="143" w:name="_Toc13831"/>
      <w:bookmarkStart w:id="144" w:name="_Toc356145554"/>
      <w:r>
        <w:rPr>
          <w:rFonts w:hint="eastAsia" w:ascii="宋体" w:hAnsi="宋体"/>
          <w:color w:val="auto"/>
          <w:sz w:val="24"/>
          <w:szCs w:val="24"/>
        </w:rPr>
        <w:t>（2）药库管理</w:t>
      </w:r>
      <w:bookmarkEnd w:id="143"/>
      <w:bookmarkEnd w:id="144"/>
    </w:p>
    <w:p>
      <w:pPr>
        <w:pStyle w:val="7"/>
        <w:spacing w:before="0" w:after="0" w:line="360" w:lineRule="auto"/>
        <w:ind w:left="992" w:hanging="992"/>
        <w:rPr>
          <w:rFonts w:ascii="宋体" w:hAnsi="宋体" w:eastAsia="宋体"/>
          <w:color w:val="auto"/>
        </w:rPr>
      </w:pPr>
      <w:r>
        <w:rPr>
          <w:rFonts w:hint="eastAsia" w:ascii="宋体" w:hAnsi="宋体" w:eastAsia="宋体"/>
          <w:color w:val="auto"/>
        </w:rPr>
        <w:t>a采购入库</w:t>
      </w:r>
    </w:p>
    <w:p>
      <w:pPr>
        <w:pStyle w:val="389"/>
        <w:rPr>
          <w:color w:val="auto"/>
          <w:szCs w:val="24"/>
        </w:rPr>
      </w:pPr>
      <w:r>
        <w:rPr>
          <w:rFonts w:hint="eastAsia"/>
          <w:color w:val="auto"/>
          <w:szCs w:val="24"/>
          <w:lang w:bidi="ar"/>
        </w:rPr>
        <w:t>提供对药品做采购入库管理，包括新增采购入库单明细。对入库单进行新增、修改、删除、确认等维护。</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b财务验收</w:t>
      </w:r>
    </w:p>
    <w:p>
      <w:pPr>
        <w:pStyle w:val="389"/>
        <w:rPr>
          <w:color w:val="auto"/>
          <w:szCs w:val="24"/>
        </w:rPr>
      </w:pPr>
      <w:r>
        <w:rPr>
          <w:rFonts w:hint="eastAsia"/>
          <w:color w:val="auto"/>
          <w:szCs w:val="24"/>
          <w:lang w:bidi="ar"/>
        </w:rPr>
        <w:t>提供财务对入库单进行核对和审计的功能。</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c付款处理</w:t>
      </w:r>
    </w:p>
    <w:p>
      <w:pPr>
        <w:pStyle w:val="389"/>
        <w:rPr>
          <w:color w:val="auto"/>
          <w:szCs w:val="24"/>
        </w:rPr>
      </w:pPr>
      <w:r>
        <w:rPr>
          <w:rFonts w:hint="eastAsia"/>
          <w:color w:val="auto"/>
          <w:szCs w:val="24"/>
          <w:lang w:bidi="ar"/>
        </w:rPr>
        <w:t>提供对财务审计通过后的采购入库单进行付款处理，包括全额付款（含余额）、部分金额分摊付款、人工输入付款等付款处理方式，同时提供汇总表打印和明细表打印两种打印功能。</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d其他入库</w:t>
      </w:r>
    </w:p>
    <w:p>
      <w:pPr>
        <w:pStyle w:val="389"/>
        <w:rPr>
          <w:color w:val="auto"/>
          <w:szCs w:val="24"/>
        </w:rPr>
      </w:pPr>
      <w:r>
        <w:rPr>
          <w:rFonts w:hint="eastAsia"/>
          <w:color w:val="auto"/>
          <w:szCs w:val="24"/>
          <w:lang w:bidi="ar"/>
        </w:rPr>
        <w:t>提供除采购入库以外的其他入库方式，可新增入库单明细包括药品的名称、价格、产地、规格、单位、入库数量、批号、效期等，同时可对入库单进行新增、修改、删除、确认等维护。另外当使用系统盘点时，盘盈后会自动生成盘盈入库单。</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e出库处理</w:t>
      </w:r>
    </w:p>
    <w:p>
      <w:pPr>
        <w:pStyle w:val="389"/>
        <w:rPr>
          <w:color w:val="auto"/>
          <w:szCs w:val="24"/>
          <w:lang w:bidi="ar"/>
        </w:rPr>
      </w:pPr>
      <w:r>
        <w:rPr>
          <w:rFonts w:hint="eastAsia"/>
          <w:color w:val="auto"/>
          <w:szCs w:val="24"/>
          <w:lang w:bidi="ar"/>
        </w:rPr>
        <w:t>提供对不同的出库方式的药品出库处理。可新增出库单明细包括药品的名称、价格、产地、规格、单位、库存、申请数量等，同时可对出库单进行新增、修改、删除、确认等维护。</w:t>
      </w:r>
    </w:p>
    <w:p>
      <w:pPr>
        <w:pStyle w:val="389"/>
        <w:rPr>
          <w:color w:val="auto"/>
          <w:szCs w:val="24"/>
        </w:rPr>
      </w:pPr>
      <w:r>
        <w:rPr>
          <w:rFonts w:hint="eastAsia"/>
          <w:color w:val="auto"/>
          <w:szCs w:val="24"/>
          <w:lang w:bidi="ar"/>
        </w:rPr>
        <w:t>当使用系统盘点时，盘亏后会自动生成盘亏出库单。</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f药品调价</w:t>
      </w:r>
    </w:p>
    <w:p>
      <w:pPr>
        <w:pStyle w:val="389"/>
        <w:rPr>
          <w:color w:val="auto"/>
          <w:szCs w:val="24"/>
        </w:rPr>
      </w:pPr>
      <w:r>
        <w:rPr>
          <w:rFonts w:hint="eastAsia"/>
          <w:color w:val="auto"/>
          <w:szCs w:val="24"/>
          <w:lang w:bidi="ar"/>
        </w:rPr>
        <w:t>对本机构的药品进行调价。若调价药品存在于本机构药房的未确认入库单中，则不允许调价。当前机构下所有已导入该药品的药房，其产地价格同步更新为新价格。</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g库存盘点</w:t>
      </w:r>
    </w:p>
    <w:p>
      <w:pPr>
        <w:pStyle w:val="389"/>
        <w:rPr>
          <w:color w:val="auto"/>
          <w:szCs w:val="24"/>
        </w:rPr>
      </w:pPr>
      <w:r>
        <w:rPr>
          <w:rFonts w:hint="eastAsia"/>
          <w:color w:val="auto"/>
          <w:szCs w:val="24"/>
          <w:lang w:bidi="ar"/>
        </w:rPr>
        <w:t>系统支持实物账目与系统账目的对照盘点功能，盘盈时，系统会自动生成盘盈入库单，在其他入库模块中做入库处理，盘亏时，系统自动生成盘亏出库单，在出库处理模块进行出库处理。</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h药品养护</w:t>
      </w:r>
    </w:p>
    <w:p>
      <w:pPr>
        <w:pStyle w:val="389"/>
        <w:rPr>
          <w:color w:val="auto"/>
          <w:szCs w:val="24"/>
        </w:rPr>
      </w:pPr>
      <w:r>
        <w:rPr>
          <w:rFonts w:hint="eastAsia"/>
          <w:color w:val="auto"/>
          <w:szCs w:val="24"/>
          <w:lang w:bidi="ar"/>
        </w:rPr>
        <w:t>定期对变质或者损坏的药品进行统计，并标识出损坏数量和损坏原因。养护单被确认后，损坏的药品数量会自动从库存中标识为次品。</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i库存查询</w:t>
      </w:r>
    </w:p>
    <w:p>
      <w:pPr>
        <w:pStyle w:val="389"/>
        <w:rPr>
          <w:color w:val="auto"/>
          <w:szCs w:val="24"/>
        </w:rPr>
      </w:pPr>
      <w:r>
        <w:rPr>
          <w:rFonts w:hint="eastAsia"/>
          <w:color w:val="auto"/>
          <w:szCs w:val="24"/>
          <w:lang w:bidi="ar"/>
        </w:rPr>
        <w:t>提供药品的库存查询，可分别按照账册库存、实物明细、药房实物明细三种方式进行查询。账册库存查询中支持选择是否显示零库存查询库存账目。</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j月底过账</w:t>
      </w:r>
    </w:p>
    <w:p>
      <w:pPr>
        <w:pStyle w:val="389"/>
        <w:rPr>
          <w:color w:val="auto"/>
          <w:szCs w:val="24"/>
        </w:rPr>
      </w:pPr>
      <w:r>
        <w:rPr>
          <w:rFonts w:hint="eastAsia"/>
          <w:color w:val="auto"/>
          <w:szCs w:val="24"/>
          <w:lang w:bidi="ar"/>
        </w:rPr>
        <w:t>统计当前药库药品当月的结存数量与结存金额。本月结存作为下一月的上月结存，下一月的发生金额从零开始。药库对所有入库单、出库单确认处理后进行月结操作。</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k药品过期提示</w:t>
      </w:r>
    </w:p>
    <w:p>
      <w:pPr>
        <w:pStyle w:val="389"/>
        <w:rPr>
          <w:color w:val="auto"/>
          <w:szCs w:val="24"/>
        </w:rPr>
      </w:pPr>
      <w:r>
        <w:rPr>
          <w:rFonts w:hint="eastAsia"/>
          <w:color w:val="auto"/>
          <w:szCs w:val="24"/>
          <w:lang w:bidi="ar"/>
        </w:rPr>
        <w:t>查询某时间段内的过期药品，并提供打印功能。</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l药品出入库汇总</w:t>
      </w:r>
    </w:p>
    <w:p>
      <w:pPr>
        <w:pStyle w:val="389"/>
        <w:rPr>
          <w:color w:val="auto"/>
          <w:szCs w:val="24"/>
        </w:rPr>
      </w:pPr>
      <w:r>
        <w:rPr>
          <w:rFonts w:hint="eastAsia"/>
          <w:color w:val="auto"/>
          <w:szCs w:val="24"/>
          <w:lang w:bidi="ar"/>
        </w:rPr>
        <w:t>按照入库方式来分类对药品做入库汇总，按照出库方式来分类对药品做出库汇总，可查询每种分类汇总的明细信息，支持打印。</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m药库财务月报</w:t>
      </w:r>
    </w:p>
    <w:p>
      <w:pPr>
        <w:pStyle w:val="389"/>
        <w:rPr>
          <w:color w:val="auto"/>
          <w:szCs w:val="24"/>
        </w:rPr>
      </w:pPr>
      <w:r>
        <w:rPr>
          <w:rFonts w:hint="eastAsia"/>
          <w:color w:val="auto"/>
          <w:szCs w:val="24"/>
          <w:lang w:bidi="ar"/>
        </w:rPr>
        <w:t>按照财务要求统计药库管理情况，可按照不同的账簿类别和不同的收费日期进行统计。</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n药库采购历史查询</w:t>
      </w:r>
    </w:p>
    <w:p>
      <w:pPr>
        <w:pStyle w:val="389"/>
        <w:rPr>
          <w:color w:val="auto"/>
          <w:szCs w:val="24"/>
        </w:rPr>
      </w:pPr>
      <w:r>
        <w:rPr>
          <w:rFonts w:hint="eastAsia"/>
          <w:color w:val="auto"/>
          <w:szCs w:val="24"/>
          <w:lang w:bidi="ar"/>
        </w:rPr>
        <w:t>统计当前药库采购入库的单据，可按供应商、药品等多种方式进行统计。</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o调价历史查询</w:t>
      </w:r>
    </w:p>
    <w:p>
      <w:pPr>
        <w:pStyle w:val="389"/>
        <w:rPr>
          <w:color w:val="auto"/>
          <w:szCs w:val="24"/>
        </w:rPr>
      </w:pPr>
      <w:r>
        <w:rPr>
          <w:rFonts w:hint="eastAsia"/>
          <w:color w:val="auto"/>
          <w:szCs w:val="24"/>
          <w:lang w:bidi="ar"/>
        </w:rPr>
        <w:t>可按照拼音码查询某类药品的调价历史过程。</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p保管员账簿</w:t>
      </w:r>
    </w:p>
    <w:p>
      <w:pPr>
        <w:pStyle w:val="389"/>
        <w:rPr>
          <w:color w:val="auto"/>
          <w:szCs w:val="24"/>
        </w:rPr>
      </w:pPr>
      <w:r>
        <w:rPr>
          <w:rFonts w:hint="eastAsia"/>
          <w:color w:val="auto"/>
          <w:szCs w:val="24"/>
          <w:lang w:bidi="ar"/>
        </w:rPr>
        <w:t>查询当前药库下药品的实物与账册数量，可查看某药品在某段时间内的入出库明细。</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q出库方式维护</w:t>
      </w:r>
    </w:p>
    <w:p>
      <w:pPr>
        <w:pStyle w:val="389"/>
        <w:rPr>
          <w:color w:val="auto"/>
          <w:szCs w:val="24"/>
        </w:rPr>
      </w:pPr>
      <w:r>
        <w:rPr>
          <w:rFonts w:hint="eastAsia"/>
          <w:color w:val="auto"/>
          <w:szCs w:val="24"/>
          <w:lang w:bidi="ar"/>
        </w:rPr>
        <w:t>设置每种出库方式的出库单号、是否科室领用及对应方式，每种出库方式，发生过业务后，将不能再删除。</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r入库方式维护</w:t>
      </w:r>
    </w:p>
    <w:p>
      <w:pPr>
        <w:pStyle w:val="389"/>
        <w:rPr>
          <w:color w:val="auto"/>
          <w:szCs w:val="24"/>
        </w:rPr>
      </w:pPr>
      <w:r>
        <w:rPr>
          <w:rFonts w:hint="eastAsia"/>
          <w:color w:val="auto"/>
          <w:szCs w:val="24"/>
          <w:lang w:bidi="ar"/>
        </w:rPr>
        <w:t>设置每种入库方式的入库单号、验收单号、定价方式及对应方式，每种入库方式，发生过业务后，将不能再删除。</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s初始转账</w:t>
      </w:r>
    </w:p>
    <w:p>
      <w:pPr>
        <w:pStyle w:val="389"/>
        <w:rPr>
          <w:color w:val="auto"/>
          <w:szCs w:val="24"/>
        </w:rPr>
      </w:pPr>
      <w:r>
        <w:rPr>
          <w:rFonts w:hint="eastAsia"/>
          <w:color w:val="auto"/>
          <w:szCs w:val="24"/>
          <w:lang w:bidi="ar"/>
        </w:rPr>
        <w:t>药品信息导入后，填入每种药品的实际库存数量，然后对药库进行初始化转账，初始化药库账薄后使用该药库。</w:t>
      </w:r>
    </w:p>
    <w:p>
      <w:pPr>
        <w:pStyle w:val="7"/>
        <w:spacing w:before="0" w:after="0" w:line="360" w:lineRule="auto"/>
        <w:ind w:left="992" w:hanging="992"/>
        <w:rPr>
          <w:rFonts w:ascii="宋体" w:hAnsi="宋体" w:eastAsia="宋体"/>
          <w:color w:val="auto"/>
        </w:rPr>
      </w:pPr>
      <w:bookmarkStart w:id="145" w:name="_Toc356145555"/>
      <w:r>
        <w:rPr>
          <w:rFonts w:hint="eastAsia" w:ascii="宋体" w:hAnsi="宋体" w:eastAsia="宋体"/>
          <w:color w:val="auto"/>
        </w:rPr>
        <w:t>t私用信息维护</w:t>
      </w:r>
      <w:bookmarkEnd w:id="145"/>
    </w:p>
    <w:p>
      <w:pPr>
        <w:pStyle w:val="389"/>
        <w:rPr>
          <w:color w:val="auto"/>
          <w:szCs w:val="24"/>
        </w:rPr>
      </w:pPr>
      <w:r>
        <w:rPr>
          <w:rFonts w:hint="eastAsia"/>
          <w:color w:val="auto"/>
          <w:szCs w:val="24"/>
          <w:lang w:bidi="ar"/>
        </w:rPr>
        <w:t>维护当前医疗机构下药品的私有信息（高低储和药品价格），调入药品的信息到当前所在医疗机构下，设置药品产地和价格，并可设置药品的在当前医疗机构内高低储以及处方类型。药品的基本属性、包装、抗生素设置等信息，此处不可作修改。只有已经调入的药品，才能在当前医疗机构下使用。</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u药库设置</w:t>
      </w:r>
    </w:p>
    <w:p>
      <w:pPr>
        <w:pStyle w:val="389"/>
        <w:rPr>
          <w:color w:val="auto"/>
          <w:szCs w:val="24"/>
        </w:rPr>
      </w:pPr>
      <w:bookmarkStart w:id="146" w:name="_Toc356145557"/>
      <w:r>
        <w:rPr>
          <w:rFonts w:hint="eastAsia"/>
          <w:color w:val="auto"/>
          <w:szCs w:val="24"/>
          <w:lang w:bidi="ar"/>
        </w:rPr>
        <w:t>查看以及维护当前医疗机构内的药库信息。设置每个药库的药库名称、药库类别、使用标志等。</w:t>
      </w:r>
    </w:p>
    <w:p>
      <w:pPr>
        <w:pStyle w:val="6"/>
        <w:spacing w:before="0" w:after="0" w:line="360" w:lineRule="auto"/>
        <w:ind w:left="851" w:hanging="851"/>
        <w:rPr>
          <w:rFonts w:ascii="宋体" w:hAnsi="宋体"/>
          <w:color w:val="auto"/>
          <w:sz w:val="24"/>
          <w:szCs w:val="24"/>
        </w:rPr>
      </w:pPr>
      <w:bookmarkStart w:id="147" w:name="_Toc23770"/>
      <w:r>
        <w:rPr>
          <w:rFonts w:hint="eastAsia" w:ascii="宋体" w:hAnsi="宋体"/>
          <w:color w:val="auto"/>
          <w:sz w:val="24"/>
          <w:szCs w:val="24"/>
        </w:rPr>
        <w:t>（3）药房管理</w:t>
      </w:r>
      <w:bookmarkEnd w:id="146"/>
      <w:bookmarkEnd w:id="147"/>
    </w:p>
    <w:p>
      <w:pPr>
        <w:pStyle w:val="7"/>
        <w:spacing w:before="0" w:after="0" w:line="360" w:lineRule="auto"/>
        <w:ind w:left="992" w:hanging="992"/>
        <w:rPr>
          <w:rFonts w:ascii="宋体" w:hAnsi="宋体" w:eastAsia="宋体"/>
          <w:color w:val="auto"/>
        </w:rPr>
      </w:pPr>
      <w:r>
        <w:rPr>
          <w:rFonts w:hint="eastAsia" w:ascii="宋体" w:hAnsi="宋体" w:eastAsia="宋体"/>
          <w:color w:val="auto"/>
        </w:rPr>
        <w:t>a处方审核</w:t>
      </w:r>
    </w:p>
    <w:p>
      <w:pPr>
        <w:pStyle w:val="389"/>
        <w:rPr>
          <w:color w:val="auto"/>
          <w:szCs w:val="24"/>
        </w:rPr>
      </w:pPr>
      <w:r>
        <w:rPr>
          <w:rFonts w:hint="eastAsia"/>
          <w:color w:val="auto"/>
          <w:szCs w:val="24"/>
          <w:lang w:bidi="ar"/>
        </w:rPr>
        <w:t>通过对处方的审核，进行药学干预，促进药物的合理使用，保障患者的用药安全。该功能的启用或禁止可根据系统参数来设置。当系统参数设置为开启时，医生开完处方，需先经过处方审核，审核通过的处方才能进行划价收费，然后才能到药房拿药。</w:t>
      </w:r>
    </w:p>
    <w:p>
      <w:pPr>
        <w:pStyle w:val="7"/>
        <w:spacing w:before="0" w:after="0" w:line="360" w:lineRule="auto"/>
        <w:ind w:left="992" w:hanging="992"/>
        <w:rPr>
          <w:rFonts w:ascii="宋体" w:hAnsi="宋体" w:eastAsia="宋体"/>
          <w:color w:val="auto"/>
        </w:rPr>
      </w:pPr>
      <w:bookmarkStart w:id="148" w:name="_Toc356145558"/>
      <w:r>
        <w:rPr>
          <w:rFonts w:hint="eastAsia" w:ascii="宋体" w:hAnsi="宋体" w:eastAsia="宋体"/>
          <w:color w:val="auto"/>
        </w:rPr>
        <w:t>b直接发药</w:t>
      </w:r>
      <w:bookmarkEnd w:id="148"/>
    </w:p>
    <w:p>
      <w:pPr>
        <w:pStyle w:val="389"/>
        <w:rPr>
          <w:color w:val="auto"/>
          <w:szCs w:val="24"/>
        </w:rPr>
      </w:pPr>
      <w:r>
        <w:rPr>
          <w:rFonts w:hint="eastAsia"/>
          <w:color w:val="auto"/>
          <w:szCs w:val="24"/>
          <w:lang w:bidi="ar"/>
        </w:rPr>
        <w:t>对门诊病人已收费的处方直接进行发药处理，药剂师根据收费处收费后传过来的处方信息，给病人发药，同时提供处方打印、注射卡打印功能。</w:t>
      </w:r>
    </w:p>
    <w:p>
      <w:pPr>
        <w:pStyle w:val="7"/>
        <w:spacing w:before="0" w:after="0" w:line="360" w:lineRule="auto"/>
        <w:ind w:left="992" w:hanging="992"/>
        <w:rPr>
          <w:rFonts w:ascii="宋体" w:hAnsi="宋体" w:eastAsia="宋体"/>
          <w:color w:val="auto"/>
        </w:rPr>
      </w:pPr>
      <w:bookmarkStart w:id="149" w:name="_Toc356145559"/>
      <w:r>
        <w:rPr>
          <w:rFonts w:hint="eastAsia" w:ascii="宋体" w:hAnsi="宋体" w:eastAsia="宋体"/>
          <w:color w:val="auto"/>
        </w:rPr>
        <w:t>c取消发药</w:t>
      </w:r>
      <w:bookmarkEnd w:id="149"/>
    </w:p>
    <w:p>
      <w:pPr>
        <w:pStyle w:val="389"/>
        <w:rPr>
          <w:color w:val="auto"/>
          <w:szCs w:val="24"/>
        </w:rPr>
      </w:pPr>
      <w:r>
        <w:rPr>
          <w:rFonts w:hint="eastAsia"/>
          <w:color w:val="auto"/>
          <w:szCs w:val="24"/>
          <w:lang w:bidi="ar"/>
        </w:rPr>
        <w:t>对已发药的处方进行取消发药处理，同时提供取消发药处方的处方打印、注射卡打印功能。</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d发药查询</w:t>
      </w:r>
    </w:p>
    <w:p>
      <w:pPr>
        <w:pStyle w:val="389"/>
        <w:rPr>
          <w:color w:val="auto"/>
          <w:szCs w:val="24"/>
        </w:rPr>
      </w:pPr>
      <w:r>
        <w:rPr>
          <w:rFonts w:hint="eastAsia"/>
          <w:color w:val="auto"/>
          <w:szCs w:val="24"/>
          <w:lang w:bidi="ar"/>
        </w:rPr>
        <w:t>可根据某一时间段内的发药日期或者发票号码对已发药进行查询。</w:t>
      </w:r>
    </w:p>
    <w:p>
      <w:pPr>
        <w:pStyle w:val="7"/>
        <w:spacing w:before="0" w:after="0" w:line="360" w:lineRule="auto"/>
        <w:ind w:left="992" w:hanging="992"/>
        <w:rPr>
          <w:rFonts w:ascii="宋体" w:hAnsi="宋体" w:eastAsia="宋体"/>
          <w:color w:val="auto"/>
        </w:rPr>
      </w:pPr>
      <w:bookmarkStart w:id="150" w:name="_Toc356145564"/>
      <w:r>
        <w:rPr>
          <w:rFonts w:hint="eastAsia" w:ascii="宋体" w:hAnsi="宋体" w:eastAsia="宋体"/>
          <w:color w:val="auto"/>
        </w:rPr>
        <w:t>e月终过账</w:t>
      </w:r>
      <w:bookmarkEnd w:id="150"/>
    </w:p>
    <w:p>
      <w:pPr>
        <w:pStyle w:val="389"/>
        <w:rPr>
          <w:color w:val="auto"/>
          <w:szCs w:val="24"/>
        </w:rPr>
      </w:pPr>
      <w:r>
        <w:rPr>
          <w:rFonts w:hint="eastAsia"/>
          <w:color w:val="auto"/>
          <w:szCs w:val="24"/>
          <w:lang w:bidi="ar"/>
        </w:rPr>
        <w:t>统计当前药房药品当月的结存数量与结存金额。本月结存作为下一月的上月结存，下一月的发生金额从零开始。药房对所有入库单、出库单、药库申领单、药库退药单、调拨单及调拨退药单确认处理后进行月结操作。</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f药房对账</w:t>
      </w:r>
    </w:p>
    <w:p>
      <w:pPr>
        <w:pStyle w:val="389"/>
        <w:rPr>
          <w:color w:val="auto"/>
          <w:szCs w:val="24"/>
        </w:rPr>
      </w:pPr>
      <w:r>
        <w:rPr>
          <w:rFonts w:hint="eastAsia"/>
          <w:color w:val="auto"/>
          <w:szCs w:val="24"/>
          <w:lang w:bidi="ar"/>
        </w:rPr>
        <w:t>通过将每种药品分别按照期初结存、本期入库、本期出库、期末结余、库存信息等作归类查询，分别列出相应的数量和金额，支持查看每种药品的使用明细情况。</w:t>
      </w:r>
    </w:p>
    <w:p>
      <w:pPr>
        <w:pStyle w:val="7"/>
        <w:spacing w:before="0" w:after="0" w:line="360" w:lineRule="auto"/>
        <w:ind w:left="992" w:hanging="992"/>
        <w:rPr>
          <w:rFonts w:ascii="宋体" w:hAnsi="宋体" w:eastAsia="宋体"/>
          <w:color w:val="auto"/>
        </w:rPr>
      </w:pPr>
      <w:bookmarkStart w:id="151" w:name="_Toc356145565"/>
      <w:bookmarkStart w:id="152" w:name="_Toc356145560"/>
      <w:r>
        <w:rPr>
          <w:rFonts w:hint="eastAsia" w:ascii="宋体" w:hAnsi="宋体" w:eastAsia="宋体"/>
          <w:color w:val="auto"/>
        </w:rPr>
        <w:t>g库存管理</w:t>
      </w:r>
      <w:bookmarkEnd w:id="151"/>
    </w:p>
    <w:p>
      <w:pPr>
        <w:pStyle w:val="389"/>
        <w:rPr>
          <w:color w:val="auto"/>
          <w:szCs w:val="24"/>
        </w:rPr>
      </w:pPr>
      <w:r>
        <w:rPr>
          <w:rFonts w:hint="eastAsia"/>
          <w:color w:val="auto"/>
          <w:szCs w:val="24"/>
          <w:lang w:bidi="ar"/>
        </w:rPr>
        <w:t>提供对药房库存药物的禁用和取消禁用的功能。</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h药品申领</w:t>
      </w:r>
    </w:p>
    <w:p>
      <w:pPr>
        <w:pStyle w:val="389"/>
        <w:rPr>
          <w:color w:val="auto"/>
          <w:szCs w:val="24"/>
        </w:rPr>
      </w:pPr>
      <w:r>
        <w:rPr>
          <w:rFonts w:hint="eastAsia"/>
          <w:color w:val="auto"/>
          <w:szCs w:val="24"/>
          <w:lang w:bidi="ar"/>
        </w:rPr>
        <w:t>填写药品申领单且支持通过低储值自动生成申领单，药品申领单包括领药方式、申请日期、出库日期、领用日期，以及需要申领的药品信息包括规格、单位、产地、零售价格、进货价格、申领数量等。当药库已经执行完出库处理后，需到药品申领处进行药房入库确认。</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i药房退药</w:t>
      </w:r>
      <w:bookmarkEnd w:id="152"/>
    </w:p>
    <w:p>
      <w:pPr>
        <w:pStyle w:val="389"/>
        <w:rPr>
          <w:color w:val="auto"/>
          <w:szCs w:val="24"/>
        </w:rPr>
      </w:pPr>
      <w:bookmarkStart w:id="153" w:name="_Toc356145561"/>
      <w:r>
        <w:rPr>
          <w:rFonts w:hint="eastAsia"/>
          <w:color w:val="auto"/>
          <w:szCs w:val="24"/>
          <w:lang w:bidi="ar"/>
        </w:rPr>
        <w:t>确认退药后，该药品在当前药房的库存数量相应减少。退药时需填写退药处理单，内容包括申请日期、药品规格、单位、产地、零售价格、进货价格、申请数量等。</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j药品入库</w:t>
      </w:r>
      <w:bookmarkEnd w:id="153"/>
    </w:p>
    <w:p>
      <w:pPr>
        <w:pStyle w:val="389"/>
        <w:rPr>
          <w:color w:val="auto"/>
          <w:szCs w:val="24"/>
        </w:rPr>
      </w:pPr>
      <w:r>
        <w:rPr>
          <w:rFonts w:hint="eastAsia"/>
          <w:color w:val="auto"/>
          <w:szCs w:val="24"/>
          <w:lang w:bidi="ar"/>
        </w:rPr>
        <w:t>确认入库后，该药品在当前药房的库存数量相应增加。在此之前，需保证已在“入库方式维护”中维护了数据。</w:t>
      </w:r>
    </w:p>
    <w:p>
      <w:pPr>
        <w:pStyle w:val="7"/>
        <w:spacing w:before="0" w:after="0" w:line="360" w:lineRule="auto"/>
        <w:ind w:left="992" w:hanging="992"/>
        <w:rPr>
          <w:rFonts w:ascii="宋体" w:hAnsi="宋体" w:eastAsia="宋体"/>
          <w:color w:val="auto"/>
        </w:rPr>
      </w:pPr>
      <w:bookmarkStart w:id="154" w:name="_Toc356145562"/>
      <w:r>
        <w:rPr>
          <w:rFonts w:hint="eastAsia" w:ascii="宋体" w:hAnsi="宋体" w:eastAsia="宋体"/>
          <w:color w:val="auto"/>
        </w:rPr>
        <w:t>k药品出库</w:t>
      </w:r>
      <w:bookmarkEnd w:id="154"/>
    </w:p>
    <w:p>
      <w:pPr>
        <w:pStyle w:val="389"/>
        <w:rPr>
          <w:color w:val="auto"/>
          <w:szCs w:val="24"/>
        </w:rPr>
      </w:pPr>
      <w:r>
        <w:rPr>
          <w:rFonts w:hint="eastAsia"/>
          <w:color w:val="auto"/>
          <w:szCs w:val="24"/>
          <w:lang w:bidi="ar"/>
        </w:rPr>
        <w:t>确认出库后，该药品在当前药房的库存数量相应减少。在此之前，需保证已在“出库方式维护”中维护了数据。</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l调拨申请</w:t>
      </w:r>
    </w:p>
    <w:p>
      <w:pPr>
        <w:pStyle w:val="389"/>
        <w:rPr>
          <w:color w:val="auto"/>
          <w:szCs w:val="24"/>
        </w:rPr>
      </w:pPr>
      <w:r>
        <w:rPr>
          <w:rFonts w:hint="eastAsia"/>
          <w:color w:val="auto"/>
          <w:szCs w:val="24"/>
          <w:lang w:bidi="ar"/>
        </w:rPr>
        <w:t>当从其他药房调拨药品时，需填写药品调拨申请单，申请单包括目标药房、申请日期、所要申请药品的名称、申领数量等明细信息。系统同时提供调拨申请单的修改、删除、提交、确定等维护功能。</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m调拨出库</w:t>
      </w:r>
    </w:p>
    <w:p>
      <w:pPr>
        <w:pStyle w:val="389"/>
        <w:rPr>
          <w:color w:val="auto"/>
          <w:szCs w:val="24"/>
        </w:rPr>
      </w:pPr>
      <w:r>
        <w:rPr>
          <w:rFonts w:hint="eastAsia"/>
          <w:color w:val="auto"/>
          <w:szCs w:val="24"/>
          <w:lang w:bidi="ar"/>
        </w:rPr>
        <w:t>对由其他药房提交到本药房申请药品调拨的申请单进行退回、确认等处理。</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n调拨退药</w:t>
      </w:r>
    </w:p>
    <w:p>
      <w:pPr>
        <w:pStyle w:val="389"/>
        <w:rPr>
          <w:color w:val="auto"/>
          <w:szCs w:val="24"/>
        </w:rPr>
      </w:pPr>
      <w:r>
        <w:rPr>
          <w:rFonts w:hint="eastAsia"/>
          <w:color w:val="auto"/>
          <w:szCs w:val="24"/>
          <w:lang w:bidi="ar"/>
        </w:rPr>
        <w:t>对已经从其他药房调入到本药房的药品进行退药处理，需填写调拨退药单，申请单包括目标药房、申请日期、所要申请药品得名称、药房规格、零售价格、单位、申领数量、实发数量等明细信息。提供调拨退药单的修改、删除、确定等维护功能。</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o盘点处理</w:t>
      </w:r>
    </w:p>
    <w:p>
      <w:pPr>
        <w:pStyle w:val="389"/>
        <w:rPr>
          <w:color w:val="auto"/>
          <w:szCs w:val="24"/>
        </w:rPr>
      </w:pPr>
      <w:r>
        <w:rPr>
          <w:rFonts w:hint="eastAsia"/>
          <w:color w:val="auto"/>
          <w:szCs w:val="24"/>
          <w:lang w:bidi="ar"/>
        </w:rPr>
        <w:t>提供药房盘点，支持多人同时盘点，盘点时需先生成盘点单，然后开始盘点具体明细数量，盘点实物数量的录入需在盘点录入业务模块开展，当盘点录入模块完成本次实物库存的库存数目录入以后，在盘点处理模块进行汇总，汇总过程中支持重新修改实际盘点数量。汇总完成以后结束本次盘点业务。</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p盘点录入</w:t>
      </w:r>
    </w:p>
    <w:p>
      <w:pPr>
        <w:pStyle w:val="389"/>
        <w:rPr>
          <w:color w:val="auto"/>
          <w:szCs w:val="24"/>
        </w:rPr>
      </w:pPr>
      <w:r>
        <w:rPr>
          <w:rFonts w:hint="eastAsia"/>
          <w:color w:val="auto"/>
          <w:szCs w:val="24"/>
          <w:lang w:bidi="ar"/>
        </w:rPr>
        <w:t>录入实际的库存数量，分为药库包装录入和药房包装录入两种录入方式，提供暂时保存和录入结束两种操作功能。</w:t>
      </w:r>
    </w:p>
    <w:p>
      <w:pPr>
        <w:pStyle w:val="389"/>
        <w:rPr>
          <w:color w:val="auto"/>
          <w:szCs w:val="24"/>
        </w:rPr>
      </w:pPr>
      <w:r>
        <w:rPr>
          <w:rFonts w:hint="eastAsia"/>
          <w:color w:val="auto"/>
          <w:szCs w:val="24"/>
          <w:lang w:bidi="ar"/>
        </w:rPr>
        <w:t>盘点录入支持新增药品至盘点单中。</w:t>
      </w:r>
    </w:p>
    <w:p>
      <w:pPr>
        <w:pStyle w:val="7"/>
        <w:spacing w:before="0" w:after="0" w:line="360" w:lineRule="auto"/>
        <w:ind w:left="992" w:hanging="992"/>
        <w:rPr>
          <w:rFonts w:ascii="宋体" w:hAnsi="宋体" w:eastAsia="宋体"/>
          <w:color w:val="auto"/>
        </w:rPr>
      </w:pPr>
      <w:bookmarkStart w:id="155" w:name="_Toc356145563"/>
      <w:bookmarkStart w:id="156" w:name="_Toc356145568"/>
      <w:r>
        <w:rPr>
          <w:rFonts w:hint="eastAsia" w:ascii="宋体" w:hAnsi="宋体" w:eastAsia="宋体"/>
          <w:color w:val="auto"/>
        </w:rPr>
        <w:t>q药房划价收费</w:t>
      </w:r>
    </w:p>
    <w:p>
      <w:pPr>
        <w:pStyle w:val="389"/>
        <w:rPr>
          <w:color w:val="auto"/>
          <w:szCs w:val="24"/>
        </w:rPr>
      </w:pPr>
      <w:r>
        <w:rPr>
          <w:rFonts w:hint="eastAsia"/>
          <w:color w:val="auto"/>
          <w:szCs w:val="24"/>
          <w:lang w:bidi="ar"/>
        </w:rPr>
        <w:t>支持对医生的手工处方进行录入。</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r门诊库存冻结</w:t>
      </w:r>
    </w:p>
    <w:p>
      <w:pPr>
        <w:pStyle w:val="389"/>
        <w:rPr>
          <w:color w:val="auto"/>
          <w:szCs w:val="24"/>
        </w:rPr>
      </w:pPr>
      <w:r>
        <w:rPr>
          <w:rFonts w:hint="eastAsia"/>
          <w:color w:val="auto"/>
          <w:szCs w:val="24"/>
          <w:lang w:bidi="ar"/>
        </w:rPr>
        <w:t>门诊收费处及医生站开单后，或者门诊收费处收费后，处方中对应发药药房的库存自动冻结。超过冻结效期、退费或删除处方单时，自动解冻库存。</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s药房发药统计</w:t>
      </w:r>
    </w:p>
    <w:p>
      <w:pPr>
        <w:pStyle w:val="389"/>
        <w:rPr>
          <w:color w:val="auto"/>
          <w:szCs w:val="24"/>
        </w:rPr>
      </w:pPr>
      <w:r>
        <w:rPr>
          <w:rFonts w:hint="eastAsia"/>
          <w:color w:val="auto"/>
          <w:szCs w:val="24"/>
          <w:lang w:bidi="ar"/>
        </w:rPr>
        <w:t>统计门诊发药情况，提供按照发药时间、药品类型、统计方式等多种统计方式，可打印汇总和明细。</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t药房财务月报</w:t>
      </w:r>
    </w:p>
    <w:p>
      <w:pPr>
        <w:pStyle w:val="389"/>
        <w:rPr>
          <w:color w:val="auto"/>
          <w:szCs w:val="24"/>
        </w:rPr>
      </w:pPr>
      <w:r>
        <w:rPr>
          <w:rFonts w:hint="eastAsia"/>
          <w:color w:val="auto"/>
          <w:szCs w:val="24"/>
          <w:lang w:bidi="ar"/>
        </w:rPr>
        <w:t>展示药房月结结果，列出当前药房的每种出入库方式产生的具体金额、药房上月结存及本月结存。本月结存=上月结存+入库合计-出库合计。</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u初始帐薄</w:t>
      </w:r>
      <w:bookmarkEnd w:id="155"/>
    </w:p>
    <w:p>
      <w:pPr>
        <w:pStyle w:val="389"/>
        <w:rPr>
          <w:color w:val="auto"/>
          <w:szCs w:val="24"/>
        </w:rPr>
      </w:pPr>
      <w:r>
        <w:rPr>
          <w:rFonts w:hint="eastAsia"/>
          <w:color w:val="auto"/>
          <w:szCs w:val="24"/>
          <w:lang w:bidi="ar"/>
        </w:rPr>
        <w:t>药品信息导入后，初始化药房帐薄，初始化药房账薄后使用该药房。</w:t>
      </w:r>
    </w:p>
    <w:p>
      <w:pPr>
        <w:pStyle w:val="7"/>
        <w:spacing w:before="0" w:after="0" w:line="360" w:lineRule="auto"/>
        <w:ind w:left="992" w:hanging="992"/>
        <w:rPr>
          <w:rFonts w:ascii="宋体" w:hAnsi="宋体" w:eastAsia="宋体"/>
          <w:color w:val="auto"/>
        </w:rPr>
      </w:pPr>
      <w:bookmarkStart w:id="157" w:name="_Toc356145566"/>
      <w:r>
        <w:rPr>
          <w:rFonts w:hint="eastAsia" w:ascii="宋体" w:hAnsi="宋体" w:eastAsia="宋体"/>
          <w:color w:val="auto"/>
        </w:rPr>
        <w:t>v药房设置</w:t>
      </w:r>
      <w:bookmarkEnd w:id="157"/>
    </w:p>
    <w:p>
      <w:pPr>
        <w:pStyle w:val="389"/>
        <w:rPr>
          <w:color w:val="auto"/>
          <w:szCs w:val="24"/>
        </w:rPr>
      </w:pPr>
      <w:r>
        <w:rPr>
          <w:rFonts w:hint="eastAsia"/>
          <w:color w:val="auto"/>
          <w:szCs w:val="24"/>
          <w:lang w:bidi="ar"/>
        </w:rPr>
        <w:t>查看以及维护当前医疗机构内的药房信息。设置每个药房的基本信息、操作药品的权限，使用的包装类别和领药方式，包装类别分为门诊包装（即药库药品信息属性中的药房包装）和住院包装（即药库药品信息属性中的病房包装）。</w:t>
      </w:r>
    </w:p>
    <w:p>
      <w:pPr>
        <w:pStyle w:val="389"/>
        <w:rPr>
          <w:color w:val="auto"/>
          <w:szCs w:val="24"/>
        </w:rPr>
      </w:pPr>
      <w:r>
        <w:rPr>
          <w:rFonts w:hint="eastAsia"/>
          <w:color w:val="auto"/>
          <w:szCs w:val="24"/>
          <w:lang w:bidi="ar"/>
        </w:rPr>
        <w:t>领药方式对应药库内的出库方式，药库的出库方式只能被其中一个药房设为领药方式。</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w入库方式维护</w:t>
      </w:r>
      <w:bookmarkEnd w:id="156"/>
    </w:p>
    <w:p>
      <w:pPr>
        <w:pStyle w:val="389"/>
        <w:rPr>
          <w:color w:val="auto"/>
          <w:szCs w:val="24"/>
        </w:rPr>
      </w:pPr>
      <w:r>
        <w:rPr>
          <w:rFonts w:hint="eastAsia"/>
          <w:color w:val="auto"/>
          <w:szCs w:val="24"/>
          <w:lang w:bidi="ar"/>
        </w:rPr>
        <w:t>维护药品入库处理中的入库方式，并设置每种入库方式的入库单号及对应方式，每种入库方式，发生过业务后，将不能再删除。</w:t>
      </w:r>
    </w:p>
    <w:p>
      <w:pPr>
        <w:pStyle w:val="7"/>
        <w:spacing w:before="0" w:after="0" w:line="360" w:lineRule="auto"/>
        <w:ind w:left="992" w:hanging="992"/>
        <w:rPr>
          <w:rFonts w:ascii="宋体" w:hAnsi="宋体" w:eastAsia="宋体"/>
          <w:color w:val="auto"/>
        </w:rPr>
      </w:pPr>
      <w:bookmarkStart w:id="158" w:name="_Toc356145569"/>
      <w:r>
        <w:rPr>
          <w:rFonts w:hint="eastAsia" w:ascii="宋体" w:hAnsi="宋体" w:eastAsia="宋体"/>
          <w:color w:val="auto"/>
        </w:rPr>
        <w:t>x出库方式维护</w:t>
      </w:r>
      <w:bookmarkEnd w:id="158"/>
    </w:p>
    <w:p>
      <w:pPr>
        <w:pStyle w:val="389"/>
        <w:rPr>
          <w:color w:val="auto"/>
          <w:szCs w:val="24"/>
        </w:rPr>
      </w:pPr>
      <w:r>
        <w:rPr>
          <w:rFonts w:hint="eastAsia"/>
          <w:color w:val="auto"/>
          <w:szCs w:val="24"/>
          <w:lang w:bidi="ar"/>
        </w:rPr>
        <w:t>维护药品出库处理中的出库方式，并设置每种出库方式的出库单号及对应方式，每种出库方式，发生过业务后，将不能再删除。</w:t>
      </w:r>
    </w:p>
    <w:p>
      <w:pPr>
        <w:pStyle w:val="7"/>
        <w:spacing w:before="0" w:after="0" w:line="360" w:lineRule="auto"/>
        <w:ind w:left="992" w:hanging="992"/>
        <w:rPr>
          <w:rFonts w:ascii="宋体" w:hAnsi="宋体" w:eastAsia="宋体"/>
          <w:color w:val="auto"/>
        </w:rPr>
      </w:pPr>
      <w:bookmarkStart w:id="159" w:name="_Toc356145567"/>
      <w:r>
        <w:rPr>
          <w:rFonts w:hint="eastAsia" w:ascii="宋体" w:hAnsi="宋体" w:eastAsia="宋体"/>
          <w:color w:val="auto"/>
        </w:rPr>
        <w:t>y药品信息维护</w:t>
      </w:r>
      <w:bookmarkEnd w:id="159"/>
    </w:p>
    <w:p>
      <w:pPr>
        <w:pStyle w:val="389"/>
        <w:rPr>
          <w:color w:val="auto"/>
          <w:szCs w:val="24"/>
        </w:rPr>
      </w:pPr>
      <w:r>
        <w:rPr>
          <w:rFonts w:hint="eastAsia"/>
          <w:color w:val="auto"/>
          <w:szCs w:val="24"/>
          <w:lang w:bidi="ar"/>
        </w:rPr>
        <w:t>药房在使用之前，需从药库/其它药房导入药品信息，及对本药房的药品信息进行维护。药品需导入药品后使用。</w:t>
      </w:r>
    </w:p>
    <w:p>
      <w:pPr>
        <w:pStyle w:val="6"/>
        <w:spacing w:before="0" w:after="0" w:line="360" w:lineRule="auto"/>
        <w:ind w:left="851" w:hanging="851"/>
        <w:rPr>
          <w:rFonts w:ascii="宋体" w:hAnsi="宋体"/>
          <w:color w:val="auto"/>
          <w:sz w:val="24"/>
          <w:szCs w:val="24"/>
        </w:rPr>
      </w:pPr>
      <w:r>
        <w:rPr>
          <w:rFonts w:hint="eastAsia" w:ascii="宋体" w:hAnsi="宋体"/>
          <w:color w:val="auto"/>
          <w:sz w:val="24"/>
          <w:szCs w:val="24"/>
        </w:rPr>
        <w:t>（4）疫苗管理</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a疫苗公共信息维护</w:t>
      </w:r>
    </w:p>
    <w:p>
      <w:pPr>
        <w:pStyle w:val="389"/>
        <w:rPr>
          <w:color w:val="auto"/>
          <w:szCs w:val="24"/>
        </w:rPr>
      </w:pPr>
      <w:r>
        <w:rPr>
          <w:rFonts w:hint="eastAsia"/>
          <w:color w:val="auto"/>
          <w:szCs w:val="24"/>
          <w:lang w:bidi="ar"/>
        </w:rPr>
        <w:t>维护疫苗的公共信息，包括疫苗的属性、疫苗的价格，疫苗的别名，疫苗说明，用药限制，供所有医疗机构使用。医疗机构必须通过调入此处的疫苗目录。</w:t>
      </w:r>
    </w:p>
    <w:p>
      <w:pPr>
        <w:pStyle w:val="389"/>
        <w:rPr>
          <w:color w:val="auto"/>
          <w:szCs w:val="24"/>
        </w:rPr>
      </w:pPr>
      <w:r>
        <w:rPr>
          <w:rFonts w:hint="eastAsia"/>
          <w:color w:val="auto"/>
          <w:szCs w:val="24"/>
          <w:lang w:bidi="ar"/>
        </w:rPr>
        <w:t>疫苗支持自定义账簿类别，在收费报表中医院对于疫苗的分类可能各不相同，在疫苗维护时支持将疫苗对照为事先定义好的账簿类别，在财务报表中会将产生的疫苗费用归并为对应的类别。</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b疫苗属性维护</w:t>
      </w:r>
    </w:p>
    <w:p>
      <w:pPr>
        <w:pStyle w:val="389"/>
        <w:rPr>
          <w:color w:val="auto"/>
          <w:szCs w:val="24"/>
        </w:rPr>
      </w:pPr>
      <w:r>
        <w:rPr>
          <w:rFonts w:hint="eastAsia"/>
          <w:color w:val="auto"/>
          <w:szCs w:val="24"/>
          <w:lang w:bidi="ar"/>
        </w:rPr>
        <w:t>对疫苗的剂型、发药方式和输液标志的信息进行维护。</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c生产厂家维护</w:t>
      </w:r>
    </w:p>
    <w:p>
      <w:pPr>
        <w:pStyle w:val="389"/>
        <w:rPr>
          <w:color w:val="auto"/>
          <w:szCs w:val="24"/>
        </w:rPr>
      </w:pPr>
      <w:r>
        <w:rPr>
          <w:rFonts w:hint="eastAsia"/>
          <w:color w:val="auto"/>
          <w:szCs w:val="24"/>
          <w:lang w:bidi="ar"/>
        </w:rPr>
        <w:t>提供生产厂家新增、修改、删除等维护功能。已使用过的生产厂家不能被修改和删除。</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d进货单位维护</w:t>
      </w:r>
    </w:p>
    <w:p>
      <w:pPr>
        <w:pStyle w:val="389"/>
        <w:rPr>
          <w:color w:val="auto"/>
          <w:szCs w:val="24"/>
        </w:rPr>
      </w:pPr>
      <w:r>
        <w:rPr>
          <w:rFonts w:hint="eastAsia"/>
          <w:color w:val="auto"/>
          <w:szCs w:val="24"/>
          <w:lang w:bidi="ar"/>
        </w:rPr>
        <w:t>对进货单位进行维护，包括单位名称、联系人、账号、地址、开户银行、联系电话、是否作废等内容。</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e疫苗库房管理</w:t>
      </w:r>
    </w:p>
    <w:p>
      <w:pPr>
        <w:pStyle w:val="389"/>
        <w:rPr>
          <w:color w:val="auto"/>
          <w:szCs w:val="24"/>
        </w:rPr>
      </w:pPr>
      <w:r>
        <w:rPr>
          <w:rFonts w:hint="eastAsia"/>
          <w:color w:val="auto"/>
          <w:szCs w:val="24"/>
          <w:lang w:bidi="ar"/>
        </w:rPr>
        <w:t>疫苗库房可基于药库药房管理模式进行同步管理。</w:t>
      </w:r>
    </w:p>
    <w:p>
      <w:pPr>
        <w:pStyle w:val="5"/>
        <w:spacing w:before="0" w:after="0" w:line="360" w:lineRule="auto"/>
        <w:ind w:left="709" w:hanging="709"/>
        <w:rPr>
          <w:rFonts w:ascii="宋体" w:hAnsi="宋体" w:eastAsia="宋体"/>
          <w:color w:val="auto"/>
          <w:sz w:val="24"/>
          <w:szCs w:val="24"/>
        </w:rPr>
      </w:pPr>
      <w:bookmarkStart w:id="160" w:name="_Toc24327"/>
      <w:r>
        <w:rPr>
          <w:rFonts w:hint="eastAsia" w:ascii="宋体" w:hAnsi="宋体" w:eastAsia="宋体"/>
          <w:color w:val="auto"/>
          <w:sz w:val="24"/>
          <w:szCs w:val="24"/>
        </w:rPr>
        <w:t>4.1.5、医技管理</w:t>
      </w:r>
    </w:p>
    <w:p>
      <w:pPr>
        <w:pStyle w:val="6"/>
        <w:spacing w:before="0" w:after="0" w:line="360" w:lineRule="auto"/>
        <w:ind w:left="851" w:hanging="851"/>
        <w:rPr>
          <w:rFonts w:ascii="宋体" w:hAnsi="宋体"/>
          <w:color w:val="auto"/>
          <w:sz w:val="24"/>
          <w:szCs w:val="24"/>
        </w:rPr>
      </w:pPr>
      <w:r>
        <w:rPr>
          <w:rFonts w:hint="eastAsia" w:ascii="宋体" w:hAnsi="宋体"/>
          <w:color w:val="auto"/>
          <w:sz w:val="24"/>
          <w:szCs w:val="24"/>
        </w:rPr>
        <w:t>（1）医技计费管理</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a医技项目执行</w:t>
      </w:r>
    </w:p>
    <w:p>
      <w:pPr>
        <w:pStyle w:val="389"/>
        <w:rPr>
          <w:color w:val="auto"/>
          <w:szCs w:val="24"/>
        </w:rPr>
      </w:pPr>
      <w:r>
        <w:rPr>
          <w:rFonts w:hint="eastAsia"/>
          <w:color w:val="auto"/>
          <w:szCs w:val="24"/>
          <w:lang w:bidi="ar"/>
        </w:rPr>
        <w:t>门诊业务中，当门诊医生开完检验、检查申请，在收费处收完费以后，申请单自动传到医技科室，医技人员通过卡号或门诊号码查询该患者的相关申请单，确认后执行然后执行操作。</w:t>
      </w:r>
    </w:p>
    <w:p>
      <w:pPr>
        <w:pStyle w:val="389"/>
        <w:rPr>
          <w:color w:val="auto"/>
          <w:szCs w:val="24"/>
        </w:rPr>
      </w:pPr>
      <w:r>
        <w:rPr>
          <w:rFonts w:hint="eastAsia"/>
          <w:color w:val="auto"/>
          <w:szCs w:val="24"/>
          <w:lang w:bidi="ar"/>
        </w:rPr>
        <w:t>住院业务中，当病区医生或护士下完费用医嘱，并由护士执行完“医技项目提交”操作以后，自动将医技申请发送到医技科室，根据住院号码查询住院病人的医技申请，确认以后做执行操作，执行时扣除病人预缴款中该笔项目的费用。</w:t>
      </w:r>
    </w:p>
    <w:p>
      <w:pPr>
        <w:pStyle w:val="389"/>
        <w:rPr>
          <w:color w:val="auto"/>
          <w:szCs w:val="24"/>
        </w:rPr>
      </w:pPr>
      <w:r>
        <w:rPr>
          <w:rFonts w:hint="eastAsia"/>
          <w:color w:val="auto"/>
          <w:szCs w:val="24"/>
          <w:lang w:bidi="ar"/>
        </w:rPr>
        <w:t>支持批量执行医技单。</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b医技项目取消</w:t>
      </w:r>
    </w:p>
    <w:p>
      <w:pPr>
        <w:pStyle w:val="389"/>
        <w:rPr>
          <w:color w:val="auto"/>
          <w:szCs w:val="24"/>
        </w:rPr>
      </w:pPr>
      <w:r>
        <w:rPr>
          <w:rFonts w:hint="eastAsia"/>
          <w:color w:val="auto"/>
          <w:szCs w:val="24"/>
          <w:lang w:bidi="ar"/>
        </w:rPr>
        <w:t>包括门诊和住院两部分。可根据执行日期、卡号查找所要取消的已经执行过的医技项目。</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c医技退回病区</w:t>
      </w:r>
    </w:p>
    <w:p>
      <w:pPr>
        <w:pStyle w:val="389"/>
        <w:rPr>
          <w:color w:val="auto"/>
          <w:szCs w:val="24"/>
        </w:rPr>
      </w:pPr>
      <w:r>
        <w:rPr>
          <w:rFonts w:hint="eastAsia"/>
          <w:color w:val="auto"/>
          <w:szCs w:val="24"/>
          <w:lang w:bidi="ar"/>
        </w:rPr>
        <w:t>当病区费用医嘱提交至医技科室以后，由于特殊情况，医技不需要执行需退回病区由病区对该比医嘱重新处理，针对此种情况，系统提供医技退回病区功能。</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d诊断结果维护</w:t>
      </w:r>
    </w:p>
    <w:p>
      <w:pPr>
        <w:pStyle w:val="389"/>
        <w:rPr>
          <w:color w:val="auto"/>
          <w:szCs w:val="24"/>
        </w:rPr>
      </w:pPr>
      <w:r>
        <w:rPr>
          <w:rFonts w:hint="eastAsia"/>
          <w:color w:val="auto"/>
          <w:szCs w:val="24"/>
          <w:lang w:bidi="ar"/>
        </w:rPr>
        <w:t>维护医技执行时所要录入的诊断结果。</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e医技收入统计</w:t>
      </w:r>
    </w:p>
    <w:p>
      <w:pPr>
        <w:pStyle w:val="389"/>
        <w:rPr>
          <w:color w:val="auto"/>
          <w:szCs w:val="24"/>
        </w:rPr>
      </w:pPr>
      <w:r>
        <w:rPr>
          <w:rFonts w:hint="eastAsia"/>
          <w:color w:val="auto"/>
          <w:szCs w:val="24"/>
          <w:lang w:bidi="ar"/>
        </w:rPr>
        <w:t>统计某段时间内某位医生执行过的医技费用合计。</w:t>
      </w:r>
    </w:p>
    <w:p>
      <w:pPr>
        <w:pStyle w:val="6"/>
        <w:spacing w:before="0" w:after="0" w:line="360" w:lineRule="auto"/>
        <w:ind w:left="851" w:hanging="851"/>
        <w:rPr>
          <w:rFonts w:ascii="宋体" w:hAnsi="宋体"/>
          <w:color w:val="auto"/>
          <w:sz w:val="24"/>
          <w:szCs w:val="24"/>
        </w:rPr>
      </w:pPr>
      <w:r>
        <w:rPr>
          <w:rFonts w:hint="eastAsia" w:ascii="宋体" w:hAnsi="宋体"/>
          <w:color w:val="auto"/>
          <w:sz w:val="24"/>
          <w:szCs w:val="24"/>
        </w:rPr>
        <w:t>（2）基层LIS信息系统</w:t>
      </w:r>
    </w:p>
    <w:p>
      <w:pPr>
        <w:pStyle w:val="7"/>
        <w:spacing w:before="0" w:after="0" w:line="360" w:lineRule="auto"/>
        <w:ind w:left="992" w:hanging="992"/>
        <w:rPr>
          <w:rFonts w:ascii="宋体" w:hAnsi="宋体" w:eastAsia="宋体"/>
          <w:color w:val="auto"/>
        </w:rPr>
      </w:pPr>
      <w:r>
        <w:rPr>
          <w:rFonts w:hint="eastAsia" w:ascii="宋体" w:hAnsi="宋体" w:eastAsia="宋体"/>
          <w:color w:val="auto"/>
        </w:rPr>
        <w:t>a检验主业务管理系统</w:t>
      </w:r>
    </w:p>
    <w:tbl>
      <w:tblPr>
        <w:tblStyle w:val="63"/>
        <w:tblW w:w="8528" w:type="dxa"/>
        <w:jc w:val="center"/>
        <w:tblLayout w:type="fixed"/>
        <w:tblCellMar>
          <w:top w:w="0" w:type="dxa"/>
          <w:left w:w="108" w:type="dxa"/>
          <w:bottom w:w="0" w:type="dxa"/>
          <w:right w:w="108" w:type="dxa"/>
        </w:tblCellMar>
      </w:tblPr>
      <w:tblGrid>
        <w:gridCol w:w="815"/>
        <w:gridCol w:w="1570"/>
        <w:gridCol w:w="6143"/>
      </w:tblGrid>
      <w:tr>
        <w:tblPrEx>
          <w:tblCellMar>
            <w:top w:w="0" w:type="dxa"/>
            <w:left w:w="108" w:type="dxa"/>
            <w:bottom w:w="0" w:type="dxa"/>
            <w:right w:w="108" w:type="dxa"/>
          </w:tblCellMar>
        </w:tblPrEx>
        <w:trPr>
          <w:trHeight w:val="585" w:hRule="atLeast"/>
          <w:tblHeader/>
          <w:jc w:val="center"/>
        </w:trPr>
        <w:tc>
          <w:tcPr>
            <w:tcW w:w="81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360" w:lineRule="auto"/>
              <w:jc w:val="center"/>
              <w:rPr>
                <w:rFonts w:ascii="宋体" w:hAnsi="宋体"/>
                <w:b/>
                <w:bCs/>
                <w:color w:val="auto"/>
                <w:sz w:val="24"/>
              </w:rPr>
            </w:pPr>
            <w:r>
              <w:rPr>
                <w:rFonts w:hint="eastAsia" w:ascii="宋体" w:hAnsi="宋体"/>
                <w:b/>
                <w:bCs/>
                <w:color w:val="auto"/>
                <w:sz w:val="24"/>
              </w:rPr>
              <w:t>序号</w:t>
            </w:r>
          </w:p>
        </w:tc>
        <w:tc>
          <w:tcPr>
            <w:tcW w:w="15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360" w:lineRule="auto"/>
              <w:jc w:val="center"/>
              <w:rPr>
                <w:rFonts w:ascii="宋体" w:hAnsi="宋体"/>
                <w:b/>
                <w:bCs/>
                <w:color w:val="auto"/>
                <w:sz w:val="24"/>
              </w:rPr>
            </w:pPr>
            <w:r>
              <w:rPr>
                <w:rFonts w:hint="eastAsia" w:ascii="宋体" w:hAnsi="宋体"/>
                <w:b/>
                <w:bCs/>
                <w:color w:val="auto"/>
                <w:sz w:val="24"/>
              </w:rPr>
              <w:t>功能</w:t>
            </w:r>
          </w:p>
        </w:tc>
        <w:tc>
          <w:tcPr>
            <w:tcW w:w="6143"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360" w:lineRule="auto"/>
              <w:jc w:val="center"/>
              <w:rPr>
                <w:rFonts w:ascii="宋体" w:hAnsi="宋体"/>
                <w:b/>
                <w:bCs/>
                <w:color w:val="auto"/>
                <w:sz w:val="24"/>
              </w:rPr>
            </w:pPr>
            <w:r>
              <w:rPr>
                <w:rFonts w:hint="eastAsia" w:ascii="宋体" w:hAnsi="宋体"/>
                <w:b/>
                <w:bCs/>
                <w:color w:val="auto"/>
                <w:sz w:val="24"/>
              </w:rPr>
              <w:t>功能需求</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1.</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标本登记</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完成来自门诊或病房的化验申请单的手工登记工作。</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2.</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批量处理</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完成对病人资料和结果数据的成批修改、删除，以及对体检标本的成批登记。</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3.</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结果输入</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对手工结果的输入和修改，以及对一些阴阳性结果的成批输入。</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4.</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标本核收</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通过扫描条码接收病区中合格的标本并自动完成计费，并把不合格的标本退回病区。</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5.</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科研/学习登记</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登记科研人员的科研成果</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6.</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历史结果回顾</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病人在系统中的唯一编号查询本次检验项目对应的历史结果和现结果进行的比较。</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7.</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结果审核</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根据审核人员事先设定的审核条件对病人的检验结果进行智能分析，并根据不同的结果提示，决定报告单是否签发、是否需重做或需重采集标本等等处理意见。</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8.</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系统误差纠正</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完成对同一批标本的结果根据当天的质控情况，确定截距和斜率对标本的结果进行系统误差的纠正。</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9.</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报告单查询</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根据提供的标本信息综合查询符合条件的报告单。</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10.</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传染病报卡</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以某一种传染病条件的结果作为查询条件，检索出符合条件的病人信息，并打印出来报给防疫站。</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11.</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结果趋势查询</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查询某一病人在一段时期内，某一项目的结果变化的趋势情况。</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12.</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工作量统计</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统计检验科的工作量情况，支持按检验部门、检查项目、申请医生、操作人员、病人的就诊类别综合和分开统计工作量。</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13.</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工作进度分析</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分析当天的各类标本的工作进度情况。</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14.</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信息修改查询</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查询操作者修改过的病人的基本信息及结果。</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15.</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科研统计</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统计某一段时间内某个项目的标准差、最大最小值及把某一段时间内的项目结果导成Excel文件。</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16.</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报告单打印</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打印报告单，操作界面与主业务窗口的报告单打印。</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17.</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工作清单打印</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打印当天检验科本部门所做的各病人的汇总情况，操作界面如同测定清单打印。</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18.</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测定清单打印</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打印当天的测定清单，用于归档和纸质保存。</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19.</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异常结果打印</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打印当天体检病人中结果不正常的病人信息和结果信息，操作界面如同测定清单打印。</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20.</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标本、报告单收发记录表</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记录标本接收及报告单发送的详细情况统记。</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21.</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检验质控管理</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试验室室内质控管理，包括质控规划、失控分析、质控月报表、质控日报表、质控比对及评价等。</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22.</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门诊采血系统</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提供给标本采集的人员执行门诊病人的已经付费的检验医嘱并产生条码，打印条码标签和病人的回执单，病人的回执单上的信息包含病人的基本信息、检验的项目信息、拿报告单的时间和地点等信息。</w:t>
            </w:r>
          </w:p>
        </w:tc>
      </w:tr>
      <w:tr>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rPr>
            </w:pPr>
            <w:r>
              <w:rPr>
                <w:rFonts w:ascii="宋体" w:hAnsi="宋体"/>
                <w:color w:val="auto"/>
                <w:sz w:val="24"/>
              </w:rPr>
              <w:t>23.</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自助取单系统</w:t>
            </w:r>
          </w:p>
        </w:tc>
        <w:tc>
          <w:tcPr>
            <w:tcW w:w="614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olor w:val="auto"/>
                <w:sz w:val="24"/>
              </w:rPr>
            </w:pPr>
            <w:r>
              <w:rPr>
                <w:rFonts w:hint="eastAsia" w:ascii="宋体" w:hAnsi="宋体"/>
                <w:color w:val="auto"/>
                <w:sz w:val="24"/>
              </w:rPr>
              <w:t>与自助打印的硬件设备配合，刷就诊卡或者扫描条码，系统自动打印该病人在设定的时间段内没有打印过的检验报告单。</w:t>
            </w:r>
          </w:p>
        </w:tc>
      </w:tr>
    </w:tbl>
    <w:p>
      <w:pPr>
        <w:pStyle w:val="7"/>
        <w:spacing w:before="0" w:after="0" w:line="360" w:lineRule="auto"/>
        <w:ind w:left="992" w:hanging="992"/>
        <w:rPr>
          <w:rFonts w:ascii="宋体" w:hAnsi="宋体" w:eastAsia="宋体"/>
          <w:color w:val="auto"/>
        </w:rPr>
      </w:pPr>
      <w:r>
        <w:rPr>
          <w:rFonts w:hint="eastAsia" w:ascii="宋体" w:hAnsi="宋体" w:eastAsia="宋体"/>
          <w:color w:val="auto"/>
        </w:rPr>
        <w:t>b仪器通讯系统</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完成仪器原始数据采集及解析，包括各种传输模式（串口、网口、USB、读文件等）。</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r>
        <w:rPr>
          <w:rFonts w:hint="eastAsia" w:ascii="宋体" w:hAnsi="宋体" w:eastAsia="宋体"/>
          <w:color w:val="auto"/>
        </w:rPr>
        <w:t>c双向通信</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对于支持条码读取的仪器，使仪器实现双向通信的功能，仪器支持通过读取试管上的条码，自动获取条码信息对应的检验医嘱信息，自动测试检验项目。</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r>
        <w:rPr>
          <w:rFonts w:hint="eastAsia" w:ascii="宋体" w:hAnsi="宋体" w:eastAsia="宋体"/>
          <w:color w:val="auto"/>
        </w:rPr>
        <w:t>d酶标仪测定</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支持直接控制酶标仪的测试过程，直接读取酶标仪的原始对应的板孔的吸光度值，自动计算CUTOFF值，判断阴阳性结果，根据卫生部的要求保存各个板的原始的OD值、测定方法、CUTOFF值及S/CO值，支持打印原始数据的报表。</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r>
        <w:rPr>
          <w:rFonts w:hint="eastAsia" w:ascii="宋体" w:hAnsi="宋体" w:eastAsia="宋体"/>
          <w:color w:val="auto"/>
        </w:rPr>
        <w:t>e危急值预警管理</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检验科在检测或审核标本时，系统自动判断危急值，遇危急标本系统自动提醒检验科医生，确需核发该报告时，系统自动将标本结果危急情况发送到标本采集的科室；针对门诊的危急值可通过短信服务告知医生或患者。</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危急值按需播报，项目危急值范围可根据患者性别、年龄、科室等分类设置，支持通过系统播报项目危急值，微生物等。</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待医院采购电话语音服务器后，LIS系统将危急情况写入电话语音服务器接口，通过电话语音服务器系统，告知病区医生或者护士。</w:t>
      </w:r>
    </w:p>
    <w:p>
      <w:pPr>
        <w:pStyle w:val="5"/>
        <w:pageBreakBefore w:val="0"/>
        <w:widowControl w:val="0"/>
        <w:kinsoku/>
        <w:wordWrap/>
        <w:overflowPunct/>
        <w:topLinePunct w:val="0"/>
        <w:autoSpaceDE/>
        <w:autoSpaceDN/>
        <w:bidi w:val="0"/>
        <w:snapToGrid/>
        <w:spacing w:before="0" w:after="0" w:line="440" w:lineRule="exact"/>
        <w:ind w:left="709" w:hanging="709"/>
        <w:textAlignment w:val="auto"/>
        <w:rPr>
          <w:rFonts w:ascii="宋体" w:hAnsi="宋体" w:eastAsia="宋体"/>
          <w:color w:val="auto"/>
          <w:sz w:val="24"/>
          <w:szCs w:val="24"/>
        </w:rPr>
      </w:pPr>
      <w:bookmarkStart w:id="161" w:name="_Toc79874391"/>
      <w:r>
        <w:rPr>
          <w:rFonts w:hint="eastAsia" w:ascii="宋体" w:hAnsi="宋体" w:eastAsia="宋体"/>
          <w:color w:val="auto"/>
          <w:sz w:val="24"/>
          <w:szCs w:val="24"/>
        </w:rPr>
        <w:t>4.1.6、体检系统</w:t>
      </w:r>
      <w:bookmarkEnd w:id="161"/>
    </w:p>
    <w:p>
      <w:pPr>
        <w:pStyle w:val="6"/>
        <w:pageBreakBefore w:val="0"/>
        <w:widowControl w:val="0"/>
        <w:kinsoku/>
        <w:wordWrap/>
        <w:overflowPunct/>
        <w:topLinePunct w:val="0"/>
        <w:autoSpaceDE/>
        <w:autoSpaceDN/>
        <w:bidi w:val="0"/>
        <w:snapToGrid/>
        <w:spacing w:before="0" w:after="0" w:line="440" w:lineRule="exact"/>
        <w:ind w:left="851" w:hanging="851"/>
        <w:textAlignment w:val="auto"/>
        <w:rPr>
          <w:rFonts w:ascii="宋体" w:hAnsi="宋体"/>
          <w:color w:val="auto"/>
          <w:sz w:val="24"/>
          <w:szCs w:val="24"/>
        </w:rPr>
      </w:pPr>
      <w:bookmarkStart w:id="162" w:name="_Toc56762080"/>
      <w:r>
        <w:rPr>
          <w:rFonts w:hint="eastAsia" w:ascii="宋体" w:hAnsi="宋体"/>
          <w:color w:val="auto"/>
          <w:sz w:val="24"/>
          <w:szCs w:val="24"/>
        </w:rPr>
        <w:t>（1）体检管理</w:t>
      </w:r>
      <w:bookmarkEnd w:id="162"/>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163" w:name="_Toc56762081"/>
      <w:r>
        <w:rPr>
          <w:rFonts w:hint="eastAsia" w:ascii="宋体" w:hAnsi="宋体" w:eastAsia="宋体"/>
          <w:color w:val="auto"/>
        </w:rPr>
        <w:t>a区域机构管理</w:t>
      </w:r>
      <w:bookmarkEnd w:id="163"/>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机构注册编号管理，医疗机构的信息包括：机构标识，机构代码，机构名称，所在地址，邮编，联系人，电话，机构描述，机构级别，创建时间，创建者，状态标志(该医疗机构是否有效)。区域内送检机构都设立唯一机构编码，并将唯一机构代码应用与体检编码中。</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164" w:name="_Toc56762082"/>
      <w:r>
        <w:rPr>
          <w:rFonts w:hint="eastAsia" w:ascii="宋体" w:hAnsi="宋体" w:eastAsia="宋体"/>
          <w:color w:val="auto"/>
        </w:rPr>
        <w:t>b区域体检档案唯一识别</w:t>
      </w:r>
      <w:bookmarkEnd w:id="164"/>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区域内体检机构机构号采用统一编码规则，保证全区唯一体检唯一编号，便于体检报告流通管理。</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165" w:name="_Toc56762083"/>
      <w:r>
        <w:rPr>
          <w:rFonts w:hint="eastAsia" w:ascii="宋体" w:hAnsi="宋体" w:eastAsia="宋体"/>
          <w:color w:val="auto"/>
        </w:rPr>
        <w:t>c统一系统设置</w:t>
      </w:r>
      <w:bookmarkEnd w:id="165"/>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支撑应用系统维护管理，包含用户管理、用户权限管理、用户密码修改、系统参数维护等。</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166" w:name="_Toc56762084"/>
      <w:r>
        <w:rPr>
          <w:rFonts w:hint="eastAsia" w:ascii="宋体" w:hAnsi="宋体" w:eastAsia="宋体"/>
          <w:color w:val="auto"/>
        </w:rPr>
        <w:t>d区域体检项目统一标准代码</w:t>
      </w:r>
      <w:bookmarkEnd w:id="166"/>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实现体检公共数据统一管理，如体检申请项目、科室、项目名称、项目类型、项目结果模板、项目性别、计量单位、诊断建议等。</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 xml:space="preserve">公共数据有体检中心通过系统进行日常维护设置，各体检机构信息系统通过体检中心业务服务平台提供的公用数据下载服务实时同步数据。 </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167" w:name="_Toc56762085"/>
      <w:r>
        <w:rPr>
          <w:rFonts w:hint="eastAsia" w:ascii="宋体" w:hAnsi="宋体" w:eastAsia="宋体"/>
          <w:color w:val="auto"/>
        </w:rPr>
        <w:t>e区域体检数据集中维护</w:t>
      </w:r>
      <w:bookmarkEnd w:id="167"/>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由中心进行体检公共数据统一管理，包含医疗机构代码及服务授权、体检项目、科室、项目名称、项目类型、项目结果模板、项目性别、计量单位、诊断建议等。公用数据优先采用国际或行业标准编码，系统应采用HL7 CDA、LOINC、IHE Lab-TF等国际标准或集成规范，提供标准的接口。</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公共数据有体检中心通过系统进行日常维护设置，同时发布到数据中心。各机构体检信息系统通过中心平台提供的公用数据下载服务实时同步数据。</w:t>
      </w:r>
    </w:p>
    <w:p>
      <w:pPr>
        <w:pStyle w:val="6"/>
        <w:pageBreakBefore w:val="0"/>
        <w:widowControl w:val="0"/>
        <w:kinsoku/>
        <w:wordWrap/>
        <w:overflowPunct/>
        <w:topLinePunct w:val="0"/>
        <w:autoSpaceDE/>
        <w:autoSpaceDN/>
        <w:bidi w:val="0"/>
        <w:snapToGrid/>
        <w:spacing w:before="0" w:after="0" w:line="440" w:lineRule="exact"/>
        <w:ind w:left="851" w:hanging="851"/>
        <w:textAlignment w:val="auto"/>
        <w:rPr>
          <w:rFonts w:ascii="宋体" w:hAnsi="宋体"/>
          <w:color w:val="auto"/>
          <w:sz w:val="24"/>
          <w:szCs w:val="24"/>
        </w:rPr>
      </w:pPr>
      <w:bookmarkStart w:id="168" w:name="_Toc56762086"/>
      <w:r>
        <w:rPr>
          <w:rFonts w:hint="eastAsia" w:ascii="宋体" w:hAnsi="宋体"/>
          <w:color w:val="auto"/>
          <w:sz w:val="24"/>
          <w:szCs w:val="24"/>
        </w:rPr>
        <w:t>（2）体检统计分析</w:t>
      </w:r>
      <w:bookmarkEnd w:id="168"/>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对区域中各机构间的体检数据进行统一管理、统计分析,在数据中心支撑下的形成各种查询或统计报表。主要对如下信息进行分析：</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分机构体检量统计表</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体检疾病统计分析</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年龄段分布统计</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医生工作量统计</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科室工作量统计</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 xml:space="preserve">异常指标统计 </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高危指标统计分析</w:t>
      </w:r>
    </w:p>
    <w:p>
      <w:pPr>
        <w:pStyle w:val="6"/>
        <w:pageBreakBefore w:val="0"/>
        <w:widowControl w:val="0"/>
        <w:kinsoku/>
        <w:wordWrap/>
        <w:overflowPunct/>
        <w:topLinePunct w:val="0"/>
        <w:autoSpaceDE/>
        <w:autoSpaceDN/>
        <w:bidi w:val="0"/>
        <w:snapToGrid/>
        <w:spacing w:before="0" w:after="0" w:line="440" w:lineRule="exact"/>
        <w:ind w:left="851" w:hanging="851"/>
        <w:textAlignment w:val="auto"/>
        <w:rPr>
          <w:rFonts w:ascii="宋体" w:hAnsi="宋体"/>
          <w:color w:val="auto"/>
          <w:sz w:val="24"/>
          <w:szCs w:val="24"/>
        </w:rPr>
      </w:pPr>
      <w:bookmarkStart w:id="169" w:name="_Toc56762087"/>
      <w:r>
        <w:rPr>
          <w:rFonts w:hint="eastAsia" w:ascii="宋体" w:hAnsi="宋体"/>
          <w:color w:val="auto"/>
          <w:sz w:val="24"/>
          <w:szCs w:val="24"/>
        </w:rPr>
        <w:t>（3）体检</w:t>
      </w:r>
      <w:r>
        <w:rPr>
          <w:rFonts w:hint="eastAsia" w:ascii="宋体" w:hAnsi="宋体" w:cs="宋体"/>
          <w:color w:val="auto"/>
          <w:sz w:val="24"/>
          <w:szCs w:val="24"/>
        </w:rPr>
        <w:t>基本</w:t>
      </w:r>
      <w:r>
        <w:rPr>
          <w:rFonts w:hint="eastAsia" w:ascii="宋体" w:hAnsi="宋体"/>
          <w:color w:val="auto"/>
          <w:sz w:val="24"/>
          <w:szCs w:val="24"/>
        </w:rPr>
        <w:t>业务</w:t>
      </w:r>
      <w:bookmarkEnd w:id="169"/>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170" w:name="_Toc56762090"/>
      <w:bookmarkStart w:id="171" w:name="_Toc281914458"/>
      <w:bookmarkStart w:id="172" w:name="_Toc496880957"/>
      <w:bookmarkStart w:id="173" w:name="_Toc281303913"/>
      <w:r>
        <w:rPr>
          <w:rFonts w:hint="eastAsia" w:ascii="宋体" w:hAnsi="宋体" w:eastAsia="宋体"/>
          <w:color w:val="auto"/>
        </w:rPr>
        <w:t>a机构注册</w:t>
      </w:r>
      <w:bookmarkEnd w:id="170"/>
      <w:bookmarkEnd w:id="171"/>
      <w:bookmarkEnd w:id="172"/>
      <w:bookmarkEnd w:id="173"/>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实现区域内机构维护管理功能。</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体检机构，功能如下：</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机构类型选择是根据应用域管理--组织架构类型中区域体检系统维护的机构类型来确定。</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174" w:name="_Toc56762091"/>
      <w:bookmarkStart w:id="175" w:name="_Toc281303914"/>
      <w:bookmarkStart w:id="176" w:name="_Toc496880958"/>
      <w:bookmarkStart w:id="177" w:name="_Toc281914459"/>
      <w:bookmarkStart w:id="178" w:name="_Toc56912746"/>
      <w:r>
        <w:rPr>
          <w:rFonts w:hint="eastAsia" w:ascii="宋体" w:hAnsi="宋体" w:eastAsia="宋体"/>
          <w:color w:val="auto"/>
        </w:rPr>
        <w:t>b人员注册</w:t>
      </w:r>
      <w:bookmarkEnd w:id="174"/>
      <w:bookmarkEnd w:id="175"/>
      <w:bookmarkEnd w:id="176"/>
      <w:bookmarkEnd w:id="177"/>
      <w:bookmarkEnd w:id="178"/>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机构科室下人员信息维护。</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179" w:name="_Toc496880959"/>
      <w:bookmarkStart w:id="180" w:name="_Toc56762092"/>
      <w:r>
        <w:rPr>
          <w:rFonts w:hint="eastAsia" w:ascii="宋体" w:hAnsi="宋体" w:eastAsia="宋体"/>
          <w:color w:val="auto"/>
        </w:rPr>
        <w:t>c用户注册</w:t>
      </w:r>
      <w:bookmarkEnd w:id="179"/>
      <w:bookmarkEnd w:id="180"/>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可登陆区域体检系统的用户信息维护。</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列表选择区域体检系统，添加部门或子部门（选择的部门或子部门是机构注册中已经维护好的）。</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181" w:name="_Toc281303916"/>
      <w:bookmarkStart w:id="182" w:name="_Toc56912754"/>
      <w:bookmarkStart w:id="183" w:name="_Toc496880960"/>
      <w:bookmarkStart w:id="184" w:name="_Toc56762093"/>
      <w:bookmarkStart w:id="185" w:name="_Toc281914461"/>
      <w:r>
        <w:rPr>
          <w:rFonts w:hint="eastAsia" w:ascii="宋体" w:hAnsi="宋体" w:eastAsia="宋体"/>
          <w:color w:val="auto"/>
        </w:rPr>
        <w:t>d基础资料</w:t>
      </w:r>
      <w:bookmarkEnd w:id="181"/>
      <w:bookmarkEnd w:id="182"/>
      <w:bookmarkEnd w:id="183"/>
      <w:bookmarkEnd w:id="184"/>
      <w:bookmarkEnd w:id="185"/>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186" w:name="_Toc496880962"/>
      <w:bookmarkStart w:id="187" w:name="_Toc281914463"/>
      <w:bookmarkStart w:id="188" w:name="_Toc281303917"/>
      <w:bookmarkStart w:id="189" w:name="_Toc56762095"/>
      <w:bookmarkStart w:id="190" w:name="_Toc35230684"/>
      <w:r>
        <w:rPr>
          <w:rFonts w:hint="eastAsia" w:ascii="宋体" w:hAnsi="宋体"/>
          <w:b w:val="0"/>
          <w:bCs w:val="0"/>
          <w:color w:val="auto"/>
        </w:rPr>
        <w:t>体检项目类别维护</w:t>
      </w:r>
      <w:bookmarkEnd w:id="186"/>
      <w:bookmarkEnd w:id="187"/>
      <w:bookmarkEnd w:id="188"/>
      <w:bookmarkEnd w:id="189"/>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对所有的体检项目分类管理，在此处维护体检项目类别。</w:t>
      </w:r>
    </w:p>
    <w:bookmarkEnd w:id="190"/>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191" w:name="_Toc281303918"/>
      <w:bookmarkStart w:id="192" w:name="_Toc496880963"/>
      <w:bookmarkStart w:id="193" w:name="_Toc281914464"/>
      <w:bookmarkStart w:id="194" w:name="_Toc56912756"/>
      <w:bookmarkStart w:id="195" w:name="_Toc56762096"/>
      <w:r>
        <w:rPr>
          <w:rFonts w:hint="eastAsia" w:ascii="宋体" w:hAnsi="宋体"/>
          <w:b w:val="0"/>
          <w:bCs w:val="0"/>
          <w:color w:val="auto"/>
        </w:rPr>
        <w:t>体检项目维护</w:t>
      </w:r>
      <w:bookmarkEnd w:id="191"/>
      <w:bookmarkEnd w:id="192"/>
      <w:bookmarkEnd w:id="193"/>
      <w:bookmarkEnd w:id="194"/>
      <w:bookmarkEnd w:id="195"/>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中心医院维护体检项目包含的公有单项和公有组合。</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196" w:name="_Toc56762097"/>
      <w:bookmarkStart w:id="197" w:name="_Toc496880964"/>
      <w:bookmarkStart w:id="198" w:name="_Toc35230685"/>
      <w:bookmarkStart w:id="199" w:name="_Toc56912757"/>
      <w:r>
        <w:rPr>
          <w:rFonts w:hint="eastAsia" w:ascii="宋体" w:hAnsi="宋体"/>
          <w:b w:val="0"/>
          <w:bCs w:val="0"/>
          <w:color w:val="auto"/>
        </w:rPr>
        <w:t>诊断建议描述维护</w:t>
      </w:r>
      <w:bookmarkEnd w:id="196"/>
      <w:bookmarkEnd w:id="197"/>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维护公用诊断建议描述。</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00" w:name="_Toc281303919"/>
      <w:bookmarkStart w:id="201" w:name="_Toc281914465"/>
      <w:bookmarkStart w:id="202" w:name="_Toc496880965"/>
      <w:bookmarkStart w:id="203" w:name="_Toc56762098"/>
      <w:r>
        <w:rPr>
          <w:rFonts w:hint="eastAsia" w:ascii="宋体" w:hAnsi="宋体"/>
          <w:b w:val="0"/>
          <w:bCs w:val="0"/>
          <w:color w:val="auto"/>
        </w:rPr>
        <w:t>体检科室</w:t>
      </w:r>
      <w:bookmarkEnd w:id="200"/>
      <w:bookmarkEnd w:id="201"/>
      <w:bookmarkEnd w:id="202"/>
      <w:r>
        <w:rPr>
          <w:rFonts w:hint="eastAsia" w:ascii="宋体" w:hAnsi="宋体"/>
          <w:b w:val="0"/>
          <w:bCs w:val="0"/>
          <w:color w:val="auto"/>
        </w:rPr>
        <w:t>维护</w:t>
      </w:r>
      <w:bookmarkEnd w:id="203"/>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维护体检科室基本信息、科室中开展的体检项目以及科室的小结模式等。</w:t>
      </w:r>
    </w:p>
    <w:bookmarkEnd w:id="198"/>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04" w:name="_Toc281914466"/>
      <w:bookmarkStart w:id="205" w:name="_Toc496880966"/>
      <w:bookmarkStart w:id="206" w:name="_Toc281303920"/>
      <w:bookmarkStart w:id="207" w:name="_Toc56762099"/>
      <w:r>
        <w:rPr>
          <w:rFonts w:hint="eastAsia" w:ascii="宋体" w:hAnsi="宋体"/>
          <w:b w:val="0"/>
          <w:bCs w:val="0"/>
          <w:color w:val="auto"/>
        </w:rPr>
        <w:t>体检套餐维护</w:t>
      </w:r>
      <w:bookmarkEnd w:id="199"/>
      <w:bookmarkEnd w:id="204"/>
      <w:bookmarkEnd w:id="205"/>
      <w:bookmarkEnd w:id="206"/>
      <w:bookmarkEnd w:id="207"/>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维护体检套餐信息。</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08" w:name="_Toc281303927"/>
      <w:bookmarkStart w:id="209" w:name="_Toc281914473"/>
      <w:bookmarkStart w:id="210" w:name="_Toc56762100"/>
      <w:bookmarkStart w:id="211" w:name="_Toc496880967"/>
      <w:r>
        <w:rPr>
          <w:rFonts w:hint="eastAsia" w:ascii="宋体" w:hAnsi="宋体"/>
          <w:b w:val="0"/>
          <w:bCs w:val="0"/>
          <w:color w:val="auto"/>
        </w:rPr>
        <w:t>单位维护</w:t>
      </w:r>
      <w:bookmarkEnd w:id="208"/>
      <w:bookmarkEnd w:id="209"/>
      <w:bookmarkEnd w:id="210"/>
      <w:bookmarkEnd w:id="211"/>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维护体检单位的基本信息。</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212" w:name="_Toc281914483"/>
      <w:bookmarkStart w:id="213" w:name="_Toc281303936"/>
      <w:bookmarkStart w:id="214" w:name="_Toc56912766"/>
      <w:bookmarkStart w:id="215" w:name="_Toc35230687"/>
      <w:bookmarkStart w:id="216" w:name="_Toc496880971"/>
      <w:bookmarkStart w:id="217" w:name="_Toc56762101"/>
      <w:r>
        <w:rPr>
          <w:rFonts w:hint="eastAsia" w:ascii="宋体" w:hAnsi="宋体" w:eastAsia="宋体"/>
          <w:color w:val="auto"/>
        </w:rPr>
        <w:t>e体检</w:t>
      </w:r>
      <w:bookmarkEnd w:id="212"/>
      <w:bookmarkEnd w:id="213"/>
      <w:bookmarkEnd w:id="214"/>
      <w:bookmarkEnd w:id="215"/>
      <w:r>
        <w:rPr>
          <w:rFonts w:hint="eastAsia" w:ascii="宋体" w:hAnsi="宋体" w:eastAsia="宋体"/>
          <w:color w:val="auto"/>
        </w:rPr>
        <w:t>业务</w:t>
      </w:r>
      <w:bookmarkEnd w:id="216"/>
      <w:bookmarkEnd w:id="217"/>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18" w:name="_Toc56762104"/>
      <w:r>
        <w:rPr>
          <w:rFonts w:hint="eastAsia" w:ascii="宋体" w:hAnsi="宋体"/>
          <w:b w:val="0"/>
          <w:bCs w:val="0"/>
          <w:color w:val="auto"/>
        </w:rPr>
        <w:t>预约登记</w:t>
      </w:r>
      <w:bookmarkEnd w:id="218"/>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 xml:space="preserve">登记或通过EXCLE模版导入体检人员的预约信息。 </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支持选择查询字段按姓名、身份证号、性别等信息对己预约人员进行检索查询，支持根据预约时间段和预约检查时间段来筛选查询。</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19" w:name="_Toc56912768"/>
      <w:bookmarkStart w:id="220" w:name="_Toc496880974"/>
      <w:bookmarkStart w:id="221" w:name="_Toc281914486"/>
      <w:bookmarkStart w:id="222" w:name="_Toc281303938"/>
      <w:bookmarkStart w:id="223" w:name="_Toc56762105"/>
      <w:r>
        <w:rPr>
          <w:rFonts w:hint="eastAsia" w:ascii="宋体" w:hAnsi="宋体"/>
          <w:b w:val="0"/>
          <w:bCs w:val="0"/>
          <w:color w:val="auto"/>
        </w:rPr>
        <w:t>体检登记</w:t>
      </w:r>
      <w:bookmarkEnd w:id="219"/>
      <w:bookmarkEnd w:id="220"/>
      <w:bookmarkEnd w:id="221"/>
      <w:bookmarkEnd w:id="222"/>
      <w:bookmarkEnd w:id="223"/>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登记或修改体检人员的相关信息和体检项目，支持通过预约导入登记体检人，打印体检指引单、条码等。</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输入员工的各项信息，如姓名、身份证号（录入身份证号后性别、年龄、出生年月会自动根据身份证信息计算并赋值）、婚姻状况、联系电话、体检日期（默认为当天），红色框为必填项；如果员工已有体检记录，输入身份证号后将提示；体检编号将依据身份证号和姓名、姓名和手机号码生成。</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身份证读卡使用二代身份证读卡器，读取员工身份证信息并保存到体检登记窗口中。</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登记人和登记日期不可修改。</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体检套餐或体检项目会根据录入的性别、体检类别自动过滤掉适用范围不符的套餐或项目。</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支持修改体检记录。</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24" w:name="_Toc56762106"/>
      <w:bookmarkStart w:id="225" w:name="_Toc496880975"/>
      <w:bookmarkStart w:id="226" w:name="_Toc56912772"/>
      <w:bookmarkStart w:id="227" w:name="_Toc281303944"/>
      <w:bookmarkStart w:id="228" w:name="_Toc281914492"/>
      <w:r>
        <w:rPr>
          <w:rFonts w:hint="eastAsia" w:ascii="宋体" w:hAnsi="宋体"/>
          <w:b w:val="0"/>
          <w:bCs w:val="0"/>
          <w:color w:val="auto"/>
        </w:rPr>
        <w:t>体检结果录入</w:t>
      </w:r>
      <w:bookmarkEnd w:id="224"/>
      <w:bookmarkEnd w:id="225"/>
      <w:bookmarkEnd w:id="226"/>
      <w:bookmarkEnd w:id="227"/>
      <w:bookmarkEnd w:id="228"/>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按科室</w:t>
      </w:r>
      <w:r>
        <w:rPr>
          <w:rFonts w:hint="eastAsia"/>
          <w:color w:val="auto"/>
          <w:szCs w:val="24"/>
        </w:rPr>
        <w:t>录入体检结果，并对科室小结和提供诊断建议，体现为体检结果选择化，小结自动化，诊断建议自动化。</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直接输入体检编号，也可通过刷卡或条形码扫描的方式输入体检编号，选择体检科室（若以普通体检医生登陆打开此窗口时，科室只能选择有权限的科室操作。常用结果及小结支持在此页面便捷维护。</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29" w:name="_Toc56762107"/>
      <w:bookmarkStart w:id="230" w:name="_Toc496880976"/>
      <w:bookmarkStart w:id="231" w:name="_Toc281914493"/>
      <w:bookmarkStart w:id="232" w:name="_Toc281303945"/>
      <w:r>
        <w:rPr>
          <w:rFonts w:hint="eastAsia" w:ascii="宋体" w:hAnsi="宋体"/>
          <w:b w:val="0"/>
          <w:bCs w:val="0"/>
          <w:color w:val="auto"/>
        </w:rPr>
        <w:t>总检</w:t>
      </w:r>
      <w:bookmarkEnd w:id="229"/>
      <w:bookmarkEnd w:id="230"/>
      <w:bookmarkEnd w:id="231"/>
      <w:bookmarkEnd w:id="232"/>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支持自动产生综述和建议，进行修改后，生成总检结果，并且打印体检报告。</w:t>
      </w:r>
    </w:p>
    <w:p>
      <w:pPr>
        <w:pStyle w:val="389"/>
        <w:pageBreakBefore w:val="0"/>
        <w:widowControl w:val="0"/>
        <w:kinsoku/>
        <w:wordWrap/>
        <w:overflowPunct/>
        <w:topLinePunct w:val="0"/>
        <w:autoSpaceDE/>
        <w:autoSpaceDN/>
        <w:bidi w:val="0"/>
        <w:snapToGrid/>
        <w:spacing w:line="440" w:lineRule="exact"/>
        <w:textAlignment w:val="auto"/>
        <w:rPr>
          <w:color w:val="auto"/>
          <w:szCs w:val="24"/>
          <w:lang w:bidi="ar"/>
        </w:rPr>
      </w:pPr>
      <w:r>
        <w:rPr>
          <w:rFonts w:hint="eastAsia"/>
          <w:color w:val="auto"/>
          <w:szCs w:val="24"/>
          <w:lang w:bidi="ar"/>
        </w:rPr>
        <w:t>支持按体检单位、总检状态、小结状态、体检日期等条件检索。支持按体检编号或姓名快速定位某个体检人员。支持对参加体检人员的综述和建议逐个浏览、修改。检索出的体检人员标记总检状态、总检信息。</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33" w:name="_Toc281303946"/>
      <w:bookmarkStart w:id="234" w:name="_Toc281914494"/>
      <w:bookmarkStart w:id="235" w:name="_Toc56762108"/>
      <w:bookmarkStart w:id="236" w:name="_Toc496880977"/>
      <w:bookmarkStart w:id="237" w:name="_Toc56912773"/>
      <w:r>
        <w:rPr>
          <w:rFonts w:hint="eastAsia" w:ascii="宋体" w:hAnsi="宋体"/>
          <w:b w:val="0"/>
          <w:bCs w:val="0"/>
          <w:color w:val="auto"/>
        </w:rPr>
        <w:t>体检集中管理</w:t>
      </w:r>
      <w:bookmarkEnd w:id="233"/>
      <w:bookmarkEnd w:id="234"/>
      <w:bookmarkEnd w:id="235"/>
      <w:bookmarkEnd w:id="236"/>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支持在同一窗体中完成体检基本信息录入，体检结果录入和总检。</w:t>
      </w:r>
      <w:r>
        <w:rPr>
          <w:rFonts w:hint="eastAsia"/>
          <w:color w:val="auto"/>
          <w:szCs w:val="24"/>
          <w:lang w:bidi="ar"/>
        </w:rPr>
        <w:t xml:space="preserve"> </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38" w:name="_Toc281303947"/>
      <w:bookmarkStart w:id="239" w:name="_Toc281914495"/>
      <w:bookmarkStart w:id="240" w:name="_Toc56762109"/>
      <w:bookmarkStart w:id="241" w:name="_Toc496880978"/>
      <w:r>
        <w:rPr>
          <w:rFonts w:hint="eastAsia" w:ascii="宋体" w:hAnsi="宋体"/>
          <w:b w:val="0"/>
          <w:bCs w:val="0"/>
          <w:color w:val="auto"/>
        </w:rPr>
        <w:t>体检</w:t>
      </w:r>
      <w:bookmarkEnd w:id="238"/>
      <w:bookmarkEnd w:id="239"/>
      <w:r>
        <w:rPr>
          <w:rFonts w:hint="eastAsia" w:ascii="宋体" w:hAnsi="宋体"/>
          <w:b w:val="0"/>
          <w:bCs w:val="0"/>
          <w:color w:val="auto"/>
        </w:rPr>
        <w:t>报告</w:t>
      </w:r>
      <w:bookmarkEnd w:id="240"/>
      <w:bookmarkEnd w:id="241"/>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打印体检报告，支持根据单位名称、体检日期、姓名、性别、状态条件，查询出所需的数据</w:t>
      </w:r>
      <w:r>
        <w:rPr>
          <w:rFonts w:hint="eastAsia"/>
          <w:color w:val="auto"/>
          <w:szCs w:val="24"/>
          <w:lang w:bidi="ar"/>
        </w:rPr>
        <w:t>。</w:t>
      </w:r>
    </w:p>
    <w:bookmarkEnd w:id="237"/>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42" w:name="_Toc281303948"/>
      <w:bookmarkStart w:id="243" w:name="_Toc56762110"/>
      <w:bookmarkStart w:id="244" w:name="_Toc281914496"/>
      <w:bookmarkStart w:id="245" w:name="_Toc496880979"/>
      <w:bookmarkStart w:id="246" w:name="_Toc56912774"/>
      <w:r>
        <w:rPr>
          <w:rFonts w:hint="eastAsia" w:ascii="宋体" w:hAnsi="宋体"/>
          <w:b w:val="0"/>
          <w:bCs w:val="0"/>
          <w:color w:val="auto"/>
        </w:rPr>
        <w:t>数据接收</w:t>
      </w:r>
      <w:bookmarkEnd w:id="242"/>
      <w:bookmarkEnd w:id="243"/>
      <w:bookmarkEnd w:id="244"/>
      <w:bookmarkEnd w:id="245"/>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针对体检中的检验项目，通过数据接收进行结果自动录入。</w:t>
      </w:r>
    </w:p>
    <w:bookmarkEnd w:id="246"/>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247" w:name="_Toc496880982"/>
      <w:bookmarkStart w:id="248" w:name="_Toc56762111"/>
      <w:r>
        <w:rPr>
          <w:rFonts w:hint="eastAsia" w:ascii="宋体" w:hAnsi="宋体" w:eastAsia="宋体"/>
          <w:color w:val="auto"/>
        </w:rPr>
        <w:t>f综合报表</w:t>
      </w:r>
      <w:bookmarkEnd w:id="247"/>
      <w:bookmarkEnd w:id="248"/>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49" w:name="_Toc496880985"/>
      <w:bookmarkStart w:id="250" w:name="_Toc56762112"/>
      <w:r>
        <w:rPr>
          <w:rFonts w:hint="eastAsia" w:ascii="宋体" w:hAnsi="宋体"/>
          <w:b w:val="0"/>
          <w:bCs w:val="0"/>
          <w:color w:val="auto"/>
        </w:rPr>
        <w:t>疾病人员统计</w:t>
      </w:r>
      <w:bookmarkEnd w:id="249"/>
      <w:bookmarkEnd w:id="250"/>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统计检查出有疾病的体检人员及信息。</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51" w:name="_Toc56762113"/>
      <w:bookmarkStart w:id="252" w:name="_Toc496880986"/>
      <w:r>
        <w:rPr>
          <w:rFonts w:hint="eastAsia" w:ascii="宋体" w:hAnsi="宋体"/>
          <w:b w:val="0"/>
          <w:bCs w:val="0"/>
          <w:color w:val="auto"/>
        </w:rPr>
        <w:t>年龄段搜索报表</w:t>
      </w:r>
      <w:bookmarkEnd w:id="251"/>
      <w:bookmarkEnd w:id="252"/>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统计不同年龄段的体检人员。</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53" w:name="_Toc56762114"/>
      <w:bookmarkStart w:id="254" w:name="_Toc496880987"/>
      <w:r>
        <w:rPr>
          <w:rFonts w:hint="eastAsia" w:ascii="宋体" w:hAnsi="宋体"/>
          <w:b w:val="0"/>
          <w:bCs w:val="0"/>
          <w:color w:val="auto"/>
        </w:rPr>
        <w:t>医生工作量统计</w:t>
      </w:r>
      <w:bookmarkEnd w:id="253"/>
      <w:bookmarkEnd w:id="254"/>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对各个医生的体检工作量进行统计。</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55" w:name="_Toc56762115"/>
      <w:bookmarkStart w:id="256" w:name="_Toc496880988"/>
      <w:r>
        <w:rPr>
          <w:rFonts w:hint="eastAsia" w:ascii="宋体" w:hAnsi="宋体"/>
          <w:b w:val="0"/>
          <w:bCs w:val="0"/>
          <w:color w:val="auto"/>
        </w:rPr>
        <w:t>单位管理监控</w:t>
      </w:r>
      <w:bookmarkEnd w:id="255"/>
      <w:bookmarkEnd w:id="256"/>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对单位下体检人员科室小结情况（未检科室、已检科室）进行统计。</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57" w:name="_Toc56762116"/>
      <w:bookmarkStart w:id="258" w:name="_Toc496880990"/>
      <w:r>
        <w:rPr>
          <w:rFonts w:hint="eastAsia" w:ascii="宋体" w:hAnsi="宋体"/>
          <w:b w:val="0"/>
          <w:bCs w:val="0"/>
          <w:color w:val="auto"/>
        </w:rPr>
        <w:t>总检医生工作量</w:t>
      </w:r>
      <w:bookmarkEnd w:id="257"/>
      <w:bookmarkEnd w:id="258"/>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对医院医生总检工作量情况进行统计。</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59" w:name="_Toc56762117"/>
      <w:bookmarkStart w:id="260" w:name="_Toc496880991"/>
      <w:r>
        <w:rPr>
          <w:rFonts w:hint="eastAsia" w:ascii="宋体" w:hAnsi="宋体"/>
          <w:b w:val="0"/>
          <w:bCs w:val="0"/>
          <w:color w:val="auto"/>
        </w:rPr>
        <w:t>单位体检综述</w:t>
      </w:r>
      <w:bookmarkEnd w:id="259"/>
      <w:bookmarkEnd w:id="260"/>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对体检人员综述信息进行统计。</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61" w:name="_Toc496880992"/>
      <w:bookmarkStart w:id="262" w:name="_Toc56762118"/>
      <w:r>
        <w:rPr>
          <w:rFonts w:hint="eastAsia" w:ascii="宋体" w:hAnsi="宋体"/>
          <w:b w:val="0"/>
          <w:bCs w:val="0"/>
          <w:color w:val="auto"/>
        </w:rPr>
        <w:t>科室项目统计</w:t>
      </w:r>
      <w:bookmarkEnd w:id="261"/>
      <w:bookmarkEnd w:id="262"/>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对体检人员体检信息进行统计。</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263" w:name="_Toc56762122"/>
      <w:r>
        <w:rPr>
          <w:rFonts w:hint="eastAsia" w:ascii="宋体" w:hAnsi="宋体" w:eastAsia="宋体"/>
          <w:color w:val="auto"/>
        </w:rPr>
        <w:t>g系统接口</w:t>
      </w:r>
      <w:bookmarkEnd w:id="263"/>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64" w:name="_Toc56762123"/>
      <w:r>
        <w:rPr>
          <w:rFonts w:hint="eastAsia" w:ascii="宋体" w:hAnsi="宋体"/>
          <w:b w:val="0"/>
          <w:bCs w:val="0"/>
          <w:color w:val="auto"/>
        </w:rPr>
        <w:t>LIS接口</w:t>
      </w:r>
      <w:bookmarkEnd w:id="264"/>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与LIS、仪器对接，支持从LIS接收、仪器直接接收和手工录入。</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65" w:name="_Toc56762124"/>
      <w:r>
        <w:rPr>
          <w:rFonts w:hint="eastAsia" w:ascii="宋体" w:hAnsi="宋体"/>
          <w:b w:val="0"/>
          <w:bCs w:val="0"/>
          <w:color w:val="auto"/>
        </w:rPr>
        <w:t>PACS接口</w:t>
      </w:r>
      <w:bookmarkEnd w:id="265"/>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与PACS对接。</w:t>
      </w:r>
    </w:p>
    <w:p>
      <w:pPr>
        <w:pStyle w:val="7"/>
        <w:pageBreakBefore w:val="0"/>
        <w:widowControl w:val="0"/>
        <w:kinsoku/>
        <w:wordWrap/>
        <w:overflowPunct/>
        <w:topLinePunct w:val="0"/>
        <w:autoSpaceDE/>
        <w:autoSpaceDN/>
        <w:bidi w:val="0"/>
        <w:snapToGrid/>
        <w:spacing w:before="0" w:after="0" w:line="440" w:lineRule="exact"/>
        <w:ind w:left="992" w:hanging="992"/>
        <w:textAlignment w:val="auto"/>
        <w:rPr>
          <w:rFonts w:ascii="宋体" w:hAnsi="宋体" w:eastAsia="宋体"/>
          <w:color w:val="auto"/>
        </w:rPr>
      </w:pPr>
      <w:bookmarkStart w:id="266" w:name="_Toc56762125"/>
      <w:r>
        <w:rPr>
          <w:rFonts w:hint="eastAsia" w:ascii="宋体" w:hAnsi="宋体" w:eastAsia="宋体"/>
          <w:color w:val="auto"/>
        </w:rPr>
        <w:t>h系统管理</w:t>
      </w:r>
      <w:bookmarkEnd w:id="266"/>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67" w:name="_Toc496880994"/>
      <w:bookmarkStart w:id="268" w:name="_Toc56762126"/>
      <w:r>
        <w:rPr>
          <w:rFonts w:hint="eastAsia" w:ascii="宋体" w:hAnsi="宋体"/>
          <w:b w:val="0"/>
          <w:bCs w:val="0"/>
          <w:color w:val="auto"/>
        </w:rPr>
        <w:t>体检来源维护</w:t>
      </w:r>
      <w:bookmarkEnd w:id="267"/>
      <w:bookmarkEnd w:id="268"/>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维护体检人员来源。</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69" w:name="_Toc496880995"/>
      <w:bookmarkStart w:id="270" w:name="_Toc56762127"/>
      <w:r>
        <w:rPr>
          <w:rFonts w:hint="eastAsia" w:ascii="宋体" w:hAnsi="宋体"/>
          <w:b w:val="0"/>
          <w:bCs w:val="0"/>
          <w:color w:val="auto"/>
        </w:rPr>
        <w:t>全项目正常结果维护</w:t>
      </w:r>
      <w:bookmarkEnd w:id="269"/>
      <w:bookmarkEnd w:id="270"/>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维护体检全项目正常结果。</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71" w:name="_Toc56762128"/>
      <w:bookmarkStart w:id="272" w:name="_Toc496880996"/>
      <w:r>
        <w:rPr>
          <w:rFonts w:hint="eastAsia" w:ascii="宋体" w:hAnsi="宋体"/>
          <w:b w:val="0"/>
          <w:bCs w:val="0"/>
          <w:color w:val="auto"/>
        </w:rPr>
        <w:t>条码指引单</w:t>
      </w:r>
      <w:bookmarkEnd w:id="271"/>
      <w:bookmarkEnd w:id="272"/>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维护体检项目指引单和条码。</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73" w:name="_Toc56762129"/>
      <w:bookmarkStart w:id="274" w:name="_Toc496880997"/>
      <w:r>
        <w:rPr>
          <w:rFonts w:hint="eastAsia" w:ascii="宋体" w:hAnsi="宋体"/>
          <w:b w:val="0"/>
          <w:bCs w:val="0"/>
          <w:color w:val="auto"/>
        </w:rPr>
        <w:t>系统参数维护</w:t>
      </w:r>
      <w:bookmarkEnd w:id="273"/>
      <w:bookmarkEnd w:id="274"/>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维护系统中将用到的参数，参数维护后将直接添加在程序中。</w:t>
      </w:r>
    </w:p>
    <w:p>
      <w:pPr>
        <w:pStyle w:val="8"/>
        <w:pageBreakBefore w:val="0"/>
        <w:widowControl w:val="0"/>
        <w:kinsoku/>
        <w:wordWrap/>
        <w:overflowPunct/>
        <w:topLinePunct w:val="0"/>
        <w:autoSpaceDE/>
        <w:autoSpaceDN/>
        <w:bidi w:val="0"/>
        <w:snapToGrid/>
        <w:spacing w:before="0" w:after="0" w:line="440" w:lineRule="exact"/>
        <w:ind w:left="1134" w:hanging="1134"/>
        <w:textAlignment w:val="auto"/>
        <w:rPr>
          <w:rFonts w:ascii="宋体" w:hAnsi="宋体"/>
          <w:b w:val="0"/>
          <w:bCs w:val="0"/>
          <w:color w:val="auto"/>
        </w:rPr>
      </w:pPr>
      <w:bookmarkStart w:id="275" w:name="_Toc56762130"/>
      <w:r>
        <w:rPr>
          <w:rFonts w:hint="eastAsia" w:ascii="宋体" w:hAnsi="宋体"/>
          <w:b w:val="0"/>
          <w:bCs w:val="0"/>
          <w:color w:val="auto"/>
        </w:rPr>
        <w:t>LIS项目对照</w:t>
      </w:r>
      <w:bookmarkEnd w:id="275"/>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lang w:bidi="ar"/>
        </w:rPr>
        <w:t>维护系统中将用到的检验项目与检验系统中检验条码打印、检验结果接收对照。</w:t>
      </w:r>
    </w:p>
    <w:bookmarkEnd w:id="160"/>
    <w:p>
      <w:pPr>
        <w:pStyle w:val="4"/>
        <w:pageBreakBefore w:val="0"/>
        <w:widowControl w:val="0"/>
        <w:kinsoku/>
        <w:wordWrap/>
        <w:overflowPunct/>
        <w:topLinePunct w:val="0"/>
        <w:autoSpaceDE/>
        <w:autoSpaceDN/>
        <w:bidi w:val="0"/>
        <w:snapToGrid/>
        <w:spacing w:before="0" w:after="0" w:line="440" w:lineRule="exact"/>
        <w:ind w:left="567" w:hanging="567"/>
        <w:textAlignment w:val="auto"/>
        <w:rPr>
          <w:rFonts w:ascii="宋体" w:hAnsi="宋体"/>
          <w:color w:val="auto"/>
          <w:sz w:val="24"/>
          <w:szCs w:val="24"/>
        </w:rPr>
      </w:pPr>
      <w:bookmarkStart w:id="276" w:name="_Toc3408904"/>
      <w:r>
        <w:rPr>
          <w:rFonts w:hint="eastAsia" w:ascii="宋体" w:hAnsi="宋体"/>
          <w:color w:val="auto"/>
          <w:sz w:val="24"/>
          <w:szCs w:val="24"/>
        </w:rPr>
        <w:t>4.2、</w:t>
      </w:r>
      <w:r>
        <w:rPr>
          <w:rFonts w:hint="eastAsia" w:ascii="宋体" w:hAnsi="宋体"/>
          <w:color w:val="auto"/>
          <w:sz w:val="24"/>
          <w:szCs w:val="24"/>
          <w:lang w:eastAsia="zh-CN"/>
        </w:rPr>
        <w:t>医防</w:t>
      </w:r>
      <w:r>
        <w:rPr>
          <w:rFonts w:hint="eastAsia" w:ascii="宋体" w:hAnsi="宋体"/>
          <w:color w:val="auto"/>
          <w:sz w:val="24"/>
          <w:szCs w:val="24"/>
        </w:rPr>
        <w:t>融合系统</w:t>
      </w:r>
      <w:bookmarkEnd w:id="276"/>
    </w:p>
    <w:p>
      <w:pPr>
        <w:pStyle w:val="5"/>
        <w:pageBreakBefore w:val="0"/>
        <w:widowControl w:val="0"/>
        <w:kinsoku/>
        <w:wordWrap/>
        <w:overflowPunct/>
        <w:topLinePunct w:val="0"/>
        <w:autoSpaceDE/>
        <w:autoSpaceDN/>
        <w:bidi w:val="0"/>
        <w:snapToGrid/>
        <w:spacing w:before="0" w:after="0" w:line="440" w:lineRule="exact"/>
        <w:ind w:left="709" w:hanging="709"/>
        <w:textAlignment w:val="auto"/>
        <w:rPr>
          <w:rFonts w:ascii="宋体" w:hAnsi="宋体" w:eastAsia="宋体"/>
          <w:color w:val="auto"/>
          <w:sz w:val="24"/>
          <w:szCs w:val="24"/>
        </w:rPr>
      </w:pPr>
      <w:bookmarkStart w:id="277" w:name="_Toc1458874706"/>
      <w:r>
        <w:rPr>
          <w:rFonts w:hint="eastAsia" w:ascii="宋体" w:hAnsi="宋体" w:eastAsia="宋体"/>
          <w:color w:val="auto"/>
          <w:sz w:val="24"/>
          <w:szCs w:val="24"/>
        </w:rPr>
        <w:t>4.2.1、个人健康档案</w:t>
      </w:r>
      <w:bookmarkEnd w:id="277"/>
    </w:p>
    <w:p>
      <w:pPr>
        <w:pStyle w:val="389"/>
        <w:pageBreakBefore w:val="0"/>
        <w:widowControl w:val="0"/>
        <w:kinsoku/>
        <w:wordWrap/>
        <w:overflowPunct/>
        <w:topLinePunct w:val="0"/>
        <w:autoSpaceDE/>
        <w:autoSpaceDN/>
        <w:bidi w:val="0"/>
        <w:snapToGrid/>
        <w:spacing w:line="440" w:lineRule="exact"/>
        <w:textAlignment w:val="auto"/>
        <w:rPr>
          <w:color w:val="auto"/>
          <w:szCs w:val="24"/>
        </w:rPr>
      </w:pPr>
      <w:bookmarkStart w:id="278" w:name="_Toc11278450"/>
      <w:r>
        <w:rPr>
          <w:rFonts w:hint="eastAsia"/>
          <w:color w:val="auto"/>
          <w:szCs w:val="24"/>
        </w:rPr>
        <w:t>门诊医生站基于从公卫系统同步的已有数据信息展示居民画像标签，包含健康档案、签约情况、慢病管理级别与随访周期情况、是否孕产妇、是否儿童建档等信息。</w:t>
      </w:r>
    </w:p>
    <w:p>
      <w:pPr>
        <w:pStyle w:val="5"/>
        <w:pageBreakBefore w:val="0"/>
        <w:widowControl w:val="0"/>
        <w:kinsoku/>
        <w:wordWrap/>
        <w:overflowPunct/>
        <w:topLinePunct w:val="0"/>
        <w:autoSpaceDE/>
        <w:autoSpaceDN/>
        <w:bidi w:val="0"/>
        <w:snapToGrid/>
        <w:spacing w:before="0" w:after="0" w:line="440" w:lineRule="exact"/>
        <w:ind w:left="709" w:hanging="709"/>
        <w:textAlignment w:val="auto"/>
        <w:rPr>
          <w:rFonts w:ascii="宋体" w:hAnsi="宋体" w:eastAsia="宋体"/>
          <w:color w:val="auto"/>
          <w:sz w:val="24"/>
          <w:szCs w:val="24"/>
        </w:rPr>
      </w:pPr>
      <w:r>
        <w:rPr>
          <w:rFonts w:hint="eastAsia" w:ascii="宋体" w:hAnsi="宋体" w:eastAsia="宋体"/>
          <w:color w:val="auto"/>
          <w:sz w:val="24"/>
          <w:szCs w:val="24"/>
        </w:rPr>
        <w:t>4.2.2、健康体检</w:t>
      </w:r>
      <w:bookmarkEnd w:id="278"/>
      <w:r>
        <w:rPr>
          <w:rFonts w:hint="eastAsia" w:ascii="宋体" w:hAnsi="宋体" w:eastAsia="宋体"/>
          <w:color w:val="auto"/>
          <w:sz w:val="24"/>
          <w:szCs w:val="24"/>
        </w:rPr>
        <w:t>管理</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在居民看诊过程中逐渐完善健康体检表单内容，完善与体检系统、检验检查系统、公卫系统、医防融合系统管理信息的信息交互共享对接工作，结合体检报告信息归并整合。</w:t>
      </w:r>
    </w:p>
    <w:p>
      <w:pPr>
        <w:pStyle w:val="5"/>
        <w:pageBreakBefore w:val="0"/>
        <w:widowControl w:val="0"/>
        <w:kinsoku/>
        <w:wordWrap/>
        <w:overflowPunct/>
        <w:topLinePunct w:val="0"/>
        <w:autoSpaceDE/>
        <w:autoSpaceDN/>
        <w:bidi w:val="0"/>
        <w:snapToGrid/>
        <w:spacing w:before="0" w:after="0" w:line="440" w:lineRule="exact"/>
        <w:ind w:left="709" w:hanging="709"/>
        <w:textAlignment w:val="auto"/>
        <w:rPr>
          <w:rFonts w:ascii="宋体" w:hAnsi="宋体" w:eastAsia="宋体"/>
          <w:color w:val="auto"/>
          <w:sz w:val="24"/>
          <w:szCs w:val="24"/>
        </w:rPr>
      </w:pPr>
      <w:bookmarkStart w:id="279" w:name="_Toc811250442"/>
      <w:bookmarkStart w:id="280" w:name="_Hlk150172947"/>
      <w:r>
        <w:rPr>
          <w:rFonts w:hint="eastAsia" w:ascii="宋体" w:hAnsi="宋体" w:eastAsia="宋体"/>
          <w:color w:val="auto"/>
          <w:sz w:val="24"/>
          <w:szCs w:val="24"/>
        </w:rPr>
        <w:t>4.2.3、</w:t>
      </w:r>
      <w:r>
        <w:rPr>
          <w:rFonts w:hint="eastAsia" w:ascii="宋体" w:hAnsi="宋体" w:eastAsia="宋体" w:cs="Times New Roman"/>
          <w:color w:val="auto"/>
          <w:sz w:val="24"/>
          <w:szCs w:val="24"/>
        </w:rPr>
        <w:t>高血压、糖尿病</w:t>
      </w:r>
      <w:bookmarkEnd w:id="279"/>
      <w:r>
        <w:rPr>
          <w:rFonts w:hint="eastAsia" w:ascii="宋体" w:hAnsi="宋体" w:eastAsia="宋体" w:cs="Times New Roman"/>
          <w:color w:val="auto"/>
          <w:sz w:val="24"/>
          <w:szCs w:val="24"/>
        </w:rPr>
        <w:t>医防融合（需提供演示）</w:t>
      </w:r>
    </w:p>
    <w:bookmarkEnd w:id="280"/>
    <w:p>
      <w:pPr>
        <w:pStyle w:val="389"/>
        <w:pageBreakBefore w:val="0"/>
        <w:widowControl w:val="0"/>
        <w:kinsoku/>
        <w:wordWrap/>
        <w:overflowPunct/>
        <w:topLinePunct w:val="0"/>
        <w:autoSpaceDE/>
        <w:autoSpaceDN/>
        <w:bidi w:val="0"/>
        <w:snapToGrid/>
        <w:spacing w:line="440" w:lineRule="exact"/>
        <w:textAlignment w:val="auto"/>
        <w:rPr>
          <w:color w:val="auto"/>
          <w:szCs w:val="24"/>
        </w:rPr>
      </w:pPr>
      <w:bookmarkStart w:id="281" w:name="_Hlk150256542"/>
      <w:r>
        <w:rPr>
          <w:rFonts w:hint="eastAsia"/>
          <w:color w:val="auto"/>
          <w:szCs w:val="24"/>
        </w:rPr>
        <w:t>实现HIS、公卫、医防融合系统三端融合，将慢病医防融合功能归并入HIS系统，医生、护士以及管理决策人员也可使用。</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融合慢病助手插件，无需医护人员重新开启唤醒插件，统一通过浏览器访问系统</w:t>
      </w:r>
    </w:p>
    <w:bookmarkEnd w:id="281"/>
    <w:p>
      <w:pPr>
        <w:pStyle w:val="5"/>
        <w:pageBreakBefore w:val="0"/>
        <w:widowControl w:val="0"/>
        <w:kinsoku/>
        <w:wordWrap/>
        <w:overflowPunct/>
        <w:topLinePunct w:val="0"/>
        <w:autoSpaceDE/>
        <w:autoSpaceDN/>
        <w:bidi w:val="0"/>
        <w:snapToGrid/>
        <w:spacing w:before="0" w:after="0" w:line="440" w:lineRule="exact"/>
        <w:ind w:left="709" w:hanging="709"/>
        <w:textAlignment w:val="auto"/>
        <w:rPr>
          <w:rFonts w:ascii="宋体" w:hAnsi="宋体" w:eastAsia="宋体"/>
          <w:color w:val="auto"/>
          <w:sz w:val="24"/>
          <w:szCs w:val="24"/>
        </w:rPr>
      </w:pPr>
      <w:bookmarkStart w:id="282" w:name="_Toc1815222411"/>
      <w:r>
        <w:rPr>
          <w:rFonts w:hint="eastAsia" w:ascii="宋体" w:hAnsi="宋体" w:eastAsia="宋体"/>
          <w:color w:val="auto"/>
          <w:sz w:val="24"/>
          <w:szCs w:val="24"/>
        </w:rPr>
        <w:t>4.2.4、孕产妇健康档案管理</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针对妇科就诊的居民，通过关联孕产妇档案判断居民是否在孕期内。若在孕期内支持根据时间在门诊医生站、住院医生站接诊过程中进行随访提示并进行相应随访，支持获取上次随访业务数据，支持同步体重、收缩压、舒张压等基础生命体征，支持诊后提醒并导入血红蛋白、尿蛋白等检验结果报告内容。若未建档但本次诊断为妊娠，支持在区域his系统中完成建档同时将建档信息同步至社服系统，并带入个人基本信息及部分基础生命体征信息。</w:t>
      </w:r>
    </w:p>
    <w:p>
      <w:pPr>
        <w:pStyle w:val="5"/>
        <w:pageBreakBefore w:val="0"/>
        <w:widowControl w:val="0"/>
        <w:kinsoku/>
        <w:wordWrap/>
        <w:overflowPunct/>
        <w:topLinePunct w:val="0"/>
        <w:autoSpaceDE/>
        <w:autoSpaceDN/>
        <w:bidi w:val="0"/>
        <w:snapToGrid/>
        <w:spacing w:before="0" w:after="0" w:line="440" w:lineRule="exact"/>
        <w:ind w:left="709" w:hanging="709"/>
        <w:textAlignment w:val="auto"/>
        <w:rPr>
          <w:rFonts w:ascii="宋体" w:hAnsi="宋体" w:eastAsia="宋体"/>
          <w:color w:val="auto"/>
          <w:sz w:val="24"/>
          <w:szCs w:val="24"/>
        </w:rPr>
      </w:pPr>
      <w:r>
        <w:rPr>
          <w:rFonts w:hint="eastAsia" w:ascii="宋体" w:hAnsi="宋体" w:eastAsia="宋体"/>
          <w:color w:val="auto"/>
          <w:sz w:val="24"/>
          <w:szCs w:val="24"/>
        </w:rPr>
        <w:t>4.2.5、儿童健康档案管理</w:t>
      </w:r>
      <w:bookmarkEnd w:id="282"/>
    </w:p>
    <w:p>
      <w:pPr>
        <w:pStyle w:val="389"/>
        <w:pageBreakBefore w:val="0"/>
        <w:widowControl w:val="0"/>
        <w:kinsoku/>
        <w:wordWrap/>
        <w:overflowPunct/>
        <w:topLinePunct w:val="0"/>
        <w:autoSpaceDE/>
        <w:autoSpaceDN/>
        <w:bidi w:val="0"/>
        <w:snapToGrid/>
        <w:spacing w:line="440" w:lineRule="exact"/>
        <w:textAlignment w:val="auto"/>
        <w:rPr>
          <w:color w:val="auto"/>
          <w:szCs w:val="24"/>
        </w:rPr>
      </w:pPr>
      <w:bookmarkStart w:id="283" w:name="_Toc1570243786"/>
      <w:r>
        <w:rPr>
          <w:rFonts w:hint="eastAsia"/>
          <w:color w:val="auto"/>
          <w:szCs w:val="24"/>
        </w:rPr>
        <w:t>针对儿科就诊的0-3岁儿童，通过关联儿童档案判断居民是否纳入基本公共卫生管理。若在管且处于需体检阶段，支持在挂号阶段、门诊医生站、住院医生站接诊过程中进行儿童询问、儿童体检的相关提示，建立儿童询问诊前管理模块，同时诊中支持同步体重、收缩压、舒张压等基础生命体征。若未建档，支持将档案信息同步至社服系统，并带入个人基本信息及部分基础生命体征信息。</w:t>
      </w:r>
    </w:p>
    <w:bookmarkEnd w:id="283"/>
    <w:p>
      <w:pPr>
        <w:pStyle w:val="5"/>
        <w:pageBreakBefore w:val="0"/>
        <w:widowControl w:val="0"/>
        <w:kinsoku/>
        <w:wordWrap/>
        <w:overflowPunct/>
        <w:topLinePunct w:val="0"/>
        <w:autoSpaceDE/>
        <w:autoSpaceDN/>
        <w:bidi w:val="0"/>
        <w:snapToGrid/>
        <w:spacing w:before="0" w:after="0" w:line="440" w:lineRule="exact"/>
        <w:ind w:left="709" w:hanging="709"/>
        <w:textAlignment w:val="auto"/>
        <w:rPr>
          <w:rFonts w:ascii="宋体" w:hAnsi="宋体" w:eastAsia="宋体"/>
          <w:color w:val="auto"/>
          <w:sz w:val="24"/>
          <w:szCs w:val="24"/>
        </w:rPr>
      </w:pPr>
      <w:r>
        <w:rPr>
          <w:rFonts w:hint="eastAsia" w:ascii="宋体" w:hAnsi="宋体" w:eastAsia="宋体"/>
          <w:color w:val="auto"/>
          <w:sz w:val="24"/>
          <w:szCs w:val="24"/>
        </w:rPr>
        <w:t>4.2.6、老年人中医体质辨识</w:t>
      </w:r>
    </w:p>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在门诊医生站对管辖范围内、中医体质辨识计划内（本年度且9个月内无老年中医体质辨识数据）的就诊老年人群进行提醒，支持通过门诊医生站完成相关工作并同步至社服系统中医体质辨识评估模块。</w:t>
      </w:r>
    </w:p>
    <w:p>
      <w:pPr>
        <w:pStyle w:val="4"/>
        <w:pageBreakBefore w:val="0"/>
        <w:widowControl w:val="0"/>
        <w:kinsoku/>
        <w:wordWrap/>
        <w:overflowPunct/>
        <w:topLinePunct w:val="0"/>
        <w:autoSpaceDE/>
        <w:autoSpaceDN/>
        <w:bidi w:val="0"/>
        <w:snapToGrid/>
        <w:spacing w:before="0" w:after="0" w:line="440" w:lineRule="exact"/>
        <w:ind w:left="567" w:hanging="567"/>
        <w:textAlignment w:val="auto"/>
        <w:rPr>
          <w:rFonts w:ascii="宋体" w:hAnsi="宋体"/>
          <w:color w:val="auto"/>
          <w:sz w:val="24"/>
          <w:szCs w:val="24"/>
        </w:rPr>
      </w:pPr>
      <w:bookmarkStart w:id="284" w:name="_Toc142503463"/>
      <w:r>
        <w:rPr>
          <w:rFonts w:hint="eastAsia" w:ascii="宋体" w:hAnsi="宋体"/>
          <w:color w:val="auto"/>
          <w:sz w:val="24"/>
          <w:szCs w:val="24"/>
        </w:rPr>
        <w:t>4.3、医疗服务对接及政策性改造</w:t>
      </w:r>
      <w:bookmarkEnd w:id="284"/>
    </w:p>
    <w:p>
      <w:pPr>
        <w:pStyle w:val="5"/>
        <w:pageBreakBefore w:val="0"/>
        <w:widowControl w:val="0"/>
        <w:kinsoku/>
        <w:wordWrap/>
        <w:overflowPunct/>
        <w:topLinePunct w:val="0"/>
        <w:autoSpaceDE/>
        <w:autoSpaceDN/>
        <w:bidi w:val="0"/>
        <w:snapToGrid/>
        <w:spacing w:before="0" w:after="0" w:line="440" w:lineRule="exact"/>
        <w:ind w:left="709" w:hanging="709"/>
        <w:textAlignment w:val="auto"/>
        <w:rPr>
          <w:rFonts w:ascii="宋体" w:hAnsi="宋体" w:eastAsia="宋体"/>
          <w:color w:val="auto"/>
          <w:sz w:val="24"/>
          <w:szCs w:val="24"/>
        </w:rPr>
      </w:pPr>
      <w:r>
        <w:rPr>
          <w:rFonts w:hint="eastAsia" w:ascii="宋体" w:hAnsi="宋体" w:eastAsia="宋体"/>
          <w:color w:val="auto"/>
          <w:sz w:val="24"/>
          <w:szCs w:val="24"/>
        </w:rPr>
        <w:t>4.3.1、政策性相关接口改造</w:t>
      </w:r>
    </w:p>
    <w:bookmarkEnd w:id="137"/>
    <w:p>
      <w:pPr>
        <w:pStyle w:val="389"/>
        <w:pageBreakBefore w:val="0"/>
        <w:widowControl w:val="0"/>
        <w:kinsoku/>
        <w:wordWrap/>
        <w:overflowPunct/>
        <w:topLinePunct w:val="0"/>
        <w:autoSpaceDE/>
        <w:autoSpaceDN/>
        <w:bidi w:val="0"/>
        <w:snapToGrid/>
        <w:spacing w:line="440" w:lineRule="exact"/>
        <w:textAlignment w:val="auto"/>
        <w:rPr>
          <w:color w:val="auto"/>
          <w:szCs w:val="24"/>
        </w:rPr>
      </w:pPr>
      <w:r>
        <w:rPr>
          <w:rFonts w:hint="eastAsia"/>
          <w:color w:val="auto"/>
          <w:szCs w:val="24"/>
        </w:rPr>
        <w:t>政策性相关接口改造包含献血荣誉证“三免”、杭州市互联网诊疗服务平台对接、省智慧医保平台接口、DRGS接口、贯标应用场景改造、西湖益联保、老年人理赔数据上传接口、舒心就医接口、先看病后付费改造、医养护平台接口、数据集归集接口、云药房改造等改造。</w:t>
      </w:r>
    </w:p>
    <w:p>
      <w:pPr>
        <w:pStyle w:val="5"/>
        <w:pageBreakBefore w:val="0"/>
        <w:widowControl w:val="0"/>
        <w:kinsoku/>
        <w:wordWrap/>
        <w:overflowPunct/>
        <w:topLinePunct w:val="0"/>
        <w:autoSpaceDE/>
        <w:autoSpaceDN/>
        <w:bidi w:val="0"/>
        <w:snapToGrid/>
        <w:spacing w:before="0" w:after="0" w:line="440" w:lineRule="exact"/>
        <w:ind w:left="709" w:hanging="709"/>
        <w:textAlignment w:val="auto"/>
        <w:rPr>
          <w:rFonts w:ascii="宋体" w:hAnsi="宋体" w:eastAsia="宋体"/>
          <w:color w:val="auto"/>
          <w:sz w:val="24"/>
          <w:szCs w:val="24"/>
        </w:rPr>
      </w:pPr>
      <w:r>
        <w:rPr>
          <w:rFonts w:hint="eastAsia" w:ascii="宋体" w:hAnsi="宋体" w:eastAsia="宋体"/>
          <w:color w:val="auto"/>
          <w:sz w:val="24"/>
          <w:szCs w:val="24"/>
        </w:rPr>
        <w:t>4.3.2、医疗服务对接接口改造</w:t>
      </w:r>
    </w:p>
    <w:p>
      <w:pPr>
        <w:pStyle w:val="389"/>
        <w:pageBreakBefore w:val="0"/>
        <w:widowControl w:val="0"/>
        <w:kinsoku/>
        <w:wordWrap/>
        <w:overflowPunct/>
        <w:topLinePunct w:val="0"/>
        <w:autoSpaceDE/>
        <w:autoSpaceDN/>
        <w:bidi w:val="0"/>
        <w:snapToGrid/>
        <w:spacing w:line="440" w:lineRule="exact"/>
        <w:textAlignment w:val="auto"/>
        <w:rPr>
          <w:rFonts w:hint="eastAsia"/>
          <w:color w:val="auto"/>
          <w:szCs w:val="24"/>
        </w:rPr>
      </w:pPr>
      <w:r>
        <w:rPr>
          <w:rFonts w:hint="eastAsia"/>
          <w:color w:val="auto"/>
          <w:szCs w:val="24"/>
        </w:rPr>
        <w:t>医疗服务对接接口改造包含体检报告查询、医保电子凭证改造、合理用药接口、检验检查电子开单接口、自助结算一体机接口、检查检验互认共享改造、横版电子票据改造等改造。</w:t>
      </w:r>
    </w:p>
    <w:p>
      <w:pPr>
        <w:pStyle w:val="389"/>
        <w:pageBreakBefore w:val="0"/>
        <w:widowControl w:val="0"/>
        <w:kinsoku/>
        <w:wordWrap/>
        <w:overflowPunct/>
        <w:topLinePunct w:val="0"/>
        <w:autoSpaceDE/>
        <w:autoSpaceDN/>
        <w:bidi w:val="0"/>
        <w:snapToGrid/>
        <w:spacing w:line="440" w:lineRule="exact"/>
        <w:ind w:firstLine="0" w:firstLineChars="0"/>
        <w:textAlignment w:val="auto"/>
        <w:rPr>
          <w:rFonts w:hint="eastAsia"/>
          <w:color w:val="auto"/>
          <w:sz w:val="24"/>
          <w:szCs w:val="24"/>
          <w:lang w:eastAsia="zh-CN"/>
        </w:rPr>
      </w:pPr>
      <w:r>
        <w:rPr>
          <w:rFonts w:hint="eastAsia" w:ascii="宋体" w:hAnsi="宋体"/>
          <w:color w:val="auto"/>
          <w:sz w:val="24"/>
          <w:szCs w:val="24"/>
        </w:rPr>
        <w:t>4.</w:t>
      </w:r>
      <w:r>
        <w:rPr>
          <w:rFonts w:hint="eastAsia"/>
          <w:color w:val="auto"/>
          <w:sz w:val="24"/>
          <w:szCs w:val="24"/>
          <w:lang w:val="en-US" w:eastAsia="zh-CN"/>
        </w:rPr>
        <w:t>4</w:t>
      </w:r>
      <w:r>
        <w:rPr>
          <w:rFonts w:hint="eastAsia" w:ascii="宋体" w:hAnsi="宋体"/>
          <w:color w:val="auto"/>
          <w:sz w:val="24"/>
          <w:szCs w:val="24"/>
        </w:rPr>
        <w:t>、</w:t>
      </w:r>
      <w:r>
        <w:rPr>
          <w:rFonts w:hint="eastAsia"/>
          <w:color w:val="auto"/>
          <w:sz w:val="24"/>
          <w:szCs w:val="24"/>
          <w:lang w:eastAsia="zh-CN"/>
        </w:rPr>
        <w:t>其他需求</w:t>
      </w:r>
    </w:p>
    <w:p>
      <w:pPr>
        <w:pStyle w:val="389"/>
        <w:pageBreakBefore w:val="0"/>
        <w:widowControl w:val="0"/>
        <w:kinsoku/>
        <w:wordWrap/>
        <w:overflowPunct/>
        <w:topLinePunct w:val="0"/>
        <w:autoSpaceDE/>
        <w:autoSpaceDN/>
        <w:bidi w:val="0"/>
        <w:snapToGrid/>
        <w:spacing w:line="440" w:lineRule="exact"/>
        <w:ind w:firstLine="0" w:firstLineChars="0"/>
        <w:textAlignment w:val="auto"/>
        <w:rPr>
          <w:rFonts w:hint="default"/>
          <w:color w:val="auto"/>
          <w:sz w:val="24"/>
          <w:szCs w:val="24"/>
          <w:lang w:val="en-US" w:eastAsia="zh-CN"/>
        </w:rPr>
      </w:pPr>
      <w:r>
        <w:rPr>
          <w:rFonts w:hint="eastAsia"/>
          <w:color w:val="auto"/>
          <w:sz w:val="24"/>
          <w:szCs w:val="24"/>
          <w:lang w:val="en-US" w:eastAsia="zh-CN"/>
        </w:rPr>
        <w:t xml:space="preserve">    本次需求内容在验收前对前述“建设清单”所含框架内容的范围内允许进行增加或改动，直至满足甲方要求并作为甲方验收条件。</w:t>
      </w:r>
    </w:p>
    <w:p>
      <w:pPr>
        <w:pStyle w:val="389"/>
        <w:pageBreakBefore w:val="0"/>
        <w:widowControl w:val="0"/>
        <w:kinsoku/>
        <w:wordWrap/>
        <w:overflowPunct/>
        <w:topLinePunct w:val="0"/>
        <w:autoSpaceDE/>
        <w:autoSpaceDN/>
        <w:bidi w:val="0"/>
        <w:snapToGrid/>
        <w:spacing w:line="440" w:lineRule="exact"/>
        <w:ind w:firstLine="0" w:firstLineChars="0"/>
        <w:textAlignment w:val="auto"/>
        <w:rPr>
          <w:b/>
          <w:bCs/>
          <w:color w:val="auto"/>
          <w:sz w:val="28"/>
          <w:szCs w:val="28"/>
          <w:lang w:bidi="ar"/>
        </w:rPr>
      </w:pPr>
    </w:p>
    <w:p>
      <w:pPr>
        <w:pStyle w:val="389"/>
        <w:pageBreakBefore w:val="0"/>
        <w:widowControl w:val="0"/>
        <w:kinsoku/>
        <w:wordWrap/>
        <w:overflowPunct/>
        <w:topLinePunct w:val="0"/>
        <w:autoSpaceDE/>
        <w:autoSpaceDN/>
        <w:bidi w:val="0"/>
        <w:snapToGrid/>
        <w:spacing w:line="440" w:lineRule="exact"/>
        <w:ind w:firstLine="0" w:firstLineChars="0"/>
        <w:textAlignment w:val="auto"/>
        <w:rPr>
          <w:b/>
          <w:bCs/>
          <w:color w:val="auto"/>
          <w:sz w:val="28"/>
          <w:szCs w:val="28"/>
          <w:lang w:bidi="ar"/>
        </w:rPr>
      </w:pPr>
      <w:r>
        <w:rPr>
          <w:rFonts w:hint="eastAsia"/>
          <w:b/>
          <w:bCs/>
          <w:color w:val="auto"/>
          <w:sz w:val="28"/>
          <w:szCs w:val="28"/>
          <w:lang w:bidi="ar"/>
        </w:rPr>
        <w:t>2、商务要求</w:t>
      </w:r>
    </w:p>
    <w:p>
      <w:pPr>
        <w:pStyle w:val="389"/>
        <w:pageBreakBefore w:val="0"/>
        <w:widowControl w:val="0"/>
        <w:kinsoku/>
        <w:wordWrap/>
        <w:overflowPunct/>
        <w:topLinePunct w:val="0"/>
        <w:autoSpaceDE/>
        <w:autoSpaceDN/>
        <w:bidi w:val="0"/>
        <w:snapToGrid/>
        <w:spacing w:line="440" w:lineRule="exact"/>
        <w:ind w:firstLine="0" w:firstLineChars="0"/>
        <w:textAlignment w:val="auto"/>
        <w:rPr>
          <w:b/>
          <w:bCs/>
          <w:color w:val="auto"/>
          <w:lang w:bidi="ar"/>
        </w:rPr>
      </w:pPr>
      <w:r>
        <w:rPr>
          <w:rFonts w:hint="eastAsia"/>
          <w:b/>
          <w:bCs/>
          <w:color w:val="auto"/>
          <w:lang w:bidi="ar"/>
        </w:rPr>
        <w:t>2.1实施要求</w:t>
      </w:r>
    </w:p>
    <w:p>
      <w:pPr>
        <w:pStyle w:val="389"/>
        <w:pageBreakBefore w:val="0"/>
        <w:widowControl w:val="0"/>
        <w:kinsoku/>
        <w:wordWrap/>
        <w:overflowPunct/>
        <w:topLinePunct w:val="0"/>
        <w:autoSpaceDE/>
        <w:autoSpaceDN/>
        <w:bidi w:val="0"/>
        <w:snapToGrid/>
        <w:spacing w:line="440" w:lineRule="exact"/>
        <w:ind w:firstLine="482"/>
        <w:textAlignment w:val="auto"/>
        <w:rPr>
          <w:b/>
          <w:bCs/>
          <w:color w:val="auto"/>
        </w:rPr>
      </w:pPr>
      <w:r>
        <w:rPr>
          <w:rFonts w:hint="eastAsia" w:cs="宋体"/>
          <w:b/>
          <w:bCs/>
          <w:color w:val="auto"/>
        </w:rPr>
        <w:t>▲</w:t>
      </w:r>
      <w:r>
        <w:rPr>
          <w:rFonts w:hint="eastAsia"/>
          <w:b/>
          <w:bCs/>
          <w:color w:val="auto"/>
        </w:rPr>
        <w:t>（1）投标方应在合同签订后</w:t>
      </w:r>
      <w:r>
        <w:rPr>
          <w:rFonts w:hint="eastAsia"/>
          <w:b/>
          <w:bCs/>
          <w:color w:val="auto"/>
          <w:lang w:val="en-US" w:eastAsia="zh-CN"/>
        </w:rPr>
        <w:t>8</w:t>
      </w:r>
      <w:r>
        <w:rPr>
          <w:rFonts w:hint="eastAsia"/>
          <w:b/>
          <w:bCs/>
          <w:color w:val="auto"/>
        </w:rPr>
        <w:t>个月内完成项目建设，其中试点社区（萧山区瓜沥镇社区卫生服务中心、萧山区新塘街道卫生服务中心）建设</w:t>
      </w:r>
      <w:r>
        <w:rPr>
          <w:rFonts w:hint="eastAsia"/>
          <w:b/>
          <w:bCs/>
          <w:color w:val="auto"/>
          <w:lang w:val="en-US" w:eastAsia="zh-CN"/>
        </w:rPr>
        <w:t>4</w:t>
      </w:r>
      <w:r>
        <w:rPr>
          <w:rFonts w:hint="eastAsia"/>
          <w:b/>
          <w:bCs/>
          <w:color w:val="auto"/>
        </w:rPr>
        <w:t>个月，系统稳定后，每月实施3-4家。</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（2）投标人需提供项目详尽的实施方案和进度表。投标人应在系统实施方</w:t>
      </w:r>
      <w:r>
        <w:rPr>
          <w:rFonts w:hint="eastAsia"/>
          <w:color w:val="auto"/>
        </w:rPr>
        <w:t>案中描述具体的实施团队的组成、工作的内容、投入人员、项目进程表及采购人的配合等内容。在所有工作开展之前，公司的实施人员应制定一套完整科学可行的实施方案，作为工程实施的总体计划和步骤。实施方案内容大致包括：</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fldChar w:fldCharType="begin"/>
      </w:r>
      <w:r>
        <w:rPr>
          <w:rFonts w:hint="eastAsia"/>
          <w:color w:val="auto"/>
        </w:rPr>
        <w:instrText xml:space="preserve">= 1 \* GB3</w:instrText>
      </w:r>
      <w:r>
        <w:rPr>
          <w:rFonts w:hint="eastAsia"/>
          <w:color w:val="auto"/>
        </w:rPr>
        <w:fldChar w:fldCharType="separate"/>
      </w:r>
      <w:r>
        <w:rPr>
          <w:rFonts w:hint="eastAsia"/>
          <w:color w:val="auto"/>
        </w:rPr>
        <w:t>①</w:t>
      </w:r>
      <w:r>
        <w:rPr>
          <w:rFonts w:hint="eastAsia"/>
          <w:color w:val="auto"/>
        </w:rPr>
        <w:fldChar w:fldCharType="end"/>
      </w:r>
      <w:r>
        <w:rPr>
          <w:rFonts w:hint="eastAsia"/>
          <w:color w:val="auto"/>
        </w:rPr>
        <w:t>组织保障安排：成立领导小组，领导小组中的责任分工等。</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fldChar w:fldCharType="begin"/>
      </w:r>
      <w:r>
        <w:rPr>
          <w:rFonts w:hint="eastAsia"/>
          <w:color w:val="auto"/>
        </w:rPr>
        <w:instrText xml:space="preserve">= 2 \* GB3</w:instrText>
      </w:r>
      <w:r>
        <w:rPr>
          <w:rFonts w:hint="eastAsia"/>
          <w:color w:val="auto"/>
        </w:rPr>
        <w:fldChar w:fldCharType="separate"/>
      </w:r>
      <w:r>
        <w:rPr>
          <w:rFonts w:hint="eastAsia"/>
          <w:color w:val="auto"/>
        </w:rPr>
        <w:t>②</w:t>
      </w:r>
      <w:r>
        <w:rPr>
          <w:rFonts w:hint="eastAsia"/>
          <w:color w:val="auto"/>
        </w:rPr>
        <w:fldChar w:fldCharType="end"/>
      </w:r>
      <w:r>
        <w:rPr>
          <w:rFonts w:hint="eastAsia"/>
          <w:color w:val="auto"/>
        </w:rPr>
        <w:t>制定具体的实施流程、实施内容。</w:t>
      </w:r>
    </w:p>
    <w:p>
      <w:pPr>
        <w:pStyle w:val="389"/>
        <w:pageBreakBefore w:val="0"/>
        <w:widowControl w:val="0"/>
        <w:kinsoku/>
        <w:wordWrap/>
        <w:overflowPunct/>
        <w:topLinePunct w:val="0"/>
        <w:autoSpaceDE/>
        <w:autoSpaceDN/>
        <w:bidi w:val="0"/>
        <w:snapToGrid/>
        <w:spacing w:line="440" w:lineRule="exact"/>
        <w:ind w:firstLine="0" w:firstLineChars="0"/>
        <w:textAlignment w:val="auto"/>
        <w:rPr>
          <w:b/>
          <w:bCs/>
          <w:color w:val="auto"/>
          <w:lang w:bidi="ar"/>
        </w:rPr>
      </w:pPr>
      <w:bookmarkStart w:id="285" w:name="_Toc26360"/>
      <w:r>
        <w:rPr>
          <w:rFonts w:hint="eastAsia"/>
          <w:b/>
          <w:bCs/>
          <w:color w:val="auto"/>
          <w:lang w:bidi="ar"/>
        </w:rPr>
        <w:t>2.2培训需求</w:t>
      </w:r>
      <w:bookmarkEnd w:id="285"/>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培训是项目顺利进行的保证。在项目的不同阶段要求提供相关的培训课程，面向系统开发和管理员、各级领导、系统操作人员等不同群体提供系统化、定制化和有针对性的培训。</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(1)培训内容要求分为三类，分别为系统开发和管理培训、运行与维护管理培训和用户使用培训。通过培训应使各类用户能独立进行相应应用与管理、故障处理、日常维护等工作，确保系统能正常安全运行；</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(2)投标单位应在投标文件中提出培训计划，计划包括培训项目、地点等详细内容；</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(3)培训人员必须是投标单位的正式雇员或专业的授权培训机构雇员。如果使用第三方培训机构，投标单位应在投标文件中提供培训机构的名称，并能根据情况调整。</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(4)其中要求对系统管理员进行充分的技术培训和教育，保证管理人员掌握必要的管理工具，通晓管理规范；</w:t>
      </w:r>
    </w:p>
    <w:p>
      <w:pPr>
        <w:pStyle w:val="389"/>
        <w:pageBreakBefore w:val="0"/>
        <w:widowControl w:val="0"/>
        <w:kinsoku/>
        <w:wordWrap/>
        <w:overflowPunct/>
        <w:topLinePunct w:val="0"/>
        <w:autoSpaceDE/>
        <w:autoSpaceDN/>
        <w:bidi w:val="0"/>
        <w:snapToGrid/>
        <w:spacing w:line="440" w:lineRule="exact"/>
        <w:ind w:firstLine="0" w:firstLineChars="0"/>
        <w:textAlignment w:val="auto"/>
        <w:rPr>
          <w:b/>
          <w:bCs/>
          <w:color w:val="auto"/>
          <w:lang w:bidi="ar"/>
        </w:rPr>
      </w:pPr>
      <w:r>
        <w:rPr>
          <w:rFonts w:hint="eastAsia"/>
          <w:b/>
          <w:bCs/>
          <w:color w:val="auto"/>
          <w:lang w:bidi="ar"/>
        </w:rPr>
        <w:t>2.3验收要求</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项目验收需根据招标文件以及合同的需求，由采购方召集专家组织项目验收。验收时需提供相应的文档。</w:t>
      </w:r>
    </w:p>
    <w:p>
      <w:pPr>
        <w:pStyle w:val="389"/>
        <w:pageBreakBefore w:val="0"/>
        <w:widowControl w:val="0"/>
        <w:kinsoku/>
        <w:wordWrap/>
        <w:overflowPunct/>
        <w:topLinePunct w:val="0"/>
        <w:autoSpaceDE/>
        <w:autoSpaceDN/>
        <w:bidi w:val="0"/>
        <w:snapToGrid/>
        <w:spacing w:line="440" w:lineRule="exact"/>
        <w:ind w:firstLine="0" w:firstLineChars="0"/>
        <w:textAlignment w:val="auto"/>
        <w:rPr>
          <w:b/>
          <w:bCs/>
          <w:color w:val="auto"/>
          <w:lang w:bidi="ar"/>
        </w:rPr>
      </w:pPr>
      <w:r>
        <w:rPr>
          <w:rFonts w:hint="eastAsia"/>
          <w:b/>
          <w:bCs/>
          <w:color w:val="auto"/>
          <w:lang w:bidi="ar"/>
        </w:rPr>
        <w:t>2.4售后服务要求</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（1）投标人应具有完善的质保期内及质保期外的售后服务方案。</w:t>
      </w:r>
    </w:p>
    <w:p>
      <w:pPr>
        <w:pStyle w:val="389"/>
        <w:pageBreakBefore w:val="0"/>
        <w:widowControl w:val="0"/>
        <w:kinsoku/>
        <w:wordWrap/>
        <w:overflowPunct/>
        <w:topLinePunct w:val="0"/>
        <w:autoSpaceDE/>
        <w:autoSpaceDN/>
        <w:bidi w:val="0"/>
        <w:snapToGrid/>
        <w:spacing w:line="440" w:lineRule="exact"/>
        <w:ind w:firstLine="482"/>
        <w:textAlignment w:val="auto"/>
        <w:rPr>
          <w:b/>
          <w:bCs/>
          <w:color w:val="auto"/>
        </w:rPr>
      </w:pPr>
      <w:r>
        <w:rPr>
          <w:rFonts w:hint="eastAsia" w:cs="宋体"/>
          <w:b/>
          <w:bCs/>
          <w:color w:val="auto"/>
        </w:rPr>
        <w:t>▲</w:t>
      </w:r>
      <w:r>
        <w:rPr>
          <w:rFonts w:hint="eastAsia"/>
          <w:b/>
          <w:bCs/>
          <w:color w:val="auto"/>
        </w:rPr>
        <w:t>（2）质保期一年，质保期内提供免费的售后服务。</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（3）所提供的技术服务至少为7×24小时支持维护服务，包括邮件、电话、远程维护、现场服务等方式。必须保证2小时之内响应、4小时内派工程师到达现场、24小时之内解决问题。</w:t>
      </w:r>
    </w:p>
    <w:p>
      <w:pPr>
        <w:pStyle w:val="389"/>
        <w:pageBreakBefore w:val="0"/>
        <w:widowControl w:val="0"/>
        <w:kinsoku/>
        <w:wordWrap/>
        <w:overflowPunct/>
        <w:topLinePunct w:val="0"/>
        <w:autoSpaceDE/>
        <w:autoSpaceDN/>
        <w:bidi w:val="0"/>
        <w:snapToGrid/>
        <w:spacing w:line="440" w:lineRule="exact"/>
        <w:ind w:firstLine="0" w:firstLineChars="0"/>
        <w:textAlignment w:val="auto"/>
        <w:rPr>
          <w:b/>
          <w:bCs/>
          <w:color w:val="auto"/>
          <w:lang w:bidi="ar"/>
        </w:rPr>
      </w:pPr>
      <w:bookmarkStart w:id="286" w:name="_Toc5146"/>
      <w:r>
        <w:rPr>
          <w:rFonts w:hint="eastAsia"/>
          <w:b/>
          <w:bCs/>
          <w:color w:val="auto"/>
          <w:lang w:bidi="ar"/>
        </w:rPr>
        <w:t>2.5质量保证</w:t>
      </w:r>
      <w:bookmarkEnd w:id="286"/>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1、投标人须保证所提供产品符合国家有关规定。投标人须保证所提供产品具有合法的版权或使用权，本项目采购的产品，如在本项目范围内使用过程中出现版权或使用权纠纷，应由中标人负责，采购人不承担责任。</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2、投标人必须保证解决项目所涉及的技术问题，如因技术原因无法满足用户需求，由此产生的风险由应标方承担。</w:t>
      </w:r>
    </w:p>
    <w:p>
      <w:pPr>
        <w:pStyle w:val="389"/>
        <w:pageBreakBefore w:val="0"/>
        <w:widowControl w:val="0"/>
        <w:kinsoku/>
        <w:wordWrap/>
        <w:overflowPunct/>
        <w:topLinePunct w:val="0"/>
        <w:autoSpaceDE/>
        <w:autoSpaceDN/>
        <w:bidi w:val="0"/>
        <w:snapToGrid/>
        <w:spacing w:line="440" w:lineRule="exact"/>
        <w:ind w:firstLine="0" w:firstLineChars="0"/>
        <w:textAlignment w:val="auto"/>
        <w:rPr>
          <w:b/>
          <w:bCs/>
          <w:color w:val="auto"/>
          <w:lang w:bidi="ar"/>
        </w:rPr>
      </w:pPr>
      <w:bookmarkStart w:id="287" w:name="_Toc15353"/>
      <w:r>
        <w:rPr>
          <w:rFonts w:hint="eastAsia"/>
          <w:b/>
          <w:bCs/>
          <w:color w:val="auto"/>
          <w:lang w:bidi="ar"/>
        </w:rPr>
        <w:t>2.6成果交付要求</w:t>
      </w:r>
    </w:p>
    <w:p>
      <w:pPr>
        <w:pStyle w:val="389"/>
        <w:pageBreakBefore w:val="0"/>
        <w:widowControl w:val="0"/>
        <w:kinsoku/>
        <w:wordWrap/>
        <w:overflowPunct/>
        <w:topLinePunct w:val="0"/>
        <w:autoSpaceDE/>
        <w:autoSpaceDN/>
        <w:bidi w:val="0"/>
        <w:snapToGrid/>
        <w:spacing w:line="440" w:lineRule="exact"/>
        <w:textAlignment w:val="auto"/>
        <w:rPr>
          <w:color w:val="auto"/>
        </w:rPr>
      </w:pPr>
      <w:r>
        <w:rPr>
          <w:rFonts w:hint="eastAsia"/>
          <w:color w:val="auto"/>
        </w:rPr>
        <w:t>在本期项目的开发过程中和交付使用后，各个阶段都会有各种成果和文档资料。这些成果和文档资料对所开发系统的维护和持续发展起着非常重大的作用。因此，要求将全面、规范的成果和文档资料交付给用户方，而且要提供明确的交付清单。同时，成果和文档资料必须符合软件工程的相关要求。</w:t>
      </w:r>
    </w:p>
    <w:bookmarkEnd w:id="287"/>
    <w:p>
      <w:pPr>
        <w:pageBreakBefore w:val="0"/>
        <w:widowControl w:val="0"/>
        <w:kinsoku/>
        <w:wordWrap/>
        <w:overflowPunct/>
        <w:topLinePunct w:val="0"/>
        <w:autoSpaceDE/>
        <w:autoSpaceDN/>
        <w:bidi w:val="0"/>
        <w:snapToGrid/>
        <w:spacing w:line="440" w:lineRule="exact"/>
        <w:textAlignment w:val="auto"/>
        <w:outlineLvl w:val="0"/>
        <w:rPr>
          <w:rFonts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4"/>
        </w:rPr>
        <w:t>2.7付款方式：</w:t>
      </w:r>
    </w:p>
    <w:p>
      <w:pPr>
        <w:pageBreakBefore w:val="0"/>
        <w:widowControl w:val="0"/>
        <w:kinsoku/>
        <w:wordWrap/>
        <w:overflowPunct/>
        <w:topLinePunct w:val="0"/>
        <w:autoSpaceDE/>
        <w:autoSpaceDN/>
        <w:bidi w:val="0"/>
        <w:snapToGrid/>
        <w:spacing w:line="440" w:lineRule="exact"/>
        <w:ind w:firstLine="480" w:firstLineChars="200"/>
        <w:textAlignment w:val="auto"/>
        <w:outlineLvl w:val="0"/>
        <w:rPr>
          <w:rFonts w:ascii="宋体" w:hAnsi="宋体" w:cs="宋体"/>
          <w:color w:val="auto"/>
          <w:sz w:val="24"/>
        </w:rPr>
      </w:pPr>
      <w:r>
        <w:rPr>
          <w:rFonts w:hint="eastAsia" w:ascii="宋体" w:hAnsi="宋体" w:cs="宋体"/>
          <w:color w:val="auto"/>
          <w:sz w:val="24"/>
        </w:rPr>
        <w:t>在项目合同签订后，15个工作日内，采购人支付合同价款的30%作为预付款；项目初验后15个工作日内，采购人支付合同价款的30%；终验合格后15个工作日内，采购人支付合同价款的40%。</w:t>
      </w:r>
    </w:p>
    <w:p>
      <w:pPr>
        <w:pageBreakBefore w:val="0"/>
        <w:widowControl w:val="0"/>
        <w:kinsoku/>
        <w:wordWrap/>
        <w:overflowPunct/>
        <w:topLinePunct w:val="0"/>
        <w:autoSpaceDE/>
        <w:autoSpaceDN/>
        <w:bidi w:val="0"/>
        <w:snapToGrid/>
        <w:spacing w:line="440" w:lineRule="exact"/>
        <w:ind w:firstLine="480" w:firstLineChars="200"/>
        <w:textAlignment w:val="auto"/>
        <w:outlineLvl w:val="0"/>
        <w:rPr>
          <w:rFonts w:ascii="宋体" w:hAnsi="宋体" w:cs="宋体"/>
          <w:color w:val="auto"/>
          <w:sz w:val="24"/>
        </w:rPr>
      </w:pPr>
      <w:r>
        <w:rPr>
          <w:rFonts w:hint="eastAsia" w:ascii="宋体" w:hAnsi="宋体" w:cs="宋体"/>
          <w:color w:val="auto"/>
          <w:sz w:val="24"/>
        </w:rPr>
        <w:t>本项目不收取履约保证金。</w:t>
      </w:r>
    </w:p>
    <w:p>
      <w:pPr>
        <w:pStyle w:val="80"/>
        <w:spacing w:line="360" w:lineRule="auto"/>
        <w:rPr>
          <w:rFonts w:ascii="宋体" w:hAnsi="宋体" w:eastAsia="宋体" w:cs="宋体"/>
          <w:color w:val="auto"/>
        </w:rPr>
      </w:pPr>
    </w:p>
    <w:p>
      <w:pPr>
        <w:spacing w:line="360" w:lineRule="auto"/>
        <w:ind w:firstLine="480" w:firstLineChars="200"/>
        <w:rPr>
          <w:rFonts w:ascii="宋体" w:hAnsi="宋体" w:cs="宋体"/>
          <w:color w:val="auto"/>
          <w:sz w:val="24"/>
        </w:rPr>
      </w:pPr>
      <w:r>
        <w:rPr>
          <w:rFonts w:hint="eastAsia" w:ascii="宋体" w:hAnsi="宋体" w:cs="宋体"/>
          <w:color w:val="auto"/>
          <w:sz w:val="24"/>
        </w:rPr>
        <w:t>1、打▲内容为实质性要求，不允许有负偏离，否则将以涉及无效投标条款作无效投标。</w:t>
      </w:r>
    </w:p>
    <w:p>
      <w:pPr>
        <w:spacing w:line="360" w:lineRule="auto"/>
        <w:ind w:firstLine="480" w:firstLineChars="200"/>
        <w:rPr>
          <w:rFonts w:ascii="宋体" w:hAnsi="宋体" w:cs="宋体"/>
          <w:b/>
          <w:color w:val="auto"/>
          <w:sz w:val="24"/>
        </w:rPr>
      </w:pPr>
      <w:r>
        <w:rPr>
          <w:rFonts w:hint="eastAsia" w:ascii="宋体" w:hAnsi="宋体" w:cs="宋体"/>
          <w:color w:val="auto"/>
          <w:sz w:val="24"/>
        </w:rPr>
        <w:t>2、中标人所提供的货物、服务须与投标承诺一致，不得以次充好、偷工减料，若在项目验收中发现有上述情况，将向有关部门举报，根据相关规定进行处理。</w:t>
      </w:r>
    </w:p>
    <w:p>
      <w:pPr>
        <w:pStyle w:val="81"/>
        <w:rPr>
          <w:color w:val="auto"/>
        </w:rPr>
      </w:pPr>
    </w:p>
    <w:p>
      <w:pPr>
        <w:spacing w:line="360" w:lineRule="auto"/>
        <w:jc w:val="center"/>
        <w:outlineLvl w:val="0"/>
        <w:rPr>
          <w:rFonts w:ascii="宋体" w:hAnsi="宋体" w:cs="宋体"/>
          <w:b/>
          <w:color w:val="auto"/>
          <w:sz w:val="24"/>
        </w:rPr>
      </w:pPr>
      <w:r>
        <w:rPr>
          <w:rFonts w:hint="eastAsia" w:ascii="宋体" w:hAnsi="宋体" w:cs="宋体"/>
          <w:b/>
          <w:color w:val="auto"/>
          <w:sz w:val="36"/>
          <w:szCs w:val="36"/>
        </w:rPr>
        <w:t xml:space="preserve">第四部分   </w:t>
      </w:r>
      <w:bookmarkStart w:id="288" w:name="_Toc184313294"/>
      <w:bookmarkEnd w:id="288"/>
      <w:bookmarkStart w:id="289" w:name="_Toc184313305"/>
      <w:bookmarkEnd w:id="289"/>
      <w:bookmarkStart w:id="290" w:name="_Toc184312102"/>
      <w:bookmarkEnd w:id="290"/>
      <w:bookmarkStart w:id="291" w:name="_Toc184314423"/>
      <w:bookmarkEnd w:id="291"/>
      <w:bookmarkStart w:id="292" w:name="_Toc184308071"/>
      <w:bookmarkEnd w:id="292"/>
      <w:bookmarkStart w:id="293" w:name="_Toc184312116"/>
      <w:bookmarkEnd w:id="293"/>
      <w:bookmarkStart w:id="294" w:name="_Toc184310299"/>
      <w:bookmarkEnd w:id="294"/>
      <w:bookmarkStart w:id="295" w:name="_Toc184314465"/>
      <w:bookmarkEnd w:id="295"/>
      <w:bookmarkStart w:id="296" w:name="_Toc184313253"/>
      <w:bookmarkEnd w:id="296"/>
      <w:bookmarkStart w:id="297" w:name="_Toc184308077"/>
      <w:bookmarkEnd w:id="297"/>
      <w:bookmarkStart w:id="298" w:name="_Toc184314451"/>
      <w:bookmarkEnd w:id="298"/>
      <w:bookmarkStart w:id="299" w:name="_Toc184310300"/>
      <w:bookmarkEnd w:id="299"/>
      <w:bookmarkStart w:id="300" w:name="_Toc184308057"/>
      <w:bookmarkEnd w:id="300"/>
      <w:bookmarkStart w:id="301" w:name="_Toc184312080"/>
      <w:bookmarkEnd w:id="301"/>
      <w:bookmarkStart w:id="302" w:name="_Toc184310298"/>
      <w:bookmarkEnd w:id="302"/>
      <w:bookmarkStart w:id="303" w:name="_Toc184310306"/>
      <w:bookmarkEnd w:id="303"/>
      <w:bookmarkStart w:id="304" w:name="_Toc184308102"/>
      <w:bookmarkEnd w:id="304"/>
      <w:bookmarkStart w:id="305" w:name="_Toc184314472"/>
      <w:bookmarkEnd w:id="305"/>
      <w:bookmarkStart w:id="306" w:name="_Toc184308093"/>
      <w:bookmarkEnd w:id="306"/>
      <w:bookmarkStart w:id="307" w:name="_Toc184312083"/>
      <w:bookmarkEnd w:id="307"/>
      <w:bookmarkStart w:id="308" w:name="_Toc184312114"/>
      <w:bookmarkEnd w:id="308"/>
      <w:bookmarkStart w:id="309" w:name="_Toc184310333"/>
      <w:bookmarkEnd w:id="309"/>
      <w:bookmarkStart w:id="310" w:name="_Toc184314426"/>
      <w:bookmarkEnd w:id="310"/>
      <w:bookmarkStart w:id="311" w:name="_Toc184312067"/>
      <w:bookmarkEnd w:id="311"/>
      <w:bookmarkStart w:id="312" w:name="_Toc184308042"/>
      <w:bookmarkEnd w:id="312"/>
      <w:bookmarkStart w:id="313" w:name="_Toc184314442"/>
      <w:bookmarkEnd w:id="313"/>
      <w:bookmarkStart w:id="314" w:name="_Toc184310322"/>
      <w:bookmarkEnd w:id="314"/>
      <w:bookmarkStart w:id="315" w:name="_Toc184310311"/>
      <w:bookmarkEnd w:id="315"/>
      <w:bookmarkStart w:id="316" w:name="_Toc184314468"/>
      <w:bookmarkEnd w:id="316"/>
      <w:bookmarkStart w:id="317" w:name="_Toc184312088"/>
      <w:bookmarkEnd w:id="317"/>
      <w:bookmarkStart w:id="318" w:name="_Toc184313264"/>
      <w:bookmarkEnd w:id="318"/>
      <w:bookmarkStart w:id="319" w:name="_Toc184314441"/>
      <w:bookmarkEnd w:id="319"/>
      <w:bookmarkStart w:id="320" w:name="_Toc184314416"/>
      <w:bookmarkEnd w:id="320"/>
      <w:bookmarkStart w:id="321" w:name="_Toc184310318"/>
      <w:bookmarkEnd w:id="321"/>
      <w:bookmarkStart w:id="322" w:name="_Toc184310341"/>
      <w:bookmarkEnd w:id="322"/>
      <w:bookmarkStart w:id="323" w:name="_Toc184312125"/>
      <w:bookmarkEnd w:id="323"/>
      <w:bookmarkStart w:id="324" w:name="_Toc184314447"/>
      <w:bookmarkEnd w:id="324"/>
      <w:bookmarkStart w:id="325" w:name="_Toc184314449"/>
      <w:bookmarkEnd w:id="325"/>
      <w:bookmarkStart w:id="326" w:name="_Toc184312115"/>
      <w:bookmarkEnd w:id="326"/>
      <w:bookmarkStart w:id="327" w:name="_Toc184313303"/>
      <w:bookmarkEnd w:id="327"/>
      <w:bookmarkStart w:id="328" w:name="_Toc184313242"/>
      <w:bookmarkEnd w:id="328"/>
      <w:bookmarkStart w:id="329" w:name="_Toc184314480"/>
      <w:bookmarkEnd w:id="329"/>
      <w:bookmarkStart w:id="330" w:name="_Toc184310309"/>
      <w:bookmarkEnd w:id="330"/>
      <w:bookmarkStart w:id="331" w:name="_Toc184308050"/>
      <w:bookmarkEnd w:id="331"/>
      <w:bookmarkStart w:id="332" w:name="_Toc184314432"/>
      <w:bookmarkEnd w:id="332"/>
      <w:bookmarkStart w:id="333" w:name="_Toc184313284"/>
      <w:bookmarkEnd w:id="333"/>
      <w:bookmarkStart w:id="334" w:name="_Toc184310337"/>
      <w:bookmarkEnd w:id="334"/>
      <w:bookmarkStart w:id="335" w:name="_Toc184313238"/>
      <w:bookmarkEnd w:id="335"/>
      <w:bookmarkStart w:id="336" w:name="_Toc184308098"/>
      <w:bookmarkEnd w:id="336"/>
      <w:bookmarkStart w:id="337" w:name="_Toc184312081"/>
      <w:bookmarkEnd w:id="337"/>
      <w:bookmarkStart w:id="338" w:name="_Toc184310313"/>
      <w:bookmarkEnd w:id="338"/>
      <w:bookmarkStart w:id="339" w:name="_Toc184310303"/>
      <w:bookmarkEnd w:id="339"/>
      <w:bookmarkStart w:id="340" w:name="_Toc184308084"/>
      <w:bookmarkEnd w:id="340"/>
      <w:bookmarkStart w:id="341" w:name="_Toc184308088"/>
      <w:bookmarkEnd w:id="341"/>
      <w:bookmarkStart w:id="342" w:name="_Toc184308053"/>
      <w:bookmarkEnd w:id="342"/>
      <w:bookmarkStart w:id="343" w:name="_Toc184314457"/>
      <w:bookmarkEnd w:id="343"/>
      <w:bookmarkStart w:id="344" w:name="_Toc184314458"/>
      <w:bookmarkEnd w:id="344"/>
      <w:bookmarkStart w:id="345" w:name="_Toc184314444"/>
      <w:bookmarkEnd w:id="345"/>
      <w:bookmarkStart w:id="346" w:name="_Toc184310283"/>
      <w:bookmarkEnd w:id="346"/>
      <w:bookmarkStart w:id="347" w:name="_Toc184312097"/>
      <w:bookmarkEnd w:id="347"/>
      <w:bookmarkStart w:id="348" w:name="_Toc184308089"/>
      <w:bookmarkEnd w:id="348"/>
      <w:bookmarkStart w:id="349" w:name="_Toc184314454"/>
      <w:bookmarkEnd w:id="349"/>
      <w:bookmarkStart w:id="350" w:name="_Toc184308075"/>
      <w:bookmarkEnd w:id="350"/>
      <w:bookmarkStart w:id="351" w:name="_Toc184310316"/>
      <w:bookmarkEnd w:id="351"/>
      <w:bookmarkStart w:id="352" w:name="_Toc184310327"/>
      <w:bookmarkEnd w:id="352"/>
      <w:bookmarkStart w:id="353" w:name="_Toc184308097"/>
      <w:bookmarkEnd w:id="353"/>
      <w:bookmarkStart w:id="354" w:name="_Toc184313310"/>
      <w:bookmarkEnd w:id="354"/>
      <w:bookmarkStart w:id="355" w:name="_Toc184313293"/>
      <w:bookmarkEnd w:id="355"/>
      <w:bookmarkStart w:id="356" w:name="_Toc184313259"/>
      <w:bookmarkEnd w:id="356"/>
      <w:bookmarkStart w:id="357" w:name="_Toc184314466"/>
      <w:bookmarkEnd w:id="357"/>
      <w:bookmarkStart w:id="358" w:name="_Toc184308058"/>
      <w:bookmarkEnd w:id="358"/>
      <w:bookmarkStart w:id="359" w:name="_Toc184314482"/>
      <w:bookmarkEnd w:id="359"/>
      <w:bookmarkStart w:id="360" w:name="_Toc184312068"/>
      <w:bookmarkEnd w:id="360"/>
      <w:bookmarkStart w:id="361" w:name="_Toc184308040"/>
      <w:bookmarkEnd w:id="361"/>
      <w:bookmarkStart w:id="362" w:name="_Toc184314435"/>
      <w:bookmarkEnd w:id="362"/>
      <w:bookmarkStart w:id="363" w:name="_Toc184312089"/>
      <w:bookmarkEnd w:id="363"/>
      <w:bookmarkStart w:id="364" w:name="_Toc184313246"/>
      <w:bookmarkEnd w:id="364"/>
      <w:bookmarkStart w:id="365" w:name="_Toc184308076"/>
      <w:bookmarkEnd w:id="365"/>
      <w:bookmarkStart w:id="366" w:name="_Toc184310340"/>
      <w:bookmarkEnd w:id="366"/>
      <w:bookmarkStart w:id="367" w:name="_Toc184312136"/>
      <w:bookmarkEnd w:id="367"/>
      <w:bookmarkStart w:id="368" w:name="_Toc184313276"/>
      <w:bookmarkEnd w:id="368"/>
      <w:bookmarkStart w:id="369" w:name="_Toc184313279"/>
      <w:bookmarkEnd w:id="369"/>
      <w:bookmarkStart w:id="370" w:name="_Toc184314443"/>
      <w:bookmarkEnd w:id="370"/>
      <w:bookmarkStart w:id="371" w:name="_Toc184308066"/>
      <w:bookmarkEnd w:id="371"/>
      <w:bookmarkStart w:id="372" w:name="_Toc184313274"/>
      <w:bookmarkEnd w:id="372"/>
      <w:bookmarkStart w:id="373" w:name="_Toc184310292"/>
      <w:bookmarkEnd w:id="373"/>
      <w:bookmarkStart w:id="374" w:name="_Toc184314421"/>
      <w:bookmarkEnd w:id="374"/>
      <w:bookmarkStart w:id="375" w:name="_Toc184308056"/>
      <w:bookmarkEnd w:id="375"/>
      <w:bookmarkStart w:id="376" w:name="_Toc184313300"/>
      <w:bookmarkEnd w:id="376"/>
      <w:bookmarkStart w:id="377" w:name="_Toc184310293"/>
      <w:bookmarkEnd w:id="377"/>
      <w:bookmarkStart w:id="378" w:name="_Toc184314475"/>
      <w:bookmarkEnd w:id="378"/>
      <w:bookmarkStart w:id="379" w:name="_Toc184310291"/>
      <w:bookmarkEnd w:id="379"/>
      <w:bookmarkStart w:id="380" w:name="_Toc184310326"/>
      <w:bookmarkEnd w:id="380"/>
      <w:bookmarkStart w:id="381" w:name="_Toc184313298"/>
      <w:bookmarkEnd w:id="381"/>
      <w:bookmarkStart w:id="382" w:name="_Toc184310286"/>
      <w:bookmarkEnd w:id="382"/>
      <w:bookmarkStart w:id="383" w:name="_Toc184314477"/>
      <w:bookmarkEnd w:id="383"/>
      <w:bookmarkStart w:id="384" w:name="_Toc184313286"/>
      <w:bookmarkEnd w:id="384"/>
      <w:bookmarkStart w:id="385" w:name="_Toc184314412"/>
      <w:bookmarkEnd w:id="385"/>
      <w:bookmarkStart w:id="386" w:name="_Toc184308036"/>
      <w:bookmarkEnd w:id="386"/>
      <w:bookmarkStart w:id="387" w:name="_Toc184314439"/>
      <w:bookmarkEnd w:id="387"/>
      <w:bookmarkStart w:id="388" w:name="_Toc184310335"/>
      <w:bookmarkEnd w:id="388"/>
      <w:bookmarkStart w:id="389" w:name="_Toc184310277"/>
      <w:bookmarkEnd w:id="389"/>
      <w:bookmarkStart w:id="390" w:name="_Toc184312139"/>
      <w:bookmarkEnd w:id="390"/>
      <w:bookmarkStart w:id="391" w:name="_Toc184312075"/>
      <w:bookmarkEnd w:id="391"/>
      <w:bookmarkStart w:id="392" w:name="_Toc184313280"/>
      <w:bookmarkEnd w:id="392"/>
      <w:bookmarkStart w:id="393" w:name="_Toc184313308"/>
      <w:bookmarkEnd w:id="393"/>
      <w:bookmarkStart w:id="394" w:name="_Toc184310323"/>
      <w:bookmarkEnd w:id="394"/>
      <w:bookmarkStart w:id="395" w:name="_Toc184312101"/>
      <w:bookmarkEnd w:id="395"/>
      <w:bookmarkStart w:id="396" w:name="_Toc184312082"/>
      <w:bookmarkEnd w:id="396"/>
      <w:bookmarkStart w:id="397" w:name="_Toc184313243"/>
      <w:bookmarkEnd w:id="397"/>
      <w:bookmarkStart w:id="398" w:name="_Toc184312138"/>
      <w:bookmarkEnd w:id="398"/>
      <w:bookmarkStart w:id="399" w:name="_Toc184308106"/>
      <w:bookmarkEnd w:id="399"/>
      <w:bookmarkStart w:id="400" w:name="_Toc184308086"/>
      <w:bookmarkEnd w:id="400"/>
      <w:bookmarkStart w:id="401" w:name="_Toc184313271"/>
      <w:bookmarkEnd w:id="401"/>
      <w:bookmarkStart w:id="402" w:name="_Toc184308083"/>
      <w:bookmarkEnd w:id="402"/>
      <w:bookmarkStart w:id="403" w:name="_Toc184314470"/>
      <w:bookmarkEnd w:id="403"/>
      <w:bookmarkStart w:id="404" w:name="_Toc184313268"/>
      <w:bookmarkEnd w:id="404"/>
      <w:bookmarkStart w:id="405" w:name="_Toc184313267"/>
      <w:bookmarkEnd w:id="405"/>
      <w:bookmarkStart w:id="406" w:name="_Toc184312069"/>
      <w:bookmarkEnd w:id="406"/>
      <w:bookmarkStart w:id="407" w:name="_Toc184313281"/>
      <w:bookmarkEnd w:id="407"/>
      <w:bookmarkStart w:id="408" w:name="_Toc184313240"/>
      <w:bookmarkEnd w:id="408"/>
      <w:bookmarkStart w:id="409" w:name="_Toc184308044"/>
      <w:bookmarkEnd w:id="409"/>
      <w:bookmarkStart w:id="410" w:name="_Toc184313299"/>
      <w:bookmarkEnd w:id="410"/>
      <w:bookmarkStart w:id="411" w:name="_Toc184314430"/>
      <w:bookmarkEnd w:id="411"/>
      <w:bookmarkStart w:id="412" w:name="_Toc184313263"/>
      <w:bookmarkEnd w:id="412"/>
      <w:bookmarkStart w:id="413" w:name="_Toc184314424"/>
      <w:bookmarkEnd w:id="413"/>
      <w:bookmarkStart w:id="414" w:name="_Toc184308103"/>
      <w:bookmarkEnd w:id="414"/>
      <w:bookmarkStart w:id="415" w:name="_Toc184313249"/>
      <w:bookmarkEnd w:id="415"/>
      <w:bookmarkStart w:id="416" w:name="_Toc184312129"/>
      <w:bookmarkEnd w:id="416"/>
      <w:bookmarkStart w:id="417" w:name="_Toc184314437"/>
      <w:bookmarkEnd w:id="417"/>
      <w:bookmarkStart w:id="418" w:name="_Toc184312092"/>
      <w:bookmarkEnd w:id="418"/>
      <w:bookmarkStart w:id="419" w:name="_Toc184313239"/>
      <w:bookmarkEnd w:id="419"/>
      <w:bookmarkStart w:id="420" w:name="_Toc184314448"/>
      <w:bookmarkEnd w:id="420"/>
      <w:bookmarkStart w:id="421" w:name="_Toc184312078"/>
      <w:bookmarkEnd w:id="421"/>
      <w:bookmarkStart w:id="422" w:name="_Toc184312076"/>
      <w:bookmarkEnd w:id="422"/>
      <w:bookmarkStart w:id="423" w:name="_Toc184312091"/>
      <w:bookmarkEnd w:id="423"/>
      <w:bookmarkStart w:id="424" w:name="_Toc184313296"/>
      <w:bookmarkEnd w:id="424"/>
      <w:bookmarkStart w:id="425" w:name="_Toc184312104"/>
      <w:bookmarkEnd w:id="425"/>
      <w:bookmarkStart w:id="426" w:name="_Toc184308073"/>
      <w:bookmarkEnd w:id="426"/>
      <w:bookmarkStart w:id="427" w:name="_Toc184313255"/>
      <w:bookmarkEnd w:id="427"/>
      <w:bookmarkStart w:id="428" w:name="_Toc184314433"/>
      <w:bookmarkEnd w:id="428"/>
      <w:bookmarkStart w:id="429" w:name="_Toc184310289"/>
      <w:bookmarkEnd w:id="429"/>
      <w:bookmarkStart w:id="430" w:name="_Toc184314419"/>
      <w:bookmarkEnd w:id="430"/>
      <w:bookmarkStart w:id="431" w:name="_Toc184308105"/>
      <w:bookmarkEnd w:id="431"/>
      <w:bookmarkStart w:id="432" w:name="_Toc184308107"/>
      <w:bookmarkEnd w:id="432"/>
      <w:bookmarkStart w:id="433" w:name="_Toc184312127"/>
      <w:bookmarkEnd w:id="433"/>
      <w:bookmarkStart w:id="434" w:name="_Toc184312086"/>
      <w:bookmarkEnd w:id="434"/>
      <w:bookmarkStart w:id="435" w:name="_Toc184310272"/>
      <w:bookmarkEnd w:id="435"/>
      <w:bookmarkStart w:id="436" w:name="_Toc184313302"/>
      <w:bookmarkEnd w:id="436"/>
      <w:bookmarkStart w:id="437" w:name="_Toc184314463"/>
      <w:bookmarkEnd w:id="437"/>
      <w:bookmarkStart w:id="438" w:name="_Toc184310280"/>
      <w:bookmarkEnd w:id="438"/>
      <w:bookmarkStart w:id="439" w:name="_Toc184308061"/>
      <w:bookmarkEnd w:id="439"/>
      <w:bookmarkStart w:id="440" w:name="_Toc184310320"/>
      <w:bookmarkEnd w:id="440"/>
      <w:bookmarkStart w:id="441" w:name="_Toc184314411"/>
      <w:bookmarkEnd w:id="441"/>
      <w:bookmarkStart w:id="442" w:name="_Toc184308051"/>
      <w:bookmarkEnd w:id="442"/>
      <w:bookmarkStart w:id="443" w:name="_Toc184308092"/>
      <w:bookmarkEnd w:id="443"/>
      <w:bookmarkStart w:id="444" w:name="_Toc184312103"/>
      <w:bookmarkEnd w:id="444"/>
      <w:bookmarkStart w:id="445" w:name="_Toc184313301"/>
      <w:bookmarkEnd w:id="445"/>
      <w:bookmarkStart w:id="446" w:name="_Toc184310339"/>
      <w:bookmarkEnd w:id="446"/>
      <w:bookmarkStart w:id="447" w:name="_Toc184314459"/>
      <w:bookmarkEnd w:id="447"/>
      <w:bookmarkStart w:id="448" w:name="_Toc184308065"/>
      <w:bookmarkEnd w:id="448"/>
      <w:bookmarkStart w:id="449" w:name="_Toc184314478"/>
      <w:bookmarkEnd w:id="449"/>
      <w:bookmarkStart w:id="450" w:name="_Toc184308039"/>
      <w:bookmarkEnd w:id="450"/>
      <w:bookmarkStart w:id="451" w:name="_Toc184310314"/>
      <w:bookmarkEnd w:id="451"/>
      <w:bookmarkStart w:id="452" w:name="_Toc184310285"/>
      <w:bookmarkEnd w:id="452"/>
      <w:bookmarkStart w:id="453" w:name="_Toc184313262"/>
      <w:bookmarkEnd w:id="453"/>
      <w:bookmarkStart w:id="454" w:name="_Toc184308087"/>
      <w:bookmarkEnd w:id="454"/>
      <w:bookmarkStart w:id="455" w:name="_Toc184308108"/>
      <w:bookmarkEnd w:id="455"/>
      <w:bookmarkStart w:id="456" w:name="_Toc184314452"/>
      <w:bookmarkEnd w:id="456"/>
      <w:bookmarkStart w:id="457" w:name="_Toc184310338"/>
      <w:bookmarkEnd w:id="457"/>
      <w:bookmarkStart w:id="458" w:name="_Toc184310279"/>
      <w:bookmarkEnd w:id="458"/>
      <w:bookmarkStart w:id="459" w:name="_Toc184310334"/>
      <w:bookmarkEnd w:id="459"/>
      <w:bookmarkStart w:id="460" w:name="_Toc184313247"/>
      <w:bookmarkEnd w:id="460"/>
      <w:bookmarkStart w:id="461" w:name="_Toc184312100"/>
      <w:bookmarkEnd w:id="461"/>
      <w:bookmarkStart w:id="462" w:name="_Toc184308090"/>
      <w:bookmarkEnd w:id="462"/>
      <w:bookmarkStart w:id="463" w:name="_Toc184308070"/>
      <w:bookmarkEnd w:id="463"/>
      <w:bookmarkStart w:id="464" w:name="_Toc184314440"/>
      <w:bookmarkEnd w:id="464"/>
      <w:bookmarkStart w:id="465" w:name="_Toc184313265"/>
      <w:bookmarkEnd w:id="465"/>
      <w:bookmarkStart w:id="466" w:name="_Toc184308064"/>
      <w:bookmarkEnd w:id="466"/>
      <w:bookmarkStart w:id="467" w:name="_Toc184313309"/>
      <w:bookmarkEnd w:id="467"/>
      <w:bookmarkStart w:id="468" w:name="_Toc184313252"/>
      <w:bookmarkEnd w:id="468"/>
      <w:bookmarkStart w:id="469" w:name="_Toc184312073"/>
      <w:bookmarkEnd w:id="469"/>
      <w:bookmarkStart w:id="470" w:name="_Toc184313277"/>
      <w:bookmarkEnd w:id="470"/>
      <w:bookmarkStart w:id="471" w:name="_Toc184312095"/>
      <w:bookmarkEnd w:id="471"/>
      <w:bookmarkStart w:id="472" w:name="_Toc184310330"/>
      <w:bookmarkEnd w:id="472"/>
      <w:bookmarkStart w:id="473" w:name="_Toc184310321"/>
      <w:bookmarkEnd w:id="473"/>
      <w:bookmarkStart w:id="474" w:name="_Toc184313254"/>
      <w:bookmarkEnd w:id="474"/>
      <w:bookmarkStart w:id="475" w:name="_Toc184312087"/>
      <w:bookmarkEnd w:id="475"/>
      <w:bookmarkStart w:id="476" w:name="_Toc184312084"/>
      <w:bookmarkEnd w:id="476"/>
      <w:bookmarkStart w:id="477" w:name="_Toc184310284"/>
      <w:bookmarkEnd w:id="477"/>
      <w:bookmarkStart w:id="478" w:name="_Toc184308048"/>
      <w:bookmarkEnd w:id="478"/>
      <w:bookmarkStart w:id="479" w:name="_Toc184310302"/>
      <w:bookmarkEnd w:id="479"/>
      <w:bookmarkStart w:id="480" w:name="_Toc184312131"/>
      <w:bookmarkEnd w:id="480"/>
      <w:bookmarkStart w:id="481" w:name="_Toc184313248"/>
      <w:bookmarkEnd w:id="481"/>
      <w:bookmarkStart w:id="482" w:name="_Toc184308041"/>
      <w:bookmarkEnd w:id="482"/>
      <w:bookmarkStart w:id="483" w:name="_Toc184313282"/>
      <w:bookmarkEnd w:id="483"/>
      <w:bookmarkStart w:id="484" w:name="_Toc184312077"/>
      <w:bookmarkEnd w:id="484"/>
      <w:bookmarkStart w:id="485" w:name="_Toc184310336"/>
      <w:bookmarkEnd w:id="485"/>
      <w:bookmarkStart w:id="486" w:name="_Toc184312071"/>
      <w:bookmarkEnd w:id="486"/>
      <w:bookmarkStart w:id="487" w:name="_Toc184308067"/>
      <w:bookmarkEnd w:id="487"/>
      <w:bookmarkStart w:id="488" w:name="_Toc184314453"/>
      <w:bookmarkEnd w:id="488"/>
      <w:bookmarkStart w:id="489" w:name="_Toc184308059"/>
      <w:bookmarkEnd w:id="489"/>
      <w:bookmarkStart w:id="490" w:name="_Toc184313290"/>
      <w:bookmarkEnd w:id="490"/>
      <w:bookmarkStart w:id="491" w:name="_Toc184312113"/>
      <w:bookmarkEnd w:id="491"/>
      <w:bookmarkStart w:id="492" w:name="_Toc184308078"/>
      <w:bookmarkEnd w:id="492"/>
      <w:bookmarkStart w:id="493" w:name="_Toc184308096"/>
      <w:bookmarkEnd w:id="493"/>
      <w:bookmarkStart w:id="494" w:name="_Toc184314422"/>
      <w:bookmarkEnd w:id="494"/>
      <w:bookmarkStart w:id="495" w:name="_Toc184310332"/>
      <w:bookmarkEnd w:id="495"/>
      <w:bookmarkStart w:id="496" w:name="_Toc184312132"/>
      <w:bookmarkEnd w:id="496"/>
      <w:bookmarkStart w:id="497" w:name="_Toc184310288"/>
      <w:bookmarkEnd w:id="497"/>
      <w:bookmarkStart w:id="498" w:name="_Toc184313251"/>
      <w:bookmarkEnd w:id="498"/>
      <w:bookmarkStart w:id="499" w:name="_Toc184314450"/>
      <w:bookmarkEnd w:id="499"/>
      <w:bookmarkStart w:id="500" w:name="_Toc184314413"/>
      <w:bookmarkEnd w:id="500"/>
      <w:bookmarkStart w:id="501" w:name="_Toc184314462"/>
      <w:bookmarkEnd w:id="501"/>
      <w:bookmarkStart w:id="502" w:name="_Toc184314438"/>
      <w:bookmarkEnd w:id="502"/>
      <w:bookmarkStart w:id="503" w:name="_Toc184312135"/>
      <w:bookmarkEnd w:id="503"/>
      <w:bookmarkStart w:id="504" w:name="_Toc184308091"/>
      <w:bookmarkEnd w:id="504"/>
      <w:bookmarkStart w:id="505" w:name="_Toc184312110"/>
      <w:bookmarkEnd w:id="505"/>
      <w:bookmarkStart w:id="506" w:name="_Toc184313266"/>
      <w:bookmarkEnd w:id="506"/>
      <w:bookmarkStart w:id="507" w:name="_Toc184308095"/>
      <w:bookmarkEnd w:id="507"/>
      <w:bookmarkStart w:id="508" w:name="_Toc184313257"/>
      <w:bookmarkEnd w:id="508"/>
      <w:bookmarkStart w:id="509" w:name="_Toc184313261"/>
      <w:bookmarkEnd w:id="509"/>
      <w:bookmarkStart w:id="510" w:name="_Toc184312122"/>
      <w:bookmarkEnd w:id="510"/>
      <w:bookmarkStart w:id="511" w:name="_Toc184314445"/>
      <w:bookmarkEnd w:id="511"/>
      <w:bookmarkStart w:id="512" w:name="_Toc184314474"/>
      <w:bookmarkEnd w:id="512"/>
      <w:bookmarkStart w:id="513" w:name="_Toc184313285"/>
      <w:bookmarkEnd w:id="513"/>
      <w:bookmarkStart w:id="514" w:name="_Toc184312111"/>
      <w:bookmarkEnd w:id="514"/>
      <w:bookmarkStart w:id="515" w:name="_Toc184310325"/>
      <w:bookmarkEnd w:id="515"/>
      <w:bookmarkStart w:id="516" w:name="_Toc184314473"/>
      <w:bookmarkEnd w:id="516"/>
      <w:bookmarkStart w:id="517" w:name="_Toc184308104"/>
      <w:bookmarkEnd w:id="517"/>
      <w:bookmarkStart w:id="518" w:name="_Toc184314481"/>
      <w:bookmarkEnd w:id="518"/>
      <w:bookmarkStart w:id="519" w:name="_Toc184310297"/>
      <w:bookmarkEnd w:id="519"/>
      <w:bookmarkStart w:id="520" w:name="_Toc184313269"/>
      <w:bookmarkEnd w:id="520"/>
      <w:bookmarkStart w:id="521" w:name="_Toc184308081"/>
      <w:bookmarkEnd w:id="521"/>
      <w:bookmarkStart w:id="522" w:name="_Toc184310290"/>
      <w:bookmarkEnd w:id="522"/>
      <w:bookmarkStart w:id="523" w:name="_Toc184310319"/>
      <w:bookmarkEnd w:id="523"/>
      <w:bookmarkStart w:id="524" w:name="_Toc184312126"/>
      <w:bookmarkEnd w:id="524"/>
      <w:bookmarkStart w:id="525" w:name="_Toc184313244"/>
      <w:bookmarkEnd w:id="525"/>
      <w:bookmarkStart w:id="526" w:name="_Toc184314476"/>
      <w:bookmarkEnd w:id="526"/>
      <w:bookmarkStart w:id="527" w:name="_Toc184310307"/>
      <w:bookmarkEnd w:id="527"/>
      <w:bookmarkStart w:id="528" w:name="_Toc184314420"/>
      <w:bookmarkEnd w:id="528"/>
      <w:bookmarkStart w:id="529" w:name="_Toc184312109"/>
      <w:bookmarkEnd w:id="529"/>
      <w:bookmarkStart w:id="530" w:name="_Toc184313273"/>
      <w:bookmarkEnd w:id="530"/>
      <w:bookmarkStart w:id="531" w:name="_Toc184308060"/>
      <w:bookmarkEnd w:id="531"/>
      <w:bookmarkStart w:id="532" w:name="_Toc184312099"/>
      <w:bookmarkEnd w:id="532"/>
      <w:bookmarkStart w:id="533" w:name="_Toc184314467"/>
      <w:bookmarkEnd w:id="533"/>
      <w:bookmarkStart w:id="534" w:name="_Toc184310296"/>
      <w:bookmarkEnd w:id="534"/>
      <w:bookmarkStart w:id="535" w:name="_Toc184313245"/>
      <w:bookmarkEnd w:id="535"/>
      <w:bookmarkStart w:id="536" w:name="_Toc184314436"/>
      <w:bookmarkEnd w:id="536"/>
      <w:bookmarkStart w:id="537" w:name="_Toc184310276"/>
      <w:bookmarkEnd w:id="537"/>
      <w:bookmarkStart w:id="538" w:name="_Toc184314469"/>
      <w:bookmarkEnd w:id="538"/>
      <w:bookmarkStart w:id="539" w:name="_Toc184314434"/>
      <w:bookmarkEnd w:id="539"/>
      <w:bookmarkStart w:id="540" w:name="_Toc184314415"/>
      <w:bookmarkEnd w:id="540"/>
      <w:bookmarkStart w:id="541" w:name="_Toc184310275"/>
      <w:bookmarkEnd w:id="541"/>
      <w:bookmarkStart w:id="542" w:name="_Toc184310273"/>
      <w:bookmarkEnd w:id="542"/>
      <w:bookmarkStart w:id="543" w:name="_Toc184308100"/>
      <w:bookmarkEnd w:id="543"/>
      <w:bookmarkStart w:id="544" w:name="_Toc184308101"/>
      <w:bookmarkEnd w:id="544"/>
      <w:bookmarkStart w:id="545" w:name="_Toc184312079"/>
      <w:bookmarkEnd w:id="545"/>
      <w:bookmarkStart w:id="546" w:name="_Toc184310304"/>
      <w:bookmarkEnd w:id="546"/>
      <w:bookmarkStart w:id="547" w:name="_Toc184313307"/>
      <w:bookmarkEnd w:id="547"/>
      <w:bookmarkStart w:id="548" w:name="_Toc184312106"/>
      <w:bookmarkEnd w:id="548"/>
      <w:bookmarkStart w:id="549" w:name="_Toc184308063"/>
      <w:bookmarkEnd w:id="549"/>
      <w:bookmarkStart w:id="550" w:name="_Toc184312112"/>
      <w:bookmarkEnd w:id="550"/>
      <w:bookmarkStart w:id="551" w:name="_Toc184313291"/>
      <w:bookmarkEnd w:id="551"/>
      <w:bookmarkStart w:id="552" w:name="_Toc184310287"/>
      <w:bookmarkEnd w:id="552"/>
      <w:bookmarkStart w:id="553" w:name="_Toc184308079"/>
      <w:bookmarkEnd w:id="553"/>
      <w:bookmarkStart w:id="554" w:name="_Toc184310312"/>
      <w:bookmarkEnd w:id="554"/>
      <w:bookmarkStart w:id="555" w:name="_Toc184313250"/>
      <w:bookmarkEnd w:id="555"/>
      <w:bookmarkStart w:id="556" w:name="_Toc184308069"/>
      <w:bookmarkEnd w:id="556"/>
      <w:bookmarkStart w:id="557" w:name="_Toc184308099"/>
      <w:bookmarkEnd w:id="557"/>
      <w:bookmarkStart w:id="558" w:name="_Toc184310343"/>
      <w:bookmarkEnd w:id="558"/>
      <w:bookmarkStart w:id="559" w:name="_Toc184310324"/>
      <w:bookmarkEnd w:id="559"/>
      <w:bookmarkStart w:id="560" w:name="_Toc184314456"/>
      <w:bookmarkEnd w:id="560"/>
      <w:bookmarkStart w:id="561" w:name="_Toc184313272"/>
      <w:bookmarkEnd w:id="561"/>
      <w:bookmarkStart w:id="562" w:name="_Toc184314427"/>
      <w:bookmarkEnd w:id="562"/>
      <w:bookmarkStart w:id="563" w:name="_Toc184313306"/>
      <w:bookmarkEnd w:id="563"/>
      <w:bookmarkStart w:id="564" w:name="_Toc184314446"/>
      <w:bookmarkEnd w:id="564"/>
      <w:bookmarkStart w:id="565" w:name="_Toc184310294"/>
      <w:bookmarkEnd w:id="565"/>
      <w:bookmarkStart w:id="566" w:name="_Toc184308043"/>
      <w:bookmarkEnd w:id="566"/>
      <w:bookmarkStart w:id="567" w:name="_Toc184313241"/>
      <w:bookmarkEnd w:id="567"/>
      <w:bookmarkStart w:id="568" w:name="_Toc184308049"/>
      <w:bookmarkEnd w:id="568"/>
      <w:bookmarkStart w:id="569" w:name="_Toc184312121"/>
      <w:bookmarkEnd w:id="569"/>
      <w:bookmarkStart w:id="570" w:name="_Toc184313288"/>
      <w:bookmarkEnd w:id="570"/>
      <w:bookmarkStart w:id="571" w:name="_Toc184310328"/>
      <w:bookmarkEnd w:id="571"/>
      <w:bookmarkStart w:id="572" w:name="_Toc184314464"/>
      <w:bookmarkEnd w:id="572"/>
      <w:bookmarkStart w:id="573" w:name="_Toc184310305"/>
      <w:bookmarkEnd w:id="573"/>
      <w:bookmarkStart w:id="574" w:name="_Toc184308072"/>
      <w:bookmarkEnd w:id="574"/>
      <w:bookmarkStart w:id="575" w:name="_Toc184312118"/>
      <w:bookmarkEnd w:id="575"/>
      <w:bookmarkStart w:id="576" w:name="_Toc184312108"/>
      <w:bookmarkEnd w:id="576"/>
      <w:bookmarkStart w:id="577" w:name="_Toc184308062"/>
      <w:bookmarkEnd w:id="577"/>
      <w:bookmarkStart w:id="578" w:name="_Toc184314414"/>
      <w:bookmarkEnd w:id="578"/>
      <w:bookmarkStart w:id="579" w:name="_Toc184313275"/>
      <w:bookmarkEnd w:id="579"/>
      <w:bookmarkStart w:id="580" w:name="_Toc184312130"/>
      <w:bookmarkEnd w:id="580"/>
      <w:bookmarkStart w:id="581" w:name="_Toc184312090"/>
      <w:bookmarkEnd w:id="581"/>
      <w:bookmarkStart w:id="582" w:name="_Toc184314428"/>
      <w:bookmarkEnd w:id="582"/>
      <w:bookmarkStart w:id="583" w:name="_Toc184312120"/>
      <w:bookmarkEnd w:id="583"/>
      <w:bookmarkStart w:id="584" w:name="_Toc184313295"/>
      <w:bookmarkEnd w:id="584"/>
      <w:bookmarkStart w:id="585" w:name="_Toc184310317"/>
      <w:bookmarkEnd w:id="585"/>
      <w:bookmarkStart w:id="586" w:name="_Toc184310301"/>
      <w:bookmarkEnd w:id="586"/>
      <w:bookmarkStart w:id="587" w:name="_Toc184313304"/>
      <w:bookmarkEnd w:id="587"/>
      <w:bookmarkStart w:id="588" w:name="_Toc184313278"/>
      <w:bookmarkEnd w:id="588"/>
      <w:bookmarkStart w:id="589" w:name="_Toc184308055"/>
      <w:bookmarkEnd w:id="589"/>
      <w:bookmarkStart w:id="590" w:name="_Toc184312117"/>
      <w:bookmarkEnd w:id="590"/>
      <w:bookmarkStart w:id="591" w:name="_Toc184313297"/>
      <w:bookmarkEnd w:id="591"/>
      <w:bookmarkStart w:id="592" w:name="_Toc184312123"/>
      <w:bookmarkEnd w:id="592"/>
      <w:bookmarkStart w:id="593" w:name="_Toc184312133"/>
      <w:bookmarkEnd w:id="593"/>
      <w:bookmarkStart w:id="594" w:name="_Toc184308082"/>
      <w:bookmarkEnd w:id="594"/>
      <w:bookmarkStart w:id="595" w:name="_Toc184308037"/>
      <w:bookmarkEnd w:id="595"/>
      <w:bookmarkStart w:id="596" w:name="_Toc184312094"/>
      <w:bookmarkEnd w:id="596"/>
      <w:bookmarkStart w:id="597" w:name="_Toc184312128"/>
      <w:bookmarkEnd w:id="597"/>
      <w:bookmarkStart w:id="598" w:name="_Toc184312098"/>
      <w:bookmarkEnd w:id="598"/>
      <w:bookmarkStart w:id="599" w:name="_Toc184312124"/>
      <w:bookmarkEnd w:id="599"/>
      <w:bookmarkStart w:id="600" w:name="_Toc184312137"/>
      <w:bookmarkEnd w:id="600"/>
      <w:bookmarkStart w:id="601" w:name="_Toc184313270"/>
      <w:bookmarkEnd w:id="601"/>
      <w:bookmarkStart w:id="602" w:name="_Toc184314431"/>
      <w:bookmarkEnd w:id="602"/>
      <w:bookmarkStart w:id="603" w:name="_Toc184310331"/>
      <w:bookmarkEnd w:id="603"/>
      <w:bookmarkStart w:id="604" w:name="_Toc184312085"/>
      <w:bookmarkEnd w:id="604"/>
      <w:bookmarkStart w:id="605" w:name="_Toc184308038"/>
      <w:bookmarkEnd w:id="605"/>
      <w:bookmarkStart w:id="606" w:name="_Toc184313258"/>
      <w:bookmarkEnd w:id="606"/>
      <w:bookmarkStart w:id="607" w:name="_Toc184312119"/>
      <w:bookmarkEnd w:id="607"/>
      <w:bookmarkStart w:id="608" w:name="_Toc184312107"/>
      <w:bookmarkEnd w:id="608"/>
      <w:bookmarkStart w:id="609" w:name="_Toc184308045"/>
      <w:bookmarkEnd w:id="609"/>
      <w:bookmarkStart w:id="610" w:name="_Toc184308094"/>
      <w:bookmarkEnd w:id="610"/>
      <w:bookmarkStart w:id="611" w:name="_Toc184308068"/>
      <w:bookmarkEnd w:id="611"/>
      <w:bookmarkStart w:id="612" w:name="_Toc184310342"/>
      <w:bookmarkEnd w:id="612"/>
      <w:bookmarkStart w:id="613" w:name="_Toc184314460"/>
      <w:bookmarkEnd w:id="613"/>
      <w:bookmarkStart w:id="614" w:name="_Toc184312093"/>
      <w:bookmarkEnd w:id="614"/>
      <w:bookmarkStart w:id="615" w:name="_Toc184314461"/>
      <w:bookmarkEnd w:id="615"/>
      <w:bookmarkStart w:id="616" w:name="_Toc184313260"/>
      <w:bookmarkEnd w:id="616"/>
      <w:bookmarkStart w:id="617" w:name="_Toc184314410"/>
      <w:bookmarkEnd w:id="617"/>
      <w:bookmarkStart w:id="618" w:name="_Toc184312134"/>
      <w:bookmarkEnd w:id="618"/>
      <w:bookmarkStart w:id="619" w:name="_Toc184308085"/>
      <w:bookmarkEnd w:id="619"/>
      <w:bookmarkStart w:id="620" w:name="_Toc184313283"/>
      <w:bookmarkEnd w:id="620"/>
      <w:bookmarkStart w:id="621" w:name="_Toc184314418"/>
      <w:bookmarkEnd w:id="621"/>
      <w:bookmarkStart w:id="622" w:name="_Toc184312072"/>
      <w:bookmarkEnd w:id="622"/>
      <w:bookmarkStart w:id="623" w:name="_Toc184312074"/>
      <w:bookmarkEnd w:id="623"/>
      <w:bookmarkStart w:id="624" w:name="_Toc184314417"/>
      <w:bookmarkEnd w:id="624"/>
      <w:bookmarkStart w:id="625" w:name="_Toc184310344"/>
      <w:bookmarkEnd w:id="625"/>
      <w:bookmarkStart w:id="626" w:name="_Toc184308074"/>
      <w:bookmarkEnd w:id="626"/>
      <w:bookmarkStart w:id="627" w:name="_Toc184308052"/>
      <w:bookmarkEnd w:id="627"/>
      <w:bookmarkStart w:id="628" w:name="_Toc184308080"/>
      <w:bookmarkEnd w:id="628"/>
      <w:bookmarkStart w:id="629" w:name="_Toc184308047"/>
      <w:bookmarkEnd w:id="629"/>
      <w:bookmarkStart w:id="630" w:name="_Toc184314425"/>
      <w:bookmarkEnd w:id="630"/>
      <w:bookmarkStart w:id="631" w:name="_Toc184312096"/>
      <w:bookmarkEnd w:id="631"/>
      <w:bookmarkStart w:id="632" w:name="_Toc184314471"/>
      <w:bookmarkEnd w:id="632"/>
      <w:bookmarkStart w:id="633" w:name="_Toc184312105"/>
      <w:bookmarkEnd w:id="633"/>
      <w:bookmarkStart w:id="634" w:name="_Toc184312070"/>
      <w:bookmarkEnd w:id="634"/>
      <w:bookmarkStart w:id="635" w:name="_Toc184310308"/>
      <w:bookmarkEnd w:id="635"/>
      <w:bookmarkStart w:id="636" w:name="_Toc184314479"/>
      <w:bookmarkEnd w:id="636"/>
      <w:bookmarkStart w:id="637" w:name="_Toc184310295"/>
      <w:bookmarkEnd w:id="637"/>
      <w:bookmarkStart w:id="638" w:name="_Toc184308046"/>
      <w:bookmarkEnd w:id="638"/>
      <w:bookmarkStart w:id="639" w:name="_Toc184313292"/>
      <w:bookmarkEnd w:id="639"/>
      <w:bookmarkStart w:id="640" w:name="_Toc184310315"/>
      <w:bookmarkEnd w:id="640"/>
      <w:bookmarkStart w:id="641" w:name="_Toc184313256"/>
      <w:bookmarkEnd w:id="641"/>
      <w:bookmarkStart w:id="642" w:name="_Toc184310278"/>
      <w:bookmarkEnd w:id="642"/>
      <w:bookmarkStart w:id="643" w:name="_Toc184313289"/>
      <w:bookmarkEnd w:id="643"/>
      <w:bookmarkStart w:id="644" w:name="_Toc184310281"/>
      <w:bookmarkEnd w:id="644"/>
      <w:bookmarkStart w:id="645" w:name="_Toc184310274"/>
      <w:bookmarkEnd w:id="645"/>
      <w:bookmarkStart w:id="646" w:name="_Toc184313287"/>
      <w:bookmarkEnd w:id="646"/>
      <w:bookmarkStart w:id="647" w:name="_Toc184310310"/>
      <w:bookmarkEnd w:id="647"/>
      <w:bookmarkStart w:id="648" w:name="_Toc184310329"/>
      <w:bookmarkEnd w:id="648"/>
      <w:bookmarkStart w:id="649" w:name="_Toc184310282"/>
      <w:bookmarkEnd w:id="649"/>
      <w:bookmarkStart w:id="650" w:name="_Toc184314455"/>
      <w:bookmarkEnd w:id="650"/>
      <w:bookmarkStart w:id="651" w:name="_Toc184314429"/>
      <w:bookmarkEnd w:id="651"/>
      <w:bookmarkStart w:id="652" w:name="_Toc184308054"/>
      <w:bookmarkEnd w:id="652"/>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pPr>
        <w:spacing w:line="360" w:lineRule="auto"/>
        <w:rPr>
          <w:rFonts w:ascii="宋体" w:hAnsi="宋体" w:cs="宋体"/>
          <w:b/>
          <w:color w:val="auto"/>
          <w:sz w:val="24"/>
        </w:rPr>
      </w:pPr>
      <w:r>
        <w:rPr>
          <w:rFonts w:hint="eastAsia" w:ascii="宋体" w:hAnsi="宋体" w:cs="宋体"/>
          <w:b/>
          <w:bCs/>
          <w:color w:val="auto"/>
          <w:sz w:val="24"/>
        </w:rPr>
        <w:t>1、商务技术部分（90分）</w:t>
      </w:r>
      <w:r>
        <w:rPr>
          <w:rFonts w:hint="eastAsia" w:ascii="宋体" w:hAnsi="宋体" w:cs="宋体"/>
          <w:color w:val="auto"/>
          <w:sz w:val="24"/>
        </w:rPr>
        <w:t>：</w:t>
      </w:r>
    </w:p>
    <w:tbl>
      <w:tblPr>
        <w:tblStyle w:val="63"/>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00"/>
        <w:gridCol w:w="528"/>
        <w:gridCol w:w="1248"/>
        <w:gridCol w:w="4764"/>
        <w:gridCol w:w="99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4" w:hRule="atLeast"/>
          <w:jc w:val="center"/>
        </w:trPr>
        <w:tc>
          <w:tcPr>
            <w:tcW w:w="900" w:type="dxa"/>
            <w:shd w:val="clear" w:color="auto" w:fill="FFFFFF"/>
            <w:vAlign w:val="center"/>
          </w:tcPr>
          <w:p>
            <w:pPr>
              <w:spacing w:line="400" w:lineRule="exact"/>
              <w:jc w:val="center"/>
              <w:textAlignment w:val="baseline"/>
              <w:rPr>
                <w:rFonts w:ascii="宋体" w:hAnsi="宋体" w:cs="宋体"/>
                <w:b/>
                <w:bCs/>
                <w:color w:val="auto"/>
                <w:sz w:val="24"/>
              </w:rPr>
            </w:pPr>
            <w:r>
              <w:rPr>
                <w:rFonts w:hint="eastAsia" w:ascii="宋体" w:hAnsi="宋体" w:cs="宋体"/>
                <w:b/>
                <w:bCs/>
                <w:color w:val="auto"/>
                <w:sz w:val="24"/>
              </w:rPr>
              <w:t>序号</w:t>
            </w:r>
          </w:p>
        </w:tc>
        <w:tc>
          <w:tcPr>
            <w:tcW w:w="6540" w:type="dxa"/>
            <w:gridSpan w:val="3"/>
            <w:shd w:val="clear" w:color="auto" w:fill="FFFFFF"/>
            <w:vAlign w:val="center"/>
          </w:tcPr>
          <w:p>
            <w:pPr>
              <w:spacing w:line="400" w:lineRule="exact"/>
              <w:jc w:val="center"/>
              <w:textAlignment w:val="baseline"/>
              <w:rPr>
                <w:rFonts w:ascii="宋体" w:hAnsi="宋体" w:cs="宋体"/>
                <w:b/>
                <w:bCs/>
                <w:color w:val="auto"/>
                <w:sz w:val="24"/>
              </w:rPr>
            </w:pPr>
            <w:r>
              <w:rPr>
                <w:rFonts w:hint="eastAsia" w:ascii="宋体" w:hAnsi="宋体" w:cs="宋体"/>
                <w:b/>
                <w:bCs/>
                <w:color w:val="auto"/>
                <w:sz w:val="24"/>
              </w:rPr>
              <w:t>评分内容和标准</w:t>
            </w:r>
          </w:p>
        </w:tc>
        <w:tc>
          <w:tcPr>
            <w:tcW w:w="990" w:type="dxa"/>
            <w:shd w:val="clear" w:color="auto" w:fill="FFFFFF"/>
            <w:vAlign w:val="center"/>
          </w:tcPr>
          <w:p>
            <w:pPr>
              <w:spacing w:line="400" w:lineRule="exact"/>
              <w:jc w:val="center"/>
              <w:textAlignment w:val="baseline"/>
              <w:rPr>
                <w:rFonts w:ascii="宋体" w:hAnsi="宋体" w:cs="宋体"/>
                <w:b/>
                <w:bCs/>
                <w:color w:val="auto"/>
                <w:sz w:val="24"/>
              </w:rPr>
            </w:pPr>
            <w:r>
              <w:rPr>
                <w:rFonts w:hint="eastAsia" w:ascii="宋体" w:hAnsi="宋体" w:cs="宋体"/>
                <w:b/>
                <w:bCs/>
                <w:color w:val="auto"/>
                <w:sz w:val="24"/>
              </w:rPr>
              <w:t>分值</w:t>
            </w:r>
          </w:p>
          <w:p>
            <w:pPr>
              <w:spacing w:line="400" w:lineRule="exact"/>
              <w:jc w:val="center"/>
              <w:textAlignment w:val="baseline"/>
              <w:rPr>
                <w:rFonts w:ascii="宋体" w:hAnsi="宋体" w:cs="宋体"/>
                <w:b/>
                <w:bCs/>
                <w:color w:val="auto"/>
                <w:sz w:val="24"/>
              </w:rPr>
            </w:pPr>
            <w:r>
              <w:rPr>
                <w:rFonts w:hint="eastAsia" w:ascii="宋体" w:hAnsi="宋体" w:cs="宋体"/>
                <w:b/>
                <w:bCs/>
                <w:color w:val="auto"/>
                <w:sz w:val="24"/>
              </w:rPr>
              <w:t>区间</w:t>
            </w:r>
          </w:p>
        </w:tc>
        <w:tc>
          <w:tcPr>
            <w:tcW w:w="940" w:type="dxa"/>
            <w:shd w:val="clear" w:color="auto" w:fill="FFFFFF"/>
            <w:vAlign w:val="center"/>
          </w:tcPr>
          <w:p>
            <w:pPr>
              <w:spacing w:line="400" w:lineRule="exact"/>
              <w:jc w:val="center"/>
              <w:textAlignment w:val="baseline"/>
              <w:rPr>
                <w:rFonts w:ascii="宋体" w:hAnsi="宋体" w:cs="宋体"/>
                <w:b/>
                <w:bCs/>
                <w:color w:val="auto"/>
                <w:sz w:val="24"/>
              </w:rPr>
            </w:pPr>
            <w:r>
              <w:rPr>
                <w:rFonts w:hint="eastAsia" w:ascii="宋体" w:hAnsi="宋体" w:cs="宋体"/>
                <w:b/>
                <w:bCs/>
                <w:color w:val="auto"/>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900" w:type="dxa"/>
            <w:vMerge w:val="restart"/>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商务资信部分（</w:t>
            </w:r>
            <w:r>
              <w:rPr>
                <w:rFonts w:ascii="宋体" w:hAnsi="宋体" w:cs="宋体"/>
                <w:color w:val="auto"/>
                <w:sz w:val="24"/>
              </w:rPr>
              <w:t>14</w:t>
            </w:r>
          </w:p>
          <w:p>
            <w:pPr>
              <w:spacing w:line="400" w:lineRule="exact"/>
              <w:jc w:val="center"/>
              <w:textAlignment w:val="baseline"/>
              <w:rPr>
                <w:rFonts w:ascii="宋体" w:hAnsi="宋体" w:cs="宋体"/>
                <w:color w:val="auto"/>
                <w:sz w:val="24"/>
              </w:rPr>
            </w:pPr>
            <w:r>
              <w:rPr>
                <w:rFonts w:hint="eastAsia" w:ascii="宋体" w:hAnsi="宋体" w:cs="宋体"/>
                <w:color w:val="auto"/>
                <w:sz w:val="24"/>
              </w:rPr>
              <w:t>分）</w:t>
            </w:r>
          </w:p>
        </w:tc>
        <w:tc>
          <w:tcPr>
            <w:tcW w:w="528" w:type="dxa"/>
            <w:shd w:val="clear" w:color="auto" w:fill="FFFFFF"/>
            <w:vAlign w:val="center"/>
          </w:tcPr>
          <w:p>
            <w:pPr>
              <w:spacing w:line="400" w:lineRule="exact"/>
              <w:ind w:left="440" w:hanging="440"/>
              <w:jc w:val="center"/>
              <w:textAlignment w:val="baseline"/>
              <w:rPr>
                <w:rFonts w:ascii="宋体" w:hAnsi="宋体" w:cs="宋体"/>
                <w:color w:val="auto"/>
                <w:lang w:val="zh-CN"/>
              </w:rPr>
            </w:pPr>
            <w:r>
              <w:rPr>
                <w:rFonts w:hint="eastAsia" w:ascii="宋体" w:hAnsi="宋体" w:eastAsia="楷体_GB2312" w:cs="宋体"/>
                <w:color w:val="auto"/>
                <w:sz w:val="24"/>
                <w:lang w:val="zh-CN"/>
              </w:rPr>
              <w:t>1</w:t>
            </w:r>
          </w:p>
        </w:tc>
        <w:tc>
          <w:tcPr>
            <w:tcW w:w="6012" w:type="dxa"/>
            <w:gridSpan w:val="2"/>
            <w:shd w:val="clear" w:color="auto" w:fill="FFFFFF"/>
            <w:vAlign w:val="center"/>
          </w:tcPr>
          <w:p>
            <w:pPr>
              <w:widowControl/>
              <w:spacing w:line="400" w:lineRule="exact"/>
              <w:jc w:val="left"/>
              <w:textAlignment w:val="baseline"/>
              <w:rPr>
                <w:rFonts w:ascii="宋体" w:hAnsi="宋体" w:cs="宋体"/>
                <w:color w:val="auto"/>
                <w:sz w:val="24"/>
                <w:lang w:val="zh-CN"/>
              </w:rPr>
            </w:pPr>
            <w:r>
              <w:rPr>
                <w:rFonts w:hint="eastAsia" w:ascii="宋体" w:hAnsi="宋体" w:cs="宋体"/>
                <w:color w:val="auto"/>
                <w:sz w:val="24"/>
                <w:lang w:val="zh-CN"/>
              </w:rPr>
              <w:t>投标人自20</w:t>
            </w:r>
            <w:r>
              <w:rPr>
                <w:rFonts w:hint="eastAsia" w:ascii="宋体" w:hAnsi="宋体" w:cs="宋体"/>
                <w:color w:val="auto"/>
                <w:sz w:val="24"/>
              </w:rPr>
              <w:t>20</w:t>
            </w:r>
            <w:r>
              <w:rPr>
                <w:rFonts w:hint="eastAsia" w:ascii="宋体" w:hAnsi="宋体" w:cs="宋体"/>
                <w:color w:val="auto"/>
                <w:sz w:val="24"/>
                <w:lang w:val="zh-CN"/>
              </w:rPr>
              <w:t>年1月1日以来具有类似项目</w:t>
            </w:r>
            <w:r>
              <w:rPr>
                <w:rFonts w:hint="eastAsia" w:ascii="宋体" w:hAnsi="宋体" w:cs="宋体"/>
                <w:color w:val="auto"/>
                <w:sz w:val="24"/>
              </w:rPr>
              <w:t>案例</w:t>
            </w:r>
            <w:r>
              <w:rPr>
                <w:rFonts w:hint="eastAsia" w:ascii="宋体" w:hAnsi="宋体" w:cs="宋体"/>
                <w:color w:val="auto"/>
                <w:sz w:val="24"/>
                <w:lang w:val="zh-CN"/>
              </w:rPr>
              <w:t>，每项得0.</w:t>
            </w:r>
            <w:r>
              <w:rPr>
                <w:rFonts w:hint="eastAsia" w:ascii="宋体" w:hAnsi="宋体" w:cs="宋体"/>
                <w:color w:val="auto"/>
                <w:sz w:val="24"/>
              </w:rPr>
              <w:t>5</w:t>
            </w:r>
            <w:r>
              <w:rPr>
                <w:rFonts w:hint="eastAsia" w:ascii="宋体" w:hAnsi="宋体" w:cs="宋体"/>
                <w:color w:val="auto"/>
                <w:sz w:val="24"/>
                <w:lang w:val="zh-CN"/>
              </w:rPr>
              <w:t>分，最高得1分。【投标文件中提供类似合同复印件并加盖公章，未提供的按不得分处理】</w:t>
            </w:r>
          </w:p>
        </w:tc>
        <w:tc>
          <w:tcPr>
            <w:tcW w:w="99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0-1分</w:t>
            </w:r>
          </w:p>
        </w:tc>
        <w:tc>
          <w:tcPr>
            <w:tcW w:w="94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0" w:hRule="atLeast"/>
          <w:jc w:val="center"/>
        </w:trPr>
        <w:tc>
          <w:tcPr>
            <w:tcW w:w="900" w:type="dxa"/>
            <w:vMerge w:val="continue"/>
            <w:shd w:val="clear" w:color="auto" w:fill="FFFFFF"/>
            <w:vAlign w:val="center"/>
          </w:tcPr>
          <w:p>
            <w:pPr>
              <w:spacing w:line="400" w:lineRule="exact"/>
              <w:jc w:val="center"/>
              <w:textAlignment w:val="baseline"/>
              <w:rPr>
                <w:rFonts w:ascii="宋体" w:hAnsi="宋体" w:cs="宋体"/>
                <w:color w:val="auto"/>
                <w:sz w:val="24"/>
              </w:rPr>
            </w:pP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hint="eastAsia" w:ascii="宋体" w:hAnsi="宋体" w:eastAsia="楷体_GB2312" w:cs="宋体"/>
                <w:color w:val="auto"/>
                <w:sz w:val="24"/>
              </w:rPr>
              <w:t>2</w:t>
            </w:r>
          </w:p>
        </w:tc>
        <w:tc>
          <w:tcPr>
            <w:tcW w:w="6012" w:type="dxa"/>
            <w:gridSpan w:val="2"/>
            <w:shd w:val="clear" w:color="auto" w:fill="FFFFFF"/>
            <w:vAlign w:val="center"/>
          </w:tcPr>
          <w:p>
            <w:pPr>
              <w:spacing w:line="400" w:lineRule="exact"/>
              <w:rPr>
                <w:rFonts w:ascii="宋体" w:hAnsi="宋体" w:cs="宋体"/>
                <w:color w:val="auto"/>
                <w:sz w:val="24"/>
              </w:rPr>
            </w:pPr>
            <w:r>
              <w:rPr>
                <w:rFonts w:hint="eastAsia" w:ascii="宋体" w:hAnsi="宋体"/>
                <w:color w:val="auto"/>
                <w:sz w:val="24"/>
              </w:rPr>
              <w:t>投标人具有有效期内的（1）质量管理体系认证；（2）信息技术服务管理体系认证；（3）信息安全管理体系认证；（4）环境管理体系认证；（5）职业健康安全管理体系认证；（6）隐私信息管理体系；（7）知识产权管理体系认证；（以证书认证范围包括“医疗卫生”等关键字为准）。满足1个得1分，满分7分。</w:t>
            </w:r>
            <w:r>
              <w:rPr>
                <w:rFonts w:hint="eastAsia" w:ascii="宋体" w:hAnsi="宋体" w:cs="宋体"/>
                <w:color w:val="auto"/>
                <w:sz w:val="24"/>
                <w:lang w:val="zh-CN"/>
              </w:rPr>
              <w:t>【投标文件中提供证书复印件及全国认证认可信息公共服务平台截图，未提供按不得分处理】</w:t>
            </w:r>
          </w:p>
        </w:tc>
        <w:tc>
          <w:tcPr>
            <w:tcW w:w="99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w:t>
            </w:r>
            <w:r>
              <w:rPr>
                <w:rFonts w:ascii="宋体" w:hAnsi="宋体" w:cs="宋体"/>
                <w:color w:val="auto"/>
                <w:sz w:val="24"/>
              </w:rPr>
              <w:t>-7</w:t>
            </w:r>
            <w:r>
              <w:rPr>
                <w:rFonts w:hint="eastAsia" w:ascii="宋体" w:hAnsi="宋体" w:cs="宋体"/>
                <w:color w:val="auto"/>
                <w:sz w:val="24"/>
              </w:rPr>
              <w:t>分</w:t>
            </w:r>
          </w:p>
        </w:tc>
        <w:tc>
          <w:tcPr>
            <w:tcW w:w="94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6" w:hRule="atLeast"/>
          <w:jc w:val="center"/>
        </w:trPr>
        <w:tc>
          <w:tcPr>
            <w:tcW w:w="900" w:type="dxa"/>
            <w:vMerge w:val="continue"/>
            <w:shd w:val="clear" w:color="auto" w:fill="FFFFFF"/>
            <w:vAlign w:val="center"/>
          </w:tcPr>
          <w:p>
            <w:pPr>
              <w:spacing w:line="400" w:lineRule="exact"/>
              <w:jc w:val="center"/>
              <w:textAlignment w:val="baseline"/>
              <w:rPr>
                <w:rFonts w:ascii="宋体" w:hAnsi="宋体" w:cs="宋体"/>
                <w:color w:val="auto"/>
                <w:sz w:val="24"/>
              </w:rPr>
            </w:pP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hint="eastAsia" w:ascii="宋体" w:hAnsi="宋体" w:eastAsia="楷体_GB2312" w:cs="宋体"/>
                <w:color w:val="auto"/>
                <w:sz w:val="24"/>
              </w:rPr>
              <w:t>3</w:t>
            </w:r>
          </w:p>
        </w:tc>
        <w:tc>
          <w:tcPr>
            <w:tcW w:w="6012" w:type="dxa"/>
            <w:gridSpan w:val="2"/>
            <w:shd w:val="clear" w:color="auto" w:fill="FFFFFF"/>
            <w:vAlign w:val="center"/>
          </w:tcPr>
          <w:p>
            <w:pPr>
              <w:spacing w:line="400" w:lineRule="exact"/>
              <w:rPr>
                <w:rFonts w:ascii="宋体" w:hAnsi="宋体" w:cs="宋体"/>
                <w:color w:val="auto"/>
                <w:sz w:val="24"/>
              </w:rPr>
            </w:pPr>
            <w:r>
              <w:rPr>
                <w:rFonts w:hint="eastAsia" w:ascii="宋体" w:hAnsi="宋体" w:cs="宋体"/>
                <w:color w:val="auto"/>
                <w:sz w:val="24"/>
              </w:rPr>
              <w:t>提供本次项目相关的计算机软件著作权登记证书：</w:t>
            </w:r>
          </w:p>
          <w:p>
            <w:pPr>
              <w:spacing w:line="400" w:lineRule="exac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基层医疗类（著作权软件名称需包含“基层医疗”或“基层医卫”等同义关键词）</w:t>
            </w:r>
          </w:p>
          <w:p>
            <w:pPr>
              <w:spacing w:line="400" w:lineRule="exac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体检类（著作权软件名称需包含“体检系统”或“体检信息系统”等同义关键词）</w:t>
            </w:r>
          </w:p>
          <w:p>
            <w:pPr>
              <w:spacing w:line="400" w:lineRule="exac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信息安全类（著作权软件名称需包含“信息安全”或同义关键词）</w:t>
            </w:r>
          </w:p>
          <w:p>
            <w:pPr>
              <w:spacing w:line="400" w:lineRule="exact"/>
              <w:rPr>
                <w:rFonts w:ascii="宋体" w:hAnsi="宋体" w:cs="宋体"/>
                <w:color w:val="auto"/>
                <w:sz w:val="24"/>
              </w:rPr>
            </w:pPr>
            <w:r>
              <w:rPr>
                <w:rFonts w:hint="eastAsia" w:ascii="宋体" w:hAnsi="宋体" w:cs="宋体"/>
                <w:color w:val="auto"/>
                <w:sz w:val="24"/>
              </w:rPr>
              <w:t>（4）接口类（著作权软件名称需包含“接口”关键词）每提供1个得1分，最高得4分。</w:t>
            </w:r>
          </w:p>
        </w:tc>
        <w:tc>
          <w:tcPr>
            <w:tcW w:w="99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w:t>
            </w:r>
            <w:r>
              <w:rPr>
                <w:rFonts w:ascii="宋体" w:hAnsi="宋体" w:cs="宋体"/>
                <w:color w:val="auto"/>
                <w:sz w:val="24"/>
              </w:rPr>
              <w:t>-4</w:t>
            </w:r>
            <w:r>
              <w:rPr>
                <w:rFonts w:hint="eastAsia" w:ascii="宋体" w:hAnsi="宋体" w:cs="宋体"/>
                <w:color w:val="auto"/>
                <w:sz w:val="24"/>
              </w:rPr>
              <w:t>分</w:t>
            </w:r>
          </w:p>
        </w:tc>
        <w:tc>
          <w:tcPr>
            <w:tcW w:w="94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6" w:hRule="atLeast"/>
          <w:jc w:val="center"/>
        </w:trPr>
        <w:tc>
          <w:tcPr>
            <w:tcW w:w="900" w:type="dxa"/>
            <w:vMerge w:val="restart"/>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技术部分（7</w:t>
            </w:r>
            <w:r>
              <w:rPr>
                <w:rFonts w:ascii="宋体" w:hAnsi="宋体" w:cs="宋体"/>
                <w:color w:val="auto"/>
                <w:sz w:val="24"/>
              </w:rPr>
              <w:t>6</w:t>
            </w:r>
            <w:r>
              <w:rPr>
                <w:rFonts w:hint="eastAsia" w:ascii="宋体" w:hAnsi="宋体" w:cs="宋体"/>
                <w:color w:val="auto"/>
                <w:sz w:val="24"/>
              </w:rPr>
              <w:t>分）</w:t>
            </w: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hint="eastAsia" w:ascii="宋体" w:hAnsi="宋体" w:cs="宋体"/>
                <w:color w:val="auto"/>
              </w:rPr>
              <w:t>4</w:t>
            </w:r>
          </w:p>
        </w:tc>
        <w:tc>
          <w:tcPr>
            <w:tcW w:w="1248" w:type="dxa"/>
            <w:shd w:val="clear" w:color="auto" w:fill="FFFFFF"/>
            <w:vAlign w:val="center"/>
          </w:tcPr>
          <w:p>
            <w:pPr>
              <w:spacing w:line="400" w:lineRule="exact"/>
              <w:jc w:val="center"/>
              <w:rPr>
                <w:rFonts w:ascii="宋体" w:hAnsi="宋体" w:cs="宋体"/>
                <w:color w:val="auto"/>
                <w:sz w:val="24"/>
              </w:rPr>
            </w:pPr>
            <w:r>
              <w:rPr>
                <w:rFonts w:hint="eastAsia" w:ascii="宋体" w:hAnsi="宋体" w:cs="宋体"/>
                <w:color w:val="auto"/>
                <w:sz w:val="24"/>
              </w:rPr>
              <w:t>所投产品功能响应</w:t>
            </w:r>
          </w:p>
        </w:tc>
        <w:tc>
          <w:tcPr>
            <w:tcW w:w="4764" w:type="dxa"/>
            <w:shd w:val="clear" w:color="auto" w:fill="FFFFFF"/>
            <w:vAlign w:val="center"/>
          </w:tcPr>
          <w:p>
            <w:pPr>
              <w:spacing w:line="400" w:lineRule="exact"/>
              <w:rPr>
                <w:rFonts w:ascii="宋体" w:hAnsi="宋体" w:cs="宋体"/>
                <w:color w:val="auto"/>
                <w:sz w:val="24"/>
              </w:rPr>
            </w:pPr>
            <w:r>
              <w:rPr>
                <w:rFonts w:hint="eastAsia" w:ascii="宋体" w:hAnsi="宋体" w:cs="宋体"/>
                <w:color w:val="auto"/>
                <w:sz w:val="24"/>
              </w:rPr>
              <w:t>投标人所提供系统的功能满足招标文件所列的各项需求，完全满足的得20分。如有负偏离，每项扣1分，扣完为止。</w:t>
            </w:r>
          </w:p>
        </w:tc>
        <w:tc>
          <w:tcPr>
            <w:tcW w:w="99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0-20分</w:t>
            </w:r>
          </w:p>
        </w:tc>
        <w:tc>
          <w:tcPr>
            <w:tcW w:w="94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6" w:hRule="atLeast"/>
          <w:jc w:val="center"/>
        </w:trPr>
        <w:tc>
          <w:tcPr>
            <w:tcW w:w="900" w:type="dxa"/>
            <w:vMerge w:val="continue"/>
            <w:shd w:val="clear" w:color="auto" w:fill="FFFFFF"/>
            <w:vAlign w:val="center"/>
          </w:tcPr>
          <w:p>
            <w:pPr>
              <w:spacing w:line="400" w:lineRule="exact"/>
              <w:jc w:val="center"/>
              <w:textAlignment w:val="baseline"/>
              <w:rPr>
                <w:rFonts w:ascii="宋体" w:hAnsi="宋体" w:cs="宋体"/>
                <w:color w:val="auto"/>
                <w:sz w:val="24"/>
              </w:rPr>
            </w:pP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hint="eastAsia" w:ascii="宋体" w:hAnsi="宋体" w:cs="宋体"/>
                <w:color w:val="auto"/>
              </w:rPr>
              <w:t>5</w:t>
            </w:r>
          </w:p>
        </w:tc>
        <w:tc>
          <w:tcPr>
            <w:tcW w:w="1248" w:type="dxa"/>
            <w:shd w:val="clear" w:color="auto" w:fill="FFFFFF"/>
            <w:vAlign w:val="center"/>
          </w:tcPr>
          <w:p>
            <w:pPr>
              <w:snapToGrid w:val="0"/>
              <w:spacing w:line="400" w:lineRule="exact"/>
              <w:jc w:val="center"/>
              <w:textAlignment w:val="baseline"/>
              <w:rPr>
                <w:rFonts w:ascii="宋体" w:hAnsi="宋体" w:cs="宋体"/>
                <w:color w:val="auto"/>
                <w:sz w:val="24"/>
              </w:rPr>
            </w:pPr>
            <w:r>
              <w:rPr>
                <w:rFonts w:hint="eastAsia" w:ascii="宋体" w:hAnsi="宋体" w:cs="宋体"/>
                <w:color w:val="auto"/>
                <w:sz w:val="24"/>
              </w:rPr>
              <w:t>系统总体设计方案</w:t>
            </w:r>
          </w:p>
        </w:tc>
        <w:tc>
          <w:tcPr>
            <w:tcW w:w="4764" w:type="dxa"/>
            <w:shd w:val="clear" w:color="auto" w:fill="FFFFFF"/>
            <w:vAlign w:val="center"/>
          </w:tcPr>
          <w:p>
            <w:pPr>
              <w:spacing w:line="400" w:lineRule="exact"/>
              <w:rPr>
                <w:rFonts w:ascii="宋体" w:hAnsi="宋体" w:cs="宋体"/>
                <w:color w:val="auto"/>
                <w:sz w:val="24"/>
              </w:rPr>
            </w:pPr>
            <w:r>
              <w:rPr>
                <w:rFonts w:hint="eastAsia" w:ascii="宋体" w:hAnsi="宋体" w:cs="宋体"/>
                <w:color w:val="auto"/>
                <w:sz w:val="24"/>
              </w:rPr>
              <w:t>投标人在针对本项目进行充分调研的基础上，能总结投标人卫生信息化现状，提出符合投标人实际应用需求的整体解决方案，方案设计具有一定的标准性、技术先进性、适用性、可扩展性和安全性。评委根据投标方案进行打分。</w:t>
            </w:r>
          </w:p>
          <w:p>
            <w:pPr>
              <w:spacing w:line="400" w:lineRule="exact"/>
              <w:rPr>
                <w:rFonts w:ascii="宋体" w:hAnsi="宋体" w:cs="宋体"/>
                <w:color w:val="auto"/>
                <w:sz w:val="24"/>
              </w:rPr>
            </w:pPr>
            <w:r>
              <w:rPr>
                <w:rFonts w:hint="eastAsia" w:ascii="宋体" w:hAnsi="宋体" w:cs="宋体"/>
                <w:color w:val="auto"/>
                <w:sz w:val="24"/>
              </w:rPr>
              <w:t>根据对项目理解深刻程度、总体设计先进程度、方案可行性等进行评分项目现状了解程度深入透彻的得</w:t>
            </w:r>
            <w:r>
              <w:rPr>
                <w:rFonts w:ascii="宋体" w:hAnsi="宋体" w:cs="宋体"/>
                <w:color w:val="auto"/>
                <w:sz w:val="24"/>
              </w:rPr>
              <w:t>4</w:t>
            </w:r>
            <w:r>
              <w:rPr>
                <w:rFonts w:hint="eastAsia" w:ascii="宋体" w:hAnsi="宋体" w:cs="宋体"/>
                <w:color w:val="auto"/>
                <w:sz w:val="24"/>
              </w:rPr>
              <w:t>分；项目现状了解程度有欠缺的得2</w:t>
            </w:r>
            <w:r>
              <w:rPr>
                <w:rFonts w:ascii="宋体" w:hAnsi="宋体" w:cs="宋体"/>
                <w:color w:val="auto"/>
                <w:sz w:val="24"/>
              </w:rPr>
              <w:t>-</w:t>
            </w:r>
            <w:r>
              <w:rPr>
                <w:rFonts w:hint="eastAsia" w:ascii="宋体" w:hAnsi="宋体" w:cs="宋体"/>
                <w:color w:val="auto"/>
                <w:sz w:val="24"/>
              </w:rPr>
              <w:t>3分；项目现状了解程度不足的得1分。不提供或未涉及该项内容不得分。</w:t>
            </w:r>
          </w:p>
        </w:tc>
        <w:tc>
          <w:tcPr>
            <w:tcW w:w="990" w:type="dxa"/>
            <w:shd w:val="clear" w:color="auto" w:fill="FFFFFF"/>
            <w:vAlign w:val="center"/>
          </w:tcPr>
          <w:p>
            <w:pPr>
              <w:widowControl/>
              <w:spacing w:line="400" w:lineRule="exact"/>
              <w:jc w:val="center"/>
              <w:rPr>
                <w:rFonts w:ascii="宋体" w:hAnsi="宋体" w:cs="宋体"/>
                <w:color w:val="auto"/>
                <w:sz w:val="24"/>
              </w:rPr>
            </w:pPr>
            <w:r>
              <w:rPr>
                <w:rFonts w:ascii="宋体" w:hAnsi="宋体" w:cs="宋体"/>
                <w:color w:val="auto"/>
                <w:kern w:val="0"/>
                <w:sz w:val="24"/>
              </w:rPr>
              <w:t>0-4</w:t>
            </w:r>
            <w:r>
              <w:rPr>
                <w:rFonts w:hint="eastAsia" w:ascii="宋体" w:hAnsi="宋体" w:cs="宋体"/>
                <w:color w:val="auto"/>
                <w:kern w:val="0"/>
                <w:sz w:val="24"/>
              </w:rPr>
              <w:t>分</w:t>
            </w:r>
          </w:p>
        </w:tc>
        <w:tc>
          <w:tcPr>
            <w:tcW w:w="940" w:type="dxa"/>
            <w:shd w:val="clear" w:color="auto" w:fill="FFFFFF"/>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6" w:hRule="atLeast"/>
          <w:jc w:val="center"/>
        </w:trPr>
        <w:tc>
          <w:tcPr>
            <w:tcW w:w="900" w:type="dxa"/>
            <w:vMerge w:val="continue"/>
            <w:shd w:val="clear" w:color="auto" w:fill="FFFFFF"/>
            <w:vAlign w:val="center"/>
          </w:tcPr>
          <w:p>
            <w:pPr>
              <w:spacing w:line="400" w:lineRule="exact"/>
              <w:jc w:val="center"/>
              <w:textAlignment w:val="baseline"/>
              <w:rPr>
                <w:rFonts w:ascii="宋体" w:hAnsi="宋体" w:cs="宋体"/>
                <w:color w:val="auto"/>
                <w:sz w:val="24"/>
              </w:rPr>
            </w:pP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hint="eastAsia" w:ascii="宋体" w:hAnsi="宋体" w:cs="宋体"/>
                <w:color w:val="auto"/>
              </w:rPr>
              <w:t>6</w:t>
            </w:r>
          </w:p>
        </w:tc>
        <w:tc>
          <w:tcPr>
            <w:tcW w:w="1248" w:type="dxa"/>
            <w:shd w:val="clear" w:color="auto" w:fill="FFFFFF"/>
            <w:vAlign w:val="center"/>
          </w:tcPr>
          <w:p>
            <w:pPr>
              <w:snapToGrid w:val="0"/>
              <w:spacing w:line="400" w:lineRule="exact"/>
              <w:jc w:val="center"/>
              <w:textAlignment w:val="baseline"/>
              <w:rPr>
                <w:rFonts w:ascii="宋体" w:hAnsi="宋体" w:cs="宋体"/>
                <w:color w:val="auto"/>
                <w:sz w:val="24"/>
              </w:rPr>
            </w:pPr>
            <w:r>
              <w:rPr>
                <w:rFonts w:hint="eastAsia" w:ascii="宋体" w:hAnsi="宋体"/>
                <w:color w:val="auto"/>
              </w:rPr>
              <w:t>项目实施方案</w:t>
            </w:r>
          </w:p>
        </w:tc>
        <w:tc>
          <w:tcPr>
            <w:tcW w:w="4764" w:type="dxa"/>
            <w:shd w:val="clear" w:color="auto" w:fill="FFFFFF"/>
            <w:vAlign w:val="center"/>
          </w:tcPr>
          <w:p>
            <w:pPr>
              <w:spacing w:line="400" w:lineRule="exact"/>
              <w:rPr>
                <w:rFonts w:ascii="宋体" w:hAnsi="宋体" w:cs="宋体"/>
                <w:color w:val="auto"/>
                <w:sz w:val="24"/>
              </w:rPr>
            </w:pPr>
            <w:r>
              <w:rPr>
                <w:rFonts w:hint="eastAsia" w:ascii="宋体" w:hAnsi="宋体" w:cs="宋体"/>
                <w:color w:val="auto"/>
                <w:sz w:val="24"/>
              </w:rPr>
              <w:t>投标人制定的项目实施计划切实可行，项目组织管理科学，提供质量保障方案，能够根据项目建设实际需要合理安排项目建设进度和周期计划。评委根据投标方案阐述进行综合打分。</w:t>
            </w:r>
          </w:p>
          <w:p>
            <w:pPr>
              <w:spacing w:line="400" w:lineRule="exact"/>
              <w:rPr>
                <w:rFonts w:ascii="宋体" w:hAnsi="宋体" w:cs="宋体"/>
                <w:color w:val="auto"/>
                <w:sz w:val="24"/>
              </w:rPr>
            </w:pPr>
            <w:r>
              <w:rPr>
                <w:rFonts w:hint="eastAsia" w:ascii="宋体" w:hAnsi="宋体" w:cs="宋体"/>
                <w:color w:val="auto"/>
                <w:sz w:val="24"/>
              </w:rPr>
              <w:t>项目实施标准规范，建设周期安排合理，整体方案科学具有实际操作性得5分；</w:t>
            </w:r>
          </w:p>
          <w:p>
            <w:pPr>
              <w:spacing w:line="400" w:lineRule="exact"/>
              <w:rPr>
                <w:rFonts w:ascii="宋体" w:hAnsi="宋体" w:cs="宋体"/>
                <w:color w:val="auto"/>
                <w:sz w:val="24"/>
              </w:rPr>
            </w:pPr>
            <w:r>
              <w:rPr>
                <w:rFonts w:hint="eastAsia" w:ascii="宋体" w:hAnsi="宋体" w:cs="宋体"/>
                <w:color w:val="auto"/>
                <w:sz w:val="24"/>
              </w:rPr>
              <w:t>项目实施符合规范，建设进度计划基本可行，整体方案基本合理，可操作性一般得3分；</w:t>
            </w:r>
          </w:p>
          <w:p>
            <w:pPr>
              <w:spacing w:line="400" w:lineRule="exact"/>
              <w:rPr>
                <w:rFonts w:ascii="宋体" w:hAnsi="宋体" w:cs="宋体"/>
                <w:color w:val="auto"/>
                <w:sz w:val="24"/>
              </w:rPr>
            </w:pPr>
            <w:r>
              <w:rPr>
                <w:rFonts w:hint="eastAsia" w:ascii="宋体" w:hAnsi="宋体" w:cs="宋体"/>
                <w:color w:val="auto"/>
                <w:sz w:val="24"/>
              </w:rPr>
              <w:t>项目实施基本规范，工期进度安排理论可行，整体方案较为理论化，可操作性较差得1分；</w:t>
            </w:r>
          </w:p>
          <w:p>
            <w:pPr>
              <w:spacing w:line="400" w:lineRule="exact"/>
              <w:rPr>
                <w:rFonts w:ascii="宋体" w:hAnsi="宋体" w:cs="宋体"/>
                <w:color w:val="auto"/>
                <w:sz w:val="24"/>
              </w:rPr>
            </w:pPr>
            <w:r>
              <w:rPr>
                <w:rFonts w:hint="eastAsia" w:ascii="宋体" w:hAnsi="宋体" w:cs="宋体"/>
                <w:color w:val="auto"/>
                <w:sz w:val="24"/>
              </w:rPr>
              <w:t>项目实施不规范，工期进度安排不可行，整体方案不够科学，不具备可操作性或未提供按不得分处理。</w:t>
            </w:r>
          </w:p>
        </w:tc>
        <w:tc>
          <w:tcPr>
            <w:tcW w:w="990" w:type="dxa"/>
            <w:shd w:val="clear" w:color="auto" w:fill="FFFFFF"/>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0</w:t>
            </w:r>
            <w:r>
              <w:rPr>
                <w:rFonts w:ascii="宋体" w:hAnsi="宋体" w:cs="宋体"/>
                <w:color w:val="auto"/>
                <w:kern w:val="0"/>
                <w:sz w:val="24"/>
              </w:rPr>
              <w:t>-5</w:t>
            </w:r>
            <w:r>
              <w:rPr>
                <w:rFonts w:hint="eastAsia" w:ascii="宋体" w:hAnsi="宋体" w:cs="宋体"/>
                <w:color w:val="auto"/>
                <w:kern w:val="0"/>
                <w:sz w:val="24"/>
              </w:rPr>
              <w:t>分</w:t>
            </w:r>
          </w:p>
        </w:tc>
        <w:tc>
          <w:tcPr>
            <w:tcW w:w="940" w:type="dxa"/>
            <w:shd w:val="clear" w:color="auto" w:fill="FFFFFF"/>
            <w:vAlign w:val="center"/>
          </w:tcPr>
          <w:p>
            <w:pPr>
              <w:widowControl/>
              <w:spacing w:line="40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00" w:type="dxa"/>
            <w:vMerge w:val="continue"/>
            <w:shd w:val="clear" w:color="auto" w:fill="FFFFFF"/>
            <w:vAlign w:val="center"/>
          </w:tcPr>
          <w:p>
            <w:pPr>
              <w:spacing w:line="400" w:lineRule="exact"/>
              <w:jc w:val="center"/>
              <w:textAlignment w:val="baseline"/>
              <w:rPr>
                <w:rFonts w:ascii="宋体" w:hAnsi="宋体" w:cs="宋体"/>
                <w:color w:val="auto"/>
                <w:sz w:val="24"/>
              </w:rPr>
            </w:pP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ascii="宋体" w:hAnsi="宋体" w:eastAsia="楷体_GB2312" w:cs="宋体"/>
                <w:color w:val="auto"/>
                <w:sz w:val="24"/>
              </w:rPr>
              <w:t>7</w:t>
            </w:r>
          </w:p>
        </w:tc>
        <w:tc>
          <w:tcPr>
            <w:tcW w:w="1248" w:type="dxa"/>
            <w:shd w:val="clear" w:color="auto" w:fill="FFFFFF"/>
            <w:vAlign w:val="center"/>
          </w:tcPr>
          <w:p>
            <w:pPr>
              <w:spacing w:line="400" w:lineRule="exact"/>
              <w:jc w:val="center"/>
              <w:rPr>
                <w:rFonts w:ascii="宋体" w:hAnsi="宋体" w:cs="宋体"/>
                <w:color w:val="auto"/>
                <w:sz w:val="24"/>
              </w:rPr>
            </w:pPr>
            <w:r>
              <w:rPr>
                <w:rFonts w:hint="eastAsia" w:ascii="宋体" w:hAnsi="宋体" w:cs="宋体"/>
                <w:color w:val="auto"/>
                <w:sz w:val="24"/>
              </w:rPr>
              <w:t>项目负</w:t>
            </w:r>
          </w:p>
          <w:p>
            <w:pPr>
              <w:spacing w:line="400" w:lineRule="exact"/>
              <w:jc w:val="center"/>
              <w:rPr>
                <w:rFonts w:ascii="宋体" w:hAnsi="宋体" w:cs="宋体"/>
                <w:color w:val="auto"/>
                <w:sz w:val="24"/>
              </w:rPr>
            </w:pPr>
            <w:r>
              <w:rPr>
                <w:rFonts w:hint="eastAsia" w:ascii="宋体" w:hAnsi="宋体" w:cs="宋体"/>
                <w:color w:val="auto"/>
                <w:sz w:val="24"/>
              </w:rPr>
              <w:t>责人</w:t>
            </w:r>
          </w:p>
        </w:tc>
        <w:tc>
          <w:tcPr>
            <w:tcW w:w="4764" w:type="dxa"/>
            <w:shd w:val="clear" w:color="auto" w:fill="FFFFFF"/>
            <w:vAlign w:val="center"/>
          </w:tcPr>
          <w:p>
            <w:pPr>
              <w:spacing w:line="400" w:lineRule="exact"/>
              <w:rPr>
                <w:rFonts w:ascii="宋体" w:hAnsi="宋体" w:cs="宋体"/>
                <w:color w:val="auto"/>
                <w:sz w:val="24"/>
              </w:rPr>
            </w:pPr>
            <w:r>
              <w:rPr>
                <w:rFonts w:hint="eastAsia" w:ascii="宋体" w:hAnsi="宋体" w:cs="宋体"/>
                <w:color w:val="auto"/>
                <w:sz w:val="24"/>
              </w:rPr>
              <w:t>投标人拟派的项目经理具有以下条件：</w:t>
            </w:r>
          </w:p>
          <w:p>
            <w:pPr>
              <w:spacing w:line="400" w:lineRule="exact"/>
              <w:rPr>
                <w:rFonts w:ascii="宋体" w:hAnsi="宋体" w:cs="宋体"/>
                <w:color w:val="auto"/>
                <w:sz w:val="24"/>
              </w:rPr>
            </w:pPr>
            <w:r>
              <w:rPr>
                <w:rFonts w:hint="eastAsia" w:ascii="宋体" w:hAnsi="宋体" w:cs="宋体"/>
                <w:color w:val="auto"/>
                <w:sz w:val="24"/>
              </w:rPr>
              <w:t>①具有信息技术或技术开发类专业的高级工程师证书得1分，未提供证书不得分；</w:t>
            </w:r>
          </w:p>
          <w:p>
            <w:pPr>
              <w:spacing w:line="400" w:lineRule="exact"/>
              <w:rPr>
                <w:rFonts w:ascii="宋体" w:hAnsi="宋体" w:cs="宋体"/>
                <w:color w:val="auto"/>
                <w:sz w:val="24"/>
              </w:rPr>
            </w:pPr>
            <w:r>
              <w:rPr>
                <w:rFonts w:hint="eastAsia" w:ascii="宋体" w:hAnsi="宋体" w:cs="宋体"/>
                <w:color w:val="auto"/>
                <w:sz w:val="24"/>
              </w:rPr>
              <w:t>②具有信息系统项目管理师证书得1分，未提供证书不得分；</w:t>
            </w:r>
          </w:p>
          <w:p>
            <w:pPr>
              <w:spacing w:line="400" w:lineRule="exact"/>
              <w:rPr>
                <w:rFonts w:ascii="宋体" w:hAnsi="宋体" w:cs="宋体"/>
                <w:color w:val="auto"/>
                <w:sz w:val="24"/>
              </w:rPr>
            </w:pPr>
            <w:r>
              <w:rPr>
                <w:rFonts w:hint="eastAsia" w:ascii="宋体" w:hAnsi="宋体" w:cs="宋体"/>
                <w:color w:val="auto"/>
                <w:sz w:val="24"/>
              </w:rPr>
              <w:t>③具有医疗卫生信息化项目的项目经理经验得1分，未提供用户证明不得分。</w:t>
            </w:r>
          </w:p>
          <w:p>
            <w:pPr>
              <w:spacing w:line="400" w:lineRule="exact"/>
              <w:rPr>
                <w:rFonts w:ascii="宋体" w:hAnsi="宋体" w:cs="宋体"/>
                <w:color w:val="auto"/>
                <w:sz w:val="24"/>
              </w:rPr>
            </w:pPr>
            <w:r>
              <w:rPr>
                <w:rFonts w:hint="eastAsia" w:ascii="宋体" w:hAnsi="宋体" w:cs="宋体"/>
                <w:color w:val="auto"/>
                <w:sz w:val="24"/>
              </w:rPr>
              <w:t>（提供人员证书、用户证明、投标人为其缴纳的投标截止时间前6个月内任意一个月的社保证明材料复印件，否则不得分。）</w:t>
            </w:r>
          </w:p>
        </w:tc>
        <w:tc>
          <w:tcPr>
            <w:tcW w:w="99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w:t>
            </w:r>
            <w:r>
              <w:rPr>
                <w:rFonts w:ascii="宋体" w:hAnsi="宋体" w:cs="宋体"/>
                <w:color w:val="auto"/>
                <w:sz w:val="24"/>
              </w:rPr>
              <w:t>3</w:t>
            </w:r>
            <w:r>
              <w:rPr>
                <w:rFonts w:hint="eastAsia" w:ascii="宋体" w:hAnsi="宋体" w:cs="宋体"/>
                <w:color w:val="auto"/>
                <w:sz w:val="24"/>
              </w:rPr>
              <w:t>分</w:t>
            </w:r>
          </w:p>
        </w:tc>
        <w:tc>
          <w:tcPr>
            <w:tcW w:w="94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00" w:type="dxa"/>
            <w:vMerge w:val="continue"/>
            <w:shd w:val="clear" w:color="auto" w:fill="FFFFFF"/>
            <w:vAlign w:val="center"/>
          </w:tcPr>
          <w:p>
            <w:pPr>
              <w:spacing w:line="400" w:lineRule="exact"/>
              <w:jc w:val="center"/>
              <w:textAlignment w:val="baseline"/>
              <w:rPr>
                <w:rFonts w:ascii="宋体" w:hAnsi="宋体" w:cs="宋体"/>
                <w:color w:val="auto"/>
                <w:sz w:val="24"/>
              </w:rPr>
            </w:pP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ascii="宋体" w:hAnsi="宋体" w:eastAsia="楷体_GB2312" w:cs="宋体"/>
                <w:color w:val="auto"/>
                <w:sz w:val="24"/>
              </w:rPr>
              <w:t>8</w:t>
            </w:r>
          </w:p>
        </w:tc>
        <w:tc>
          <w:tcPr>
            <w:tcW w:w="1248" w:type="dxa"/>
            <w:shd w:val="clear" w:color="auto" w:fill="FFFFFF"/>
            <w:vAlign w:val="center"/>
          </w:tcPr>
          <w:p>
            <w:pPr>
              <w:spacing w:line="400" w:lineRule="exact"/>
              <w:jc w:val="center"/>
              <w:rPr>
                <w:rFonts w:ascii="宋体" w:hAnsi="宋体" w:cs="宋体"/>
                <w:color w:val="auto"/>
                <w:sz w:val="24"/>
              </w:rPr>
            </w:pPr>
            <w:r>
              <w:rPr>
                <w:rFonts w:hint="eastAsia" w:ascii="宋体" w:hAnsi="宋体"/>
                <w:color w:val="auto"/>
                <w:sz w:val="24"/>
              </w:rPr>
              <w:t>项目实施小组</w:t>
            </w:r>
          </w:p>
        </w:tc>
        <w:tc>
          <w:tcPr>
            <w:tcW w:w="4764" w:type="dxa"/>
            <w:shd w:val="clear" w:color="auto" w:fill="FFFFFF"/>
            <w:vAlign w:val="center"/>
          </w:tcPr>
          <w:p>
            <w:pPr>
              <w:contextualSpacing/>
              <w:rPr>
                <w:rFonts w:ascii="宋体" w:hAnsi="宋体"/>
                <w:color w:val="auto"/>
                <w:sz w:val="24"/>
              </w:rPr>
            </w:pPr>
            <w:r>
              <w:rPr>
                <w:rFonts w:hint="eastAsia" w:ascii="宋体" w:hAnsi="宋体"/>
                <w:color w:val="auto"/>
                <w:sz w:val="24"/>
              </w:rPr>
              <w:t>项目实施团队人员结构合理，团队核心成员中具有以下认证证书：</w:t>
            </w:r>
          </w:p>
          <w:p>
            <w:pPr>
              <w:contextualSpacing/>
              <w:rPr>
                <w:rFonts w:ascii="宋体" w:hAnsi="宋体"/>
                <w:color w:val="auto"/>
                <w:sz w:val="24"/>
              </w:rPr>
            </w:pPr>
            <w:r>
              <w:rPr>
                <w:rFonts w:hint="eastAsia" w:ascii="宋体" w:hAnsi="宋体"/>
                <w:color w:val="auto"/>
                <w:sz w:val="24"/>
              </w:rPr>
              <w:t>具有系统分析师证书，每提供一个证书得0.5分，最多得1分；</w:t>
            </w:r>
          </w:p>
          <w:p>
            <w:pPr>
              <w:contextualSpacing/>
              <w:rPr>
                <w:rFonts w:ascii="宋体" w:hAnsi="宋体"/>
                <w:color w:val="auto"/>
                <w:sz w:val="24"/>
              </w:rPr>
            </w:pPr>
            <w:r>
              <w:rPr>
                <w:rFonts w:hint="eastAsia" w:ascii="宋体" w:hAnsi="宋体"/>
                <w:color w:val="auto"/>
                <w:sz w:val="24"/>
              </w:rPr>
              <w:t>具有系统架构设计师证书，每提供一个证书得1分，最多得1分；</w:t>
            </w:r>
          </w:p>
          <w:p>
            <w:pPr>
              <w:contextualSpacing/>
              <w:rPr>
                <w:rFonts w:ascii="宋体" w:hAnsi="宋体"/>
                <w:color w:val="auto"/>
                <w:sz w:val="24"/>
              </w:rPr>
            </w:pPr>
            <w:r>
              <w:rPr>
                <w:rFonts w:hint="eastAsia" w:ascii="宋体" w:hAnsi="宋体"/>
                <w:color w:val="auto"/>
                <w:sz w:val="24"/>
              </w:rPr>
              <w:t>具有软件设计师证书、软件评测师证书、数据库系统工程师证书，每提供一个证书得0.5分，最多得3分。</w:t>
            </w:r>
          </w:p>
          <w:p>
            <w:pPr>
              <w:contextualSpacing/>
              <w:rPr>
                <w:rFonts w:ascii="宋体" w:hAnsi="宋体"/>
                <w:color w:val="auto"/>
                <w:sz w:val="24"/>
              </w:rPr>
            </w:pPr>
            <w:r>
              <w:rPr>
                <w:rFonts w:hint="eastAsia" w:ascii="宋体" w:hAnsi="宋体"/>
                <w:color w:val="auto"/>
                <w:sz w:val="24"/>
              </w:rPr>
              <w:t>具有网络工程师证书、系统集成项目管理工程师证书，每提供一个证书得0.5分，最多得1分。</w:t>
            </w:r>
          </w:p>
          <w:p>
            <w:pPr>
              <w:spacing w:line="400" w:lineRule="exact"/>
              <w:rPr>
                <w:rFonts w:ascii="宋体" w:hAnsi="宋体" w:cs="宋体"/>
                <w:color w:val="auto"/>
                <w:sz w:val="24"/>
              </w:rPr>
            </w:pPr>
            <w:r>
              <w:rPr>
                <w:rFonts w:hint="eastAsia" w:ascii="宋体" w:hAnsi="宋体"/>
                <w:color w:val="auto"/>
                <w:sz w:val="24"/>
              </w:rPr>
              <w:t>提供人员证书、投标人为其缴纳的投标截止时间前6个月内任意一个月的社保证明材料复印件，否则不得分。证书持有者应为不同人员，一人多证的仅按一证计分。</w:t>
            </w:r>
          </w:p>
        </w:tc>
        <w:tc>
          <w:tcPr>
            <w:tcW w:w="99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w:t>
            </w:r>
            <w:r>
              <w:rPr>
                <w:rFonts w:ascii="宋体" w:hAnsi="宋体" w:cs="宋体"/>
                <w:color w:val="auto"/>
                <w:sz w:val="24"/>
              </w:rPr>
              <w:t>-6</w:t>
            </w:r>
            <w:r>
              <w:rPr>
                <w:rFonts w:hint="eastAsia" w:ascii="宋体" w:hAnsi="宋体" w:cs="宋体"/>
                <w:color w:val="auto"/>
                <w:sz w:val="24"/>
              </w:rPr>
              <w:t>分</w:t>
            </w:r>
          </w:p>
        </w:tc>
        <w:tc>
          <w:tcPr>
            <w:tcW w:w="940" w:type="dxa"/>
            <w:shd w:val="clear" w:color="auto" w:fill="FFFFFF"/>
            <w:vAlign w:val="center"/>
          </w:tcPr>
          <w:p>
            <w:pPr>
              <w:spacing w:line="400" w:lineRule="exact"/>
              <w:jc w:val="center"/>
              <w:textAlignment w:val="baseline"/>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900" w:type="dxa"/>
            <w:vMerge w:val="continue"/>
            <w:shd w:val="clear" w:color="auto" w:fill="FFFFFF"/>
            <w:vAlign w:val="center"/>
          </w:tcPr>
          <w:p>
            <w:pPr>
              <w:spacing w:line="400" w:lineRule="exact"/>
              <w:jc w:val="center"/>
              <w:textAlignment w:val="baseline"/>
              <w:rPr>
                <w:rFonts w:ascii="宋体" w:hAnsi="宋体" w:cs="宋体"/>
                <w:color w:val="auto"/>
                <w:sz w:val="24"/>
              </w:rPr>
            </w:pP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ascii="宋体" w:hAnsi="宋体" w:eastAsia="楷体_GB2312" w:cs="宋体"/>
                <w:color w:val="auto"/>
                <w:sz w:val="24"/>
              </w:rPr>
              <w:t>9</w:t>
            </w:r>
          </w:p>
        </w:tc>
        <w:tc>
          <w:tcPr>
            <w:tcW w:w="1248" w:type="dxa"/>
            <w:shd w:val="clear" w:color="auto" w:fill="FFFFFF"/>
            <w:vAlign w:val="center"/>
          </w:tcPr>
          <w:p>
            <w:pPr>
              <w:snapToGrid w:val="0"/>
              <w:spacing w:line="400" w:lineRule="exact"/>
              <w:jc w:val="center"/>
              <w:textAlignment w:val="baseline"/>
              <w:rPr>
                <w:rFonts w:ascii="宋体" w:hAnsi="宋体" w:cs="宋体"/>
                <w:color w:val="auto"/>
                <w:sz w:val="24"/>
              </w:rPr>
            </w:pPr>
            <w:r>
              <w:rPr>
                <w:rFonts w:hint="eastAsia" w:ascii="宋体" w:hAnsi="宋体"/>
                <w:color w:val="auto"/>
              </w:rPr>
              <w:t>售后服务方案</w:t>
            </w:r>
          </w:p>
        </w:tc>
        <w:tc>
          <w:tcPr>
            <w:tcW w:w="4764" w:type="dxa"/>
            <w:shd w:val="clear" w:color="auto" w:fill="FFFFFF"/>
            <w:vAlign w:val="center"/>
          </w:tcPr>
          <w:p>
            <w:pPr>
              <w:widowControl/>
              <w:spacing w:line="400" w:lineRule="exact"/>
              <w:jc w:val="left"/>
              <w:textAlignment w:val="baseline"/>
              <w:rPr>
                <w:rFonts w:ascii="宋体" w:hAnsi="宋体" w:cs="宋体"/>
                <w:color w:val="auto"/>
                <w:sz w:val="24"/>
              </w:rPr>
            </w:pPr>
            <w:r>
              <w:rPr>
                <w:rFonts w:hint="eastAsia" w:ascii="宋体" w:hAnsi="宋体" w:cs="宋体"/>
                <w:color w:val="auto"/>
                <w:sz w:val="24"/>
              </w:rPr>
              <w:t>投标人具有稳定可靠的售后服务方案，评委根据投标方案阐述进行综合打分。方案完整且科学合理可行性强的得5分；方案完整基本可行的得3分；方案完整性科学性可行性明显不足的得1分；不提供或未涉及该项内容不得分。</w:t>
            </w:r>
          </w:p>
        </w:tc>
        <w:tc>
          <w:tcPr>
            <w:tcW w:w="99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w:t>
            </w:r>
            <w:r>
              <w:rPr>
                <w:rFonts w:ascii="宋体" w:hAnsi="宋体" w:cs="宋体"/>
                <w:color w:val="auto"/>
                <w:sz w:val="24"/>
              </w:rPr>
              <w:t>5</w:t>
            </w:r>
            <w:r>
              <w:rPr>
                <w:rFonts w:hint="eastAsia" w:ascii="宋体" w:hAnsi="宋体" w:cs="宋体"/>
                <w:color w:val="auto"/>
                <w:sz w:val="24"/>
              </w:rPr>
              <w:t>分</w:t>
            </w:r>
          </w:p>
        </w:tc>
        <w:tc>
          <w:tcPr>
            <w:tcW w:w="940" w:type="dxa"/>
            <w:shd w:val="clear" w:color="auto" w:fill="FFFFFF"/>
            <w:vAlign w:val="center"/>
          </w:tcPr>
          <w:p>
            <w:pPr>
              <w:spacing w:line="400" w:lineRule="exact"/>
              <w:jc w:val="center"/>
              <w:textAlignment w:val="baseline"/>
              <w:rPr>
                <w:rFonts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00" w:type="dxa"/>
            <w:vMerge w:val="continue"/>
            <w:shd w:val="clear" w:color="auto" w:fill="FFFFFF"/>
            <w:vAlign w:val="center"/>
          </w:tcPr>
          <w:p>
            <w:pPr>
              <w:spacing w:line="400" w:lineRule="exact"/>
              <w:jc w:val="center"/>
              <w:textAlignment w:val="baseline"/>
              <w:rPr>
                <w:rFonts w:ascii="宋体" w:hAnsi="宋体" w:cs="宋体"/>
                <w:color w:val="auto"/>
                <w:sz w:val="24"/>
              </w:rPr>
            </w:pP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hint="eastAsia" w:ascii="宋体" w:hAnsi="宋体" w:eastAsia="楷体_GB2312" w:cs="宋体"/>
                <w:color w:val="auto"/>
                <w:sz w:val="24"/>
              </w:rPr>
              <w:t>1</w:t>
            </w:r>
            <w:r>
              <w:rPr>
                <w:rFonts w:ascii="宋体" w:hAnsi="宋体" w:eastAsia="楷体_GB2312" w:cs="宋体"/>
                <w:color w:val="auto"/>
                <w:sz w:val="24"/>
              </w:rPr>
              <w:t>0</w:t>
            </w:r>
          </w:p>
        </w:tc>
        <w:tc>
          <w:tcPr>
            <w:tcW w:w="1248" w:type="dxa"/>
            <w:shd w:val="clear" w:color="auto" w:fill="FFFFFF"/>
            <w:vAlign w:val="center"/>
          </w:tcPr>
          <w:p>
            <w:pPr>
              <w:widowControl/>
              <w:spacing w:line="400" w:lineRule="exact"/>
              <w:jc w:val="center"/>
              <w:textAlignment w:val="baseline"/>
              <w:rPr>
                <w:rFonts w:ascii="宋体" w:hAnsi="宋体" w:cs="宋体"/>
                <w:color w:val="auto"/>
                <w:sz w:val="24"/>
              </w:rPr>
            </w:pPr>
            <w:r>
              <w:rPr>
                <w:rFonts w:hint="eastAsia" w:ascii="宋体" w:hAnsi="宋体" w:cs="宋体"/>
                <w:color w:val="auto"/>
                <w:sz w:val="24"/>
              </w:rPr>
              <w:t>培训</w:t>
            </w:r>
          </w:p>
          <w:p>
            <w:pPr>
              <w:widowControl/>
              <w:spacing w:line="400" w:lineRule="exact"/>
              <w:jc w:val="center"/>
              <w:textAlignment w:val="baseline"/>
              <w:rPr>
                <w:rFonts w:ascii="宋体" w:hAnsi="宋体" w:cs="宋体"/>
                <w:color w:val="auto"/>
                <w:sz w:val="24"/>
              </w:rPr>
            </w:pPr>
            <w:r>
              <w:rPr>
                <w:rFonts w:hint="eastAsia" w:ascii="宋体" w:hAnsi="宋体" w:cs="宋体"/>
                <w:color w:val="auto"/>
                <w:sz w:val="24"/>
              </w:rPr>
              <w:t>方案</w:t>
            </w:r>
          </w:p>
        </w:tc>
        <w:tc>
          <w:tcPr>
            <w:tcW w:w="4764" w:type="dxa"/>
            <w:shd w:val="clear" w:color="auto" w:fill="FFFFFF"/>
            <w:vAlign w:val="center"/>
          </w:tcPr>
          <w:p>
            <w:pPr>
              <w:widowControl/>
              <w:spacing w:line="400" w:lineRule="exact"/>
              <w:jc w:val="left"/>
              <w:textAlignment w:val="baseline"/>
              <w:rPr>
                <w:rFonts w:ascii="宋体" w:hAnsi="宋体" w:cs="宋体"/>
                <w:color w:val="auto"/>
                <w:sz w:val="24"/>
              </w:rPr>
            </w:pPr>
            <w:r>
              <w:rPr>
                <w:rFonts w:hint="eastAsia" w:ascii="宋体" w:hAnsi="宋体" w:cs="宋体"/>
                <w:color w:val="auto"/>
                <w:sz w:val="24"/>
              </w:rPr>
              <w:t>投标人具有合理可行的培训方案，评委根据投标方案阐述进行综合打分。</w:t>
            </w:r>
          </w:p>
          <w:p>
            <w:pPr>
              <w:widowControl/>
              <w:spacing w:line="400" w:lineRule="exact"/>
              <w:jc w:val="left"/>
              <w:textAlignment w:val="baseline"/>
              <w:rPr>
                <w:rFonts w:ascii="宋体" w:hAnsi="宋体" w:cs="宋体"/>
                <w:color w:val="auto"/>
                <w:sz w:val="24"/>
              </w:rPr>
            </w:pPr>
            <w:r>
              <w:rPr>
                <w:rFonts w:hint="eastAsia" w:ascii="宋体" w:hAnsi="宋体" w:cs="宋体"/>
                <w:color w:val="auto"/>
                <w:sz w:val="24"/>
              </w:rPr>
              <w:t>方案优秀，培训承诺具体合理，培训时间、地点、对象、内容介绍全面，培训效果好，培训方案具有很高的可行性的得4分；方案较好，培训承诺较为具体合理，培训时间、地点、对象、内容介绍较全面、培训效果较好、培训方案具有较高的可行性的得2分；方案一般，培训承诺基本具体合理，培训时间、地点、对象、内容介绍基本全面、培训效果基本合格、培训方案具有基本的可行的得1分；不提供或未涉及该项内容不得分。</w:t>
            </w:r>
          </w:p>
        </w:tc>
        <w:tc>
          <w:tcPr>
            <w:tcW w:w="99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0-4分</w:t>
            </w:r>
          </w:p>
        </w:tc>
        <w:tc>
          <w:tcPr>
            <w:tcW w:w="940" w:type="dxa"/>
            <w:shd w:val="clear" w:color="auto" w:fill="FFFFFF"/>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00" w:type="dxa"/>
            <w:vMerge w:val="continue"/>
            <w:shd w:val="clear" w:color="auto" w:fill="FFFFFF"/>
            <w:vAlign w:val="center"/>
          </w:tcPr>
          <w:p>
            <w:pPr>
              <w:spacing w:line="400" w:lineRule="exact"/>
              <w:jc w:val="center"/>
              <w:textAlignment w:val="baseline"/>
              <w:rPr>
                <w:rFonts w:ascii="宋体" w:hAnsi="宋体" w:cs="宋体"/>
                <w:color w:val="auto"/>
                <w:sz w:val="24"/>
              </w:rPr>
            </w:pP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hint="eastAsia" w:ascii="宋体" w:hAnsi="宋体" w:eastAsia="楷体_GB2312" w:cs="宋体"/>
                <w:color w:val="auto"/>
                <w:sz w:val="24"/>
              </w:rPr>
              <w:t>1</w:t>
            </w:r>
            <w:r>
              <w:rPr>
                <w:rFonts w:ascii="宋体" w:hAnsi="宋体" w:eastAsia="楷体_GB2312" w:cs="宋体"/>
                <w:color w:val="auto"/>
                <w:sz w:val="24"/>
              </w:rPr>
              <w:t>1</w:t>
            </w:r>
          </w:p>
        </w:tc>
        <w:tc>
          <w:tcPr>
            <w:tcW w:w="1248" w:type="dxa"/>
            <w:shd w:val="clear" w:color="auto" w:fill="FFFFFF"/>
            <w:vAlign w:val="center"/>
          </w:tcPr>
          <w:p>
            <w:pPr>
              <w:pStyle w:val="80"/>
              <w:spacing w:line="400" w:lineRule="exact"/>
              <w:rPr>
                <w:rFonts w:ascii="宋体" w:hAnsi="宋体" w:eastAsia="宋体" w:cs="宋体"/>
                <w:color w:val="auto"/>
              </w:rPr>
            </w:pPr>
            <w:r>
              <w:rPr>
                <w:rFonts w:hint="eastAsia" w:ascii="宋体" w:hAnsi="宋体" w:eastAsia="宋体" w:cs="宋体"/>
                <w:color w:val="auto"/>
              </w:rPr>
              <w:t>安全方案</w:t>
            </w:r>
          </w:p>
        </w:tc>
        <w:tc>
          <w:tcPr>
            <w:tcW w:w="4764" w:type="dxa"/>
            <w:shd w:val="clear" w:color="auto" w:fill="FFFFFF"/>
            <w:vAlign w:val="center"/>
          </w:tcPr>
          <w:p>
            <w:pPr>
              <w:widowControl/>
              <w:spacing w:line="400" w:lineRule="exact"/>
              <w:jc w:val="left"/>
              <w:textAlignment w:val="baseline"/>
              <w:rPr>
                <w:rFonts w:ascii="宋体" w:hAnsi="宋体" w:cs="宋体"/>
                <w:color w:val="auto"/>
                <w:sz w:val="24"/>
              </w:rPr>
            </w:pPr>
            <w:r>
              <w:rPr>
                <w:rFonts w:hint="eastAsia" w:ascii="宋体" w:hAnsi="宋体" w:cs="宋体"/>
                <w:color w:val="auto"/>
                <w:sz w:val="24"/>
              </w:rPr>
              <w:t>投标人有提供切实可行的信息安全方案，评委根据方案阐述进行打分。</w:t>
            </w:r>
          </w:p>
          <w:p>
            <w:pPr>
              <w:widowControl/>
              <w:spacing w:line="400" w:lineRule="exact"/>
              <w:jc w:val="left"/>
              <w:textAlignment w:val="baseline"/>
              <w:rPr>
                <w:rFonts w:ascii="宋体" w:hAnsi="宋体" w:cs="宋体"/>
                <w:color w:val="auto"/>
                <w:sz w:val="24"/>
              </w:rPr>
            </w:pPr>
            <w:r>
              <w:rPr>
                <w:rFonts w:hint="eastAsia" w:ascii="宋体" w:hAnsi="宋体" w:cs="宋体"/>
                <w:color w:val="auto"/>
                <w:sz w:val="24"/>
              </w:rPr>
              <w:t>验方案具有一定先进性，具有实际操作性，能确保项目安全稳定运行的得4分；方案具有实际操作性，能确保项目安全稳定运行的得2分；方案一般，无法提供充足的保障能力的得1分；无方案或无法保障系统正常运行的不得分。</w:t>
            </w:r>
          </w:p>
        </w:tc>
        <w:tc>
          <w:tcPr>
            <w:tcW w:w="99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0-4分</w:t>
            </w:r>
          </w:p>
        </w:tc>
        <w:tc>
          <w:tcPr>
            <w:tcW w:w="940" w:type="dxa"/>
            <w:shd w:val="clear" w:color="auto" w:fill="FFFFFF"/>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00" w:type="dxa"/>
            <w:vMerge w:val="continue"/>
            <w:shd w:val="clear" w:color="auto" w:fill="FFFFFF"/>
            <w:vAlign w:val="center"/>
          </w:tcPr>
          <w:p>
            <w:pPr>
              <w:spacing w:line="400" w:lineRule="exact"/>
              <w:jc w:val="center"/>
              <w:textAlignment w:val="baseline"/>
              <w:rPr>
                <w:rFonts w:ascii="宋体" w:hAnsi="宋体" w:cs="宋体"/>
                <w:color w:val="auto"/>
                <w:sz w:val="24"/>
              </w:rPr>
            </w:pP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hint="eastAsia" w:ascii="宋体" w:hAnsi="宋体" w:eastAsia="楷体_GB2312" w:cs="宋体"/>
                <w:color w:val="auto"/>
                <w:sz w:val="24"/>
              </w:rPr>
              <w:t>1</w:t>
            </w:r>
            <w:r>
              <w:rPr>
                <w:rFonts w:ascii="宋体" w:hAnsi="宋体" w:eastAsia="楷体_GB2312" w:cs="宋体"/>
                <w:color w:val="auto"/>
                <w:sz w:val="24"/>
              </w:rPr>
              <w:t>2</w:t>
            </w:r>
          </w:p>
        </w:tc>
        <w:tc>
          <w:tcPr>
            <w:tcW w:w="1248" w:type="dxa"/>
            <w:shd w:val="clear" w:color="auto" w:fill="FFFFFF"/>
            <w:vAlign w:val="center"/>
          </w:tcPr>
          <w:p>
            <w:pPr>
              <w:snapToGrid w:val="0"/>
              <w:spacing w:line="400" w:lineRule="exact"/>
              <w:jc w:val="center"/>
              <w:textAlignment w:val="baseline"/>
              <w:rPr>
                <w:rFonts w:ascii="宋体" w:hAnsi="宋体" w:cs="宋体"/>
                <w:color w:val="auto"/>
                <w:sz w:val="24"/>
              </w:rPr>
            </w:pPr>
            <w:r>
              <w:rPr>
                <w:rFonts w:hint="eastAsia" w:ascii="宋体" w:hAnsi="宋体" w:cs="宋体"/>
                <w:color w:val="auto"/>
                <w:sz w:val="24"/>
              </w:rPr>
              <w:t>应急方案</w:t>
            </w:r>
          </w:p>
        </w:tc>
        <w:tc>
          <w:tcPr>
            <w:tcW w:w="4764" w:type="dxa"/>
            <w:shd w:val="clear" w:color="auto" w:fill="FFFFFF"/>
            <w:vAlign w:val="center"/>
          </w:tcPr>
          <w:p>
            <w:pPr>
              <w:widowControl/>
              <w:spacing w:line="400" w:lineRule="exact"/>
              <w:jc w:val="left"/>
              <w:textAlignment w:val="baseline"/>
              <w:rPr>
                <w:rFonts w:ascii="宋体" w:hAnsi="宋体" w:cs="宋体"/>
                <w:color w:val="auto"/>
                <w:sz w:val="24"/>
              </w:rPr>
            </w:pPr>
            <w:r>
              <w:rPr>
                <w:rFonts w:hint="eastAsia" w:ascii="宋体" w:hAnsi="宋体" w:cs="宋体"/>
                <w:color w:val="auto"/>
                <w:sz w:val="24"/>
              </w:rPr>
              <w:t>投标人根据可能发生的故障问题，提供有效可行的系统应急方案，评委根据方案阐述进行打分。</w:t>
            </w:r>
          </w:p>
          <w:p>
            <w:pPr>
              <w:widowControl/>
              <w:spacing w:line="400" w:lineRule="exact"/>
              <w:jc w:val="left"/>
              <w:textAlignment w:val="baseline"/>
              <w:rPr>
                <w:rFonts w:ascii="宋体" w:hAnsi="宋体" w:cs="宋体"/>
                <w:color w:val="auto"/>
                <w:sz w:val="24"/>
              </w:rPr>
            </w:pPr>
            <w:r>
              <w:rPr>
                <w:rFonts w:hint="eastAsia" w:ascii="宋体" w:hAnsi="宋体" w:cs="宋体"/>
                <w:color w:val="auto"/>
                <w:sz w:val="24"/>
              </w:rPr>
              <w:t>能预见多种可能发生的故障问题，并针对故障问题提提出相应解决方案，保障系统正常稳定运行，应急方案具有一定先进性，有实际操作性的得3分；方案具有实际操作性，能确保系统安全稳定运行的得2分；方案一般，无法提供充足的保障能力的得1分；方案差，无法保障系统正常运行不得分。</w:t>
            </w:r>
          </w:p>
        </w:tc>
        <w:tc>
          <w:tcPr>
            <w:tcW w:w="99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w:t>
            </w:r>
            <w:r>
              <w:rPr>
                <w:rFonts w:ascii="宋体" w:hAnsi="宋体" w:cs="宋体"/>
                <w:color w:val="auto"/>
                <w:sz w:val="24"/>
              </w:rPr>
              <w:t>3</w:t>
            </w:r>
            <w:r>
              <w:rPr>
                <w:rFonts w:hint="eastAsia" w:ascii="宋体" w:hAnsi="宋体" w:cs="宋体"/>
                <w:color w:val="auto"/>
                <w:sz w:val="24"/>
              </w:rPr>
              <w:t>分</w:t>
            </w:r>
          </w:p>
        </w:tc>
        <w:tc>
          <w:tcPr>
            <w:tcW w:w="940" w:type="dxa"/>
            <w:shd w:val="clear" w:color="auto" w:fill="FFFFFF"/>
            <w:vAlign w:val="center"/>
          </w:tcPr>
          <w:p>
            <w:pPr>
              <w:spacing w:line="400" w:lineRule="exact"/>
              <w:jc w:val="center"/>
              <w:textAlignment w:val="baseline"/>
              <w:rPr>
                <w:rFonts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70" w:hRule="atLeast"/>
          <w:jc w:val="center"/>
        </w:trPr>
        <w:tc>
          <w:tcPr>
            <w:tcW w:w="900" w:type="dxa"/>
            <w:vMerge w:val="continue"/>
            <w:shd w:val="clear" w:color="auto" w:fill="FFFFFF"/>
            <w:vAlign w:val="center"/>
          </w:tcPr>
          <w:p>
            <w:pPr>
              <w:spacing w:line="400" w:lineRule="exact"/>
              <w:jc w:val="center"/>
              <w:textAlignment w:val="baseline"/>
              <w:rPr>
                <w:rFonts w:ascii="宋体" w:hAnsi="宋体" w:cs="宋体"/>
                <w:color w:val="auto"/>
                <w:sz w:val="24"/>
              </w:rPr>
            </w:pPr>
          </w:p>
        </w:tc>
        <w:tc>
          <w:tcPr>
            <w:tcW w:w="528" w:type="dxa"/>
            <w:shd w:val="clear" w:color="auto" w:fill="FFFFFF"/>
            <w:vAlign w:val="center"/>
          </w:tcPr>
          <w:p>
            <w:pPr>
              <w:spacing w:line="400" w:lineRule="exact"/>
              <w:ind w:left="440" w:hanging="440"/>
              <w:jc w:val="center"/>
              <w:textAlignment w:val="baseline"/>
              <w:rPr>
                <w:rFonts w:ascii="宋体" w:hAnsi="宋体" w:cs="宋体"/>
                <w:color w:val="auto"/>
              </w:rPr>
            </w:pPr>
            <w:r>
              <w:rPr>
                <w:rFonts w:hint="eastAsia" w:ascii="宋体" w:hAnsi="宋体" w:eastAsia="楷体_GB2312" w:cs="宋体"/>
                <w:color w:val="auto"/>
                <w:sz w:val="24"/>
              </w:rPr>
              <w:t>1</w:t>
            </w:r>
            <w:r>
              <w:rPr>
                <w:rFonts w:ascii="宋体" w:hAnsi="宋体" w:eastAsia="楷体_GB2312" w:cs="宋体"/>
                <w:color w:val="auto"/>
                <w:sz w:val="24"/>
              </w:rPr>
              <w:t>3</w:t>
            </w:r>
          </w:p>
        </w:tc>
        <w:tc>
          <w:tcPr>
            <w:tcW w:w="1248" w:type="dxa"/>
            <w:shd w:val="clear" w:color="auto" w:fill="FFFFFF"/>
            <w:vAlign w:val="center"/>
          </w:tcPr>
          <w:p>
            <w:pPr>
              <w:snapToGrid w:val="0"/>
              <w:spacing w:line="400" w:lineRule="exact"/>
              <w:jc w:val="center"/>
              <w:textAlignment w:val="baseline"/>
              <w:rPr>
                <w:rFonts w:ascii="宋体" w:hAnsi="宋体" w:cs="宋体"/>
                <w:color w:val="auto"/>
                <w:sz w:val="24"/>
              </w:rPr>
            </w:pPr>
            <w:r>
              <w:rPr>
                <w:rFonts w:hint="eastAsia" w:ascii="宋体" w:hAnsi="宋体" w:cs="宋体"/>
                <w:color w:val="auto"/>
                <w:sz w:val="24"/>
              </w:rPr>
              <w:t>服务</w:t>
            </w:r>
          </w:p>
          <w:p>
            <w:pPr>
              <w:snapToGrid w:val="0"/>
              <w:spacing w:line="400" w:lineRule="exact"/>
              <w:jc w:val="center"/>
              <w:textAlignment w:val="baseline"/>
              <w:rPr>
                <w:rFonts w:ascii="宋体" w:hAnsi="宋体" w:cs="宋体"/>
                <w:color w:val="auto"/>
                <w:sz w:val="24"/>
              </w:rPr>
            </w:pPr>
            <w:r>
              <w:rPr>
                <w:rFonts w:hint="eastAsia" w:ascii="宋体" w:hAnsi="宋体" w:cs="宋体"/>
                <w:color w:val="auto"/>
                <w:sz w:val="24"/>
              </w:rPr>
              <w:t>承诺</w:t>
            </w:r>
          </w:p>
        </w:tc>
        <w:tc>
          <w:tcPr>
            <w:tcW w:w="4764" w:type="dxa"/>
            <w:shd w:val="clear" w:color="auto" w:fill="FFFFFF"/>
            <w:vAlign w:val="center"/>
          </w:tcPr>
          <w:p>
            <w:pPr>
              <w:pStyle w:val="23"/>
              <w:spacing w:line="400" w:lineRule="exact"/>
              <w:rPr>
                <w:rFonts w:hAnsi="宋体" w:cs="宋体"/>
                <w:color w:val="auto"/>
                <w:szCs w:val="24"/>
              </w:rPr>
            </w:pPr>
            <w:r>
              <w:rPr>
                <w:rFonts w:hint="eastAsia" w:hAnsi="宋体" w:cs="宋体"/>
                <w:color w:val="auto"/>
                <w:szCs w:val="24"/>
              </w:rPr>
              <w:t>详细阐述本项目的服务承诺及响应情况</w:t>
            </w:r>
          </w:p>
          <w:p>
            <w:pPr>
              <w:widowControl/>
              <w:spacing w:line="400" w:lineRule="exact"/>
              <w:jc w:val="left"/>
              <w:textAlignment w:val="baseline"/>
              <w:rPr>
                <w:rFonts w:ascii="宋体" w:hAnsi="宋体" w:cs="宋体"/>
                <w:color w:val="auto"/>
                <w:sz w:val="24"/>
              </w:rPr>
            </w:pPr>
            <w:r>
              <w:rPr>
                <w:rFonts w:hint="eastAsia" w:ascii="宋体" w:hAnsi="宋体" w:cs="宋体"/>
                <w:color w:val="auto"/>
                <w:sz w:val="24"/>
              </w:rPr>
              <w:t>1)方案详细科学合理的得2分；</w:t>
            </w:r>
          </w:p>
          <w:p>
            <w:pPr>
              <w:widowControl/>
              <w:spacing w:line="400" w:lineRule="exact"/>
              <w:jc w:val="left"/>
              <w:textAlignment w:val="baseline"/>
              <w:rPr>
                <w:rFonts w:ascii="宋体" w:hAnsi="宋体" w:cs="宋体"/>
                <w:color w:val="auto"/>
                <w:sz w:val="24"/>
              </w:rPr>
            </w:pPr>
            <w:r>
              <w:rPr>
                <w:rFonts w:hint="eastAsia" w:ascii="宋体" w:hAnsi="宋体" w:cs="宋体"/>
                <w:color w:val="auto"/>
                <w:sz w:val="24"/>
              </w:rPr>
              <w:t>2)方案欠缺的得1分，</w:t>
            </w:r>
          </w:p>
          <w:p>
            <w:pPr>
              <w:widowControl/>
              <w:spacing w:line="400" w:lineRule="exact"/>
              <w:jc w:val="left"/>
              <w:textAlignment w:val="baseline"/>
              <w:rPr>
                <w:rFonts w:ascii="宋体" w:hAnsi="宋体" w:cs="宋体"/>
                <w:color w:val="auto"/>
                <w:sz w:val="24"/>
              </w:rPr>
            </w:pPr>
            <w:r>
              <w:rPr>
                <w:rFonts w:hint="eastAsia" w:ascii="宋体" w:hAnsi="宋体" w:cs="宋体"/>
                <w:color w:val="auto"/>
                <w:sz w:val="24"/>
              </w:rPr>
              <w:t>3)未体现相关内容不得分。</w:t>
            </w:r>
          </w:p>
        </w:tc>
        <w:tc>
          <w:tcPr>
            <w:tcW w:w="990" w:type="dxa"/>
            <w:shd w:val="clear" w:color="auto" w:fill="FFFFFF"/>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0-2分</w:t>
            </w:r>
          </w:p>
        </w:tc>
        <w:tc>
          <w:tcPr>
            <w:tcW w:w="940" w:type="dxa"/>
            <w:shd w:val="clear" w:color="auto" w:fill="FFFFFF"/>
            <w:vAlign w:val="center"/>
          </w:tcPr>
          <w:p>
            <w:pPr>
              <w:spacing w:line="400" w:lineRule="exact"/>
              <w:jc w:val="center"/>
              <w:textAlignment w:val="baseline"/>
              <w:rPr>
                <w:rFonts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914" w:hRule="atLeast"/>
          <w:jc w:val="center"/>
        </w:trPr>
        <w:tc>
          <w:tcPr>
            <w:tcW w:w="900" w:type="dxa"/>
            <w:vMerge w:val="continue"/>
            <w:shd w:val="clear" w:color="auto" w:fill="FFFFFF"/>
            <w:vAlign w:val="center"/>
          </w:tcPr>
          <w:p>
            <w:pPr>
              <w:snapToGrid w:val="0"/>
              <w:spacing w:line="400" w:lineRule="exact"/>
              <w:jc w:val="center"/>
              <w:textAlignment w:val="baseline"/>
              <w:rPr>
                <w:rFonts w:ascii="宋体" w:hAnsi="宋体" w:cs="宋体"/>
                <w:color w:val="auto"/>
                <w:sz w:val="24"/>
              </w:rPr>
            </w:pPr>
          </w:p>
        </w:tc>
        <w:tc>
          <w:tcPr>
            <w:tcW w:w="528" w:type="dxa"/>
            <w:shd w:val="clear" w:color="auto" w:fill="FFFFFF"/>
            <w:vAlign w:val="center"/>
          </w:tcPr>
          <w:p>
            <w:pPr>
              <w:widowControl/>
              <w:spacing w:line="400" w:lineRule="exact"/>
              <w:ind w:left="440" w:hanging="440"/>
              <w:jc w:val="center"/>
              <w:textAlignment w:val="baseline"/>
              <w:rPr>
                <w:rFonts w:ascii="宋体" w:hAnsi="宋体" w:cs="宋体"/>
                <w:color w:val="auto"/>
                <w:kern w:val="0"/>
              </w:rPr>
            </w:pPr>
            <w:r>
              <w:rPr>
                <w:rFonts w:hint="eastAsia" w:ascii="宋体" w:hAnsi="宋体" w:eastAsia="楷体_GB2312" w:cs="宋体"/>
                <w:color w:val="auto"/>
                <w:kern w:val="0"/>
                <w:sz w:val="24"/>
              </w:rPr>
              <w:t>1</w:t>
            </w:r>
            <w:r>
              <w:rPr>
                <w:rFonts w:ascii="宋体" w:hAnsi="宋体" w:eastAsia="楷体_GB2312" w:cs="宋体"/>
                <w:color w:val="auto"/>
                <w:kern w:val="0"/>
                <w:sz w:val="24"/>
              </w:rPr>
              <w:t>4</w:t>
            </w:r>
          </w:p>
        </w:tc>
        <w:tc>
          <w:tcPr>
            <w:tcW w:w="1248" w:type="dxa"/>
            <w:shd w:val="clear" w:color="auto" w:fill="FFFFFF"/>
            <w:vAlign w:val="center"/>
          </w:tcPr>
          <w:p>
            <w:pPr>
              <w:spacing w:line="400" w:lineRule="exact"/>
              <w:jc w:val="center"/>
              <w:rPr>
                <w:rFonts w:ascii="宋体" w:hAnsi="宋体" w:cs="宋体"/>
                <w:color w:val="auto"/>
                <w:sz w:val="24"/>
              </w:rPr>
            </w:pPr>
            <w:r>
              <w:rPr>
                <w:rFonts w:hint="eastAsia" w:ascii="宋体" w:hAnsi="宋体" w:cs="宋体"/>
                <w:color w:val="auto"/>
                <w:sz w:val="24"/>
              </w:rPr>
              <w:t>合理化</w:t>
            </w:r>
          </w:p>
          <w:p>
            <w:pPr>
              <w:spacing w:line="400" w:lineRule="exact"/>
              <w:jc w:val="center"/>
              <w:rPr>
                <w:rFonts w:ascii="宋体" w:hAnsi="宋体" w:cs="宋体"/>
                <w:color w:val="auto"/>
                <w:sz w:val="24"/>
              </w:rPr>
            </w:pPr>
            <w:r>
              <w:rPr>
                <w:rFonts w:hint="eastAsia" w:ascii="宋体" w:hAnsi="宋体" w:cs="宋体"/>
                <w:color w:val="auto"/>
                <w:sz w:val="24"/>
              </w:rPr>
              <w:t>建议</w:t>
            </w:r>
          </w:p>
        </w:tc>
        <w:tc>
          <w:tcPr>
            <w:tcW w:w="4764" w:type="dxa"/>
            <w:shd w:val="clear" w:color="auto" w:fill="FFFFFF"/>
            <w:vAlign w:val="center"/>
          </w:tcPr>
          <w:p>
            <w:pPr>
              <w:spacing w:line="400" w:lineRule="exact"/>
              <w:rPr>
                <w:rFonts w:ascii="宋体" w:hAnsi="宋体" w:cs="宋体"/>
                <w:color w:val="auto"/>
                <w:sz w:val="24"/>
              </w:rPr>
            </w:pPr>
            <w:r>
              <w:rPr>
                <w:rFonts w:hint="eastAsia" w:ascii="宋体" w:hAnsi="宋体" w:cs="宋体"/>
                <w:color w:val="auto"/>
                <w:sz w:val="24"/>
              </w:rPr>
              <w:t>投标人根据招标需求，对本项目提出合理化建议。</w:t>
            </w:r>
          </w:p>
          <w:p>
            <w:pPr>
              <w:spacing w:line="400" w:lineRule="exact"/>
              <w:rPr>
                <w:rFonts w:ascii="宋体" w:hAnsi="宋体" w:cs="宋体"/>
                <w:color w:val="auto"/>
                <w:sz w:val="24"/>
              </w:rPr>
            </w:pPr>
            <w:r>
              <w:rPr>
                <w:rFonts w:hint="eastAsia" w:ascii="宋体" w:hAnsi="宋体" w:cs="宋体"/>
                <w:color w:val="auto"/>
                <w:sz w:val="24"/>
              </w:rPr>
              <w:t>1)合理化建议科学合理的得2分；</w:t>
            </w:r>
          </w:p>
          <w:p>
            <w:pPr>
              <w:spacing w:line="400" w:lineRule="exact"/>
              <w:rPr>
                <w:rFonts w:ascii="宋体" w:hAnsi="宋体" w:cs="宋体"/>
                <w:color w:val="auto"/>
                <w:sz w:val="24"/>
              </w:rPr>
            </w:pPr>
            <w:r>
              <w:rPr>
                <w:rFonts w:hint="eastAsia" w:ascii="宋体" w:hAnsi="宋体" w:cs="宋体"/>
                <w:color w:val="auto"/>
                <w:sz w:val="24"/>
              </w:rPr>
              <w:t>2)合理化建议欠缺的得1分，</w:t>
            </w:r>
          </w:p>
          <w:p>
            <w:pPr>
              <w:spacing w:line="400" w:lineRule="exact"/>
              <w:rPr>
                <w:rFonts w:ascii="宋体" w:hAnsi="宋体" w:cs="宋体"/>
                <w:color w:val="auto"/>
                <w:sz w:val="24"/>
              </w:rPr>
            </w:pPr>
            <w:r>
              <w:rPr>
                <w:rFonts w:hint="eastAsia" w:ascii="宋体" w:hAnsi="宋体" w:cs="宋体"/>
                <w:color w:val="auto"/>
                <w:sz w:val="24"/>
              </w:rPr>
              <w:t>3）未体现相关内容不得分。</w:t>
            </w:r>
          </w:p>
        </w:tc>
        <w:tc>
          <w:tcPr>
            <w:tcW w:w="990" w:type="dxa"/>
            <w:shd w:val="clear" w:color="auto" w:fill="auto"/>
            <w:vAlign w:val="center"/>
          </w:tcPr>
          <w:p>
            <w:pPr>
              <w:spacing w:line="400" w:lineRule="exact"/>
              <w:jc w:val="center"/>
              <w:textAlignment w:val="baseline"/>
              <w:rPr>
                <w:rFonts w:ascii="宋体" w:hAnsi="宋体" w:cs="宋体"/>
                <w:color w:val="auto"/>
                <w:sz w:val="24"/>
              </w:rPr>
            </w:pPr>
            <w:r>
              <w:rPr>
                <w:rFonts w:hint="eastAsia" w:ascii="宋体" w:hAnsi="宋体" w:cs="宋体"/>
                <w:color w:val="auto"/>
                <w:sz w:val="24"/>
              </w:rPr>
              <w:t>0-2分</w:t>
            </w:r>
          </w:p>
        </w:tc>
        <w:tc>
          <w:tcPr>
            <w:tcW w:w="940" w:type="dxa"/>
            <w:shd w:val="clear" w:color="auto" w:fill="auto"/>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90" w:hRule="atLeast"/>
          <w:jc w:val="center"/>
        </w:trPr>
        <w:tc>
          <w:tcPr>
            <w:tcW w:w="900" w:type="dxa"/>
            <w:vMerge w:val="continue"/>
            <w:shd w:val="clear" w:color="auto" w:fill="FFFFFF"/>
            <w:vAlign w:val="center"/>
          </w:tcPr>
          <w:p>
            <w:pPr>
              <w:snapToGrid w:val="0"/>
              <w:spacing w:line="400" w:lineRule="exact"/>
              <w:jc w:val="center"/>
              <w:textAlignment w:val="baseline"/>
              <w:rPr>
                <w:rFonts w:ascii="宋体" w:hAnsi="宋体" w:cs="宋体"/>
                <w:color w:val="auto"/>
                <w:kern w:val="0"/>
                <w:sz w:val="24"/>
              </w:rPr>
            </w:pPr>
          </w:p>
        </w:tc>
        <w:tc>
          <w:tcPr>
            <w:tcW w:w="528" w:type="dxa"/>
            <w:shd w:val="clear" w:color="auto" w:fill="FFFFFF"/>
            <w:vAlign w:val="center"/>
          </w:tcPr>
          <w:p>
            <w:pPr>
              <w:widowControl/>
              <w:spacing w:line="400" w:lineRule="exact"/>
              <w:ind w:left="440" w:hanging="440"/>
              <w:jc w:val="center"/>
              <w:textAlignment w:val="baseline"/>
              <w:rPr>
                <w:rFonts w:ascii="宋体" w:hAnsi="宋体" w:cs="宋体"/>
                <w:color w:val="auto"/>
                <w:kern w:val="0"/>
              </w:rPr>
            </w:pPr>
            <w:r>
              <w:rPr>
                <w:rFonts w:hint="eastAsia" w:ascii="宋体" w:hAnsi="宋体" w:eastAsia="楷体_GB2312" w:cs="宋体"/>
                <w:color w:val="auto"/>
                <w:kern w:val="0"/>
                <w:sz w:val="24"/>
              </w:rPr>
              <w:t>1</w:t>
            </w:r>
            <w:r>
              <w:rPr>
                <w:rFonts w:ascii="宋体" w:hAnsi="宋体" w:eastAsia="楷体_GB2312" w:cs="宋体"/>
                <w:color w:val="auto"/>
                <w:kern w:val="0"/>
                <w:sz w:val="24"/>
              </w:rPr>
              <w:t>5</w:t>
            </w:r>
          </w:p>
        </w:tc>
        <w:tc>
          <w:tcPr>
            <w:tcW w:w="1248" w:type="dxa"/>
            <w:shd w:val="clear" w:color="auto" w:fill="FFFFFF"/>
            <w:vAlign w:val="center"/>
          </w:tcPr>
          <w:p>
            <w:pPr>
              <w:adjustRightInd/>
              <w:spacing w:line="400" w:lineRule="exact"/>
              <w:jc w:val="center"/>
              <w:rPr>
                <w:rFonts w:ascii="宋体" w:hAnsi="宋体" w:cs="宋体"/>
                <w:color w:val="auto"/>
                <w:kern w:val="0"/>
                <w:sz w:val="24"/>
              </w:rPr>
            </w:pPr>
            <w:r>
              <w:rPr>
                <w:rFonts w:hint="eastAsia" w:ascii="宋体" w:hAnsi="宋体" w:cs="宋体"/>
                <w:color w:val="auto"/>
                <w:kern w:val="0"/>
                <w:sz w:val="24"/>
              </w:rPr>
              <w:t>现场演示</w:t>
            </w:r>
          </w:p>
        </w:tc>
        <w:tc>
          <w:tcPr>
            <w:tcW w:w="4764" w:type="dxa"/>
            <w:shd w:val="clear" w:color="auto" w:fill="FFFFFF"/>
            <w:vAlign w:val="center"/>
          </w:tcPr>
          <w:p>
            <w:pPr>
              <w:contextualSpacing/>
              <w:rPr>
                <w:rFonts w:ascii="宋体" w:hAnsi="宋体"/>
                <w:color w:val="auto"/>
                <w:sz w:val="24"/>
              </w:rPr>
            </w:pPr>
            <w:r>
              <w:rPr>
                <w:rFonts w:hint="eastAsia" w:ascii="宋体" w:hAnsi="宋体"/>
                <w:color w:val="auto"/>
                <w:sz w:val="24"/>
              </w:rPr>
              <w:t>以下功能模块需提供功能演示：</w:t>
            </w:r>
          </w:p>
          <w:p>
            <w:pPr>
              <w:contextualSpacing/>
              <w:rPr>
                <w:rFonts w:ascii="宋体" w:hAnsi="宋体"/>
                <w:color w:val="auto"/>
                <w:sz w:val="24"/>
              </w:rPr>
            </w:pPr>
            <w:bookmarkStart w:id="653" w:name="_Hlk150256379"/>
            <w:r>
              <w:rPr>
                <w:rFonts w:hint="eastAsia" w:ascii="宋体" w:hAnsi="宋体"/>
                <w:color w:val="auto"/>
                <w:sz w:val="24"/>
              </w:rPr>
              <w:t>①病历录入：记录病人的病历信息，包括主诉、现病史、既往史、体格检查、辅助检查等，提供手工录入和调取模板两种方式。（0-2分）</w:t>
            </w:r>
          </w:p>
          <w:p>
            <w:pPr>
              <w:contextualSpacing/>
              <w:rPr>
                <w:rFonts w:ascii="宋体" w:hAnsi="宋体"/>
                <w:color w:val="auto"/>
                <w:sz w:val="24"/>
              </w:rPr>
            </w:pPr>
            <w:r>
              <w:rPr>
                <w:rFonts w:hint="eastAsia" w:ascii="宋体" w:hAnsi="宋体"/>
                <w:color w:val="auto"/>
                <w:sz w:val="24"/>
              </w:rPr>
              <w:t>②检查开单：提供检查项目的模式、部位的筛选并进行录入加急标注、检查目的、申请单备注的填写的操作功能。同时支持已开检查申请单的打印及状态的查阅，报告查阅。（0-2分）</w:t>
            </w:r>
          </w:p>
          <w:p>
            <w:pPr>
              <w:contextualSpacing/>
              <w:rPr>
                <w:rFonts w:ascii="宋体" w:hAnsi="宋体"/>
                <w:color w:val="auto"/>
                <w:sz w:val="24"/>
              </w:rPr>
            </w:pPr>
            <w:r>
              <w:rPr>
                <w:rFonts w:hint="eastAsia" w:ascii="宋体" w:hAnsi="宋体"/>
                <w:color w:val="auto"/>
                <w:sz w:val="24"/>
              </w:rPr>
              <w:t>③检验开单：提供检验项目的申请开单并进行录入加急标注、申请单备注的填写的操作功能。同时支持已开检查申请单的打印及状态的查阅，检验结果的展示、报告查阅。（0-2分）</w:t>
            </w:r>
          </w:p>
          <w:p>
            <w:pPr>
              <w:contextualSpacing/>
              <w:rPr>
                <w:rFonts w:ascii="宋体" w:hAnsi="宋体"/>
                <w:color w:val="auto"/>
                <w:sz w:val="24"/>
              </w:rPr>
            </w:pPr>
            <w:r>
              <w:rPr>
                <w:rFonts w:hint="eastAsia" w:ascii="宋体" w:hAnsi="宋体"/>
                <w:color w:val="auto"/>
                <w:sz w:val="24"/>
              </w:rPr>
              <w:t>④门诊护士：支持皮试处理、取消皮试、预检分诊、分诊查询。（0-2分）</w:t>
            </w:r>
          </w:p>
          <w:p>
            <w:pPr>
              <w:contextualSpacing/>
              <w:rPr>
                <w:rFonts w:ascii="宋体" w:hAnsi="宋体"/>
                <w:color w:val="auto"/>
                <w:sz w:val="24"/>
              </w:rPr>
            </w:pPr>
            <w:r>
              <w:rPr>
                <w:rFonts w:hint="eastAsia" w:ascii="宋体" w:hAnsi="宋体"/>
                <w:color w:val="auto"/>
                <w:sz w:val="24"/>
              </w:rPr>
              <w:t>⑤疾病监管协同系统：对接DSCS传染病报卡，支持基本信息互通。支持对传染病报卡的维护、审核、上报、统计和导出功能。支持在系统内根据诊断进行慢病报卡的提醒和填写，提供规范的疾病报卡页面，并在报卡过程中提供逻辑校验、自动排重和漏报监控。（0-2分）</w:t>
            </w:r>
          </w:p>
          <w:p>
            <w:pPr>
              <w:contextualSpacing/>
              <w:rPr>
                <w:rFonts w:ascii="宋体" w:hAnsi="宋体"/>
                <w:color w:val="auto"/>
                <w:sz w:val="24"/>
              </w:rPr>
            </w:pPr>
            <w:r>
              <w:rPr>
                <w:rFonts w:hint="eastAsia" w:ascii="宋体" w:hAnsi="宋体"/>
                <w:color w:val="auto"/>
                <w:sz w:val="24"/>
              </w:rPr>
              <w:t>⑥转诊申请：社区服务中心撰写病情摘要，在填写转诊申请单提交转诊申请单到医院，医院通过病情情况确定是否需要接收该病人，如果转诊被接收，社区服务中心通知病人将预约信息提供给患者，支持根据电子预约单进行就诊。（0-2分）</w:t>
            </w:r>
          </w:p>
          <w:p>
            <w:pPr>
              <w:contextualSpacing/>
              <w:rPr>
                <w:rFonts w:ascii="宋体" w:hAnsi="宋体"/>
                <w:color w:val="auto"/>
                <w:sz w:val="24"/>
              </w:rPr>
            </w:pPr>
            <w:r>
              <w:rPr>
                <w:rFonts w:hint="eastAsia" w:ascii="宋体" w:hAnsi="宋体"/>
                <w:color w:val="auto"/>
                <w:sz w:val="24"/>
              </w:rPr>
              <w:t>⑦医嘱录入：提供插入、删除、新组、单停、全停、赋空、提交、保存、查询等操作功能，另外提供常用药、医嘱组套等助手功能。（0-2分）</w:t>
            </w:r>
          </w:p>
          <w:p>
            <w:pPr>
              <w:contextualSpacing/>
              <w:rPr>
                <w:rFonts w:ascii="宋体" w:hAnsi="宋体"/>
                <w:color w:val="auto"/>
                <w:sz w:val="24"/>
              </w:rPr>
            </w:pPr>
            <w:r>
              <w:rPr>
                <w:rFonts w:hint="eastAsia" w:ascii="宋体" w:hAnsi="宋体"/>
                <w:color w:val="auto"/>
                <w:sz w:val="24"/>
              </w:rPr>
              <w:t>⑧书写病历：书写和编辑包括住院病案首页、入院记录、病程记录、出（转）院记录在内的各类文书和记录。（0-2分）</w:t>
            </w:r>
          </w:p>
          <w:p>
            <w:pPr>
              <w:contextualSpacing/>
              <w:rPr>
                <w:rFonts w:ascii="宋体" w:hAnsi="宋体"/>
                <w:color w:val="auto"/>
                <w:sz w:val="24"/>
              </w:rPr>
            </w:pPr>
            <w:r>
              <w:rPr>
                <w:rFonts w:hint="eastAsia" w:ascii="宋体" w:hAnsi="宋体"/>
                <w:color w:val="auto"/>
                <w:sz w:val="24"/>
              </w:rPr>
              <w:t>⑨医嘱组套维护：将常用的药品维护成组套，录医嘱时直接调入组套。组套可分别按照西药、成药、草药、项目来进行组套，并可对组套提供新增、修改、删除、禁用、启用等操作。（0-2分）</w:t>
            </w:r>
          </w:p>
          <w:p>
            <w:pPr>
              <w:contextualSpacing/>
              <w:rPr>
                <w:rFonts w:ascii="宋体" w:hAnsi="宋体"/>
                <w:color w:val="auto"/>
                <w:sz w:val="24"/>
              </w:rPr>
            </w:pPr>
            <w:r>
              <w:rPr>
                <w:rFonts w:hint="eastAsia" w:ascii="宋体" w:hAnsi="宋体"/>
                <w:color w:val="auto"/>
                <w:sz w:val="24"/>
              </w:rPr>
              <w:t>⑩高血压、糖尿病医防融合：实现HIS、公卫、医防融合系统三端融合，将慢病医防融合功能归并入HIS系统，医生、护士以及管理决策人员也可使用。融合慢病助手插件，无需医护人员重新开启唤醒插件，统一通过浏览器访问系统。（0-2分）</w:t>
            </w:r>
          </w:p>
          <w:bookmarkEnd w:id="653"/>
          <w:p>
            <w:pPr>
              <w:widowControl/>
              <w:rPr>
                <w:rFonts w:ascii="宋体" w:hAnsi="宋体" w:cs="宋体"/>
                <w:color w:val="auto"/>
                <w:kern w:val="0"/>
                <w:sz w:val="24"/>
              </w:rPr>
            </w:pPr>
            <w:r>
              <w:rPr>
                <w:rFonts w:hint="eastAsia" w:ascii="宋体" w:hAnsi="宋体" w:cs="宋体"/>
                <w:color w:val="auto"/>
                <w:sz w:val="24"/>
              </w:rPr>
              <w:t>每个功能点得2分。演示设备自带，PPT演示、未提供现场演示，本项不得分。演示时间控制在20分钟以内，演示人员不超过2人。根据现场演示系统功能的完整性进行综合评定</w:t>
            </w:r>
            <w:r>
              <w:rPr>
                <w:rFonts w:hint="eastAsia" w:ascii="宋体" w:hAnsi="宋体" w:cs="宋体"/>
                <w:color w:val="auto"/>
                <w:kern w:val="0"/>
                <w:sz w:val="24"/>
              </w:rPr>
              <w:t>。</w:t>
            </w:r>
          </w:p>
        </w:tc>
        <w:tc>
          <w:tcPr>
            <w:tcW w:w="990" w:type="dxa"/>
            <w:shd w:val="clear" w:color="auto" w:fill="auto"/>
            <w:vAlign w:val="center"/>
          </w:tcPr>
          <w:p>
            <w:pPr>
              <w:spacing w:line="400" w:lineRule="exact"/>
              <w:jc w:val="center"/>
              <w:textAlignment w:val="baseline"/>
              <w:rPr>
                <w:rFonts w:ascii="宋体" w:hAnsi="宋体" w:cs="宋体"/>
                <w:color w:val="auto"/>
                <w:kern w:val="0"/>
                <w:sz w:val="24"/>
              </w:rPr>
            </w:pPr>
            <w:r>
              <w:rPr>
                <w:rFonts w:hint="eastAsia" w:ascii="宋体" w:hAnsi="宋体" w:cs="宋体"/>
                <w:color w:val="auto"/>
                <w:sz w:val="24"/>
              </w:rPr>
              <w:t>0-</w:t>
            </w:r>
            <w:r>
              <w:rPr>
                <w:rFonts w:ascii="宋体" w:hAnsi="宋体" w:cs="宋体"/>
                <w:color w:val="auto"/>
                <w:sz w:val="24"/>
              </w:rPr>
              <w:t>20</w:t>
            </w:r>
            <w:r>
              <w:rPr>
                <w:rFonts w:hint="eastAsia" w:ascii="宋体" w:hAnsi="宋体" w:cs="宋体"/>
                <w:color w:val="auto"/>
                <w:sz w:val="24"/>
              </w:rPr>
              <w:t>分</w:t>
            </w:r>
          </w:p>
        </w:tc>
        <w:tc>
          <w:tcPr>
            <w:tcW w:w="940" w:type="dxa"/>
            <w:shd w:val="clear" w:color="auto" w:fill="auto"/>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245" w:hRule="atLeast"/>
          <w:jc w:val="center"/>
        </w:trPr>
        <w:tc>
          <w:tcPr>
            <w:tcW w:w="900" w:type="dxa"/>
            <w:shd w:val="clear" w:color="auto" w:fill="FFFFFF"/>
            <w:vAlign w:val="center"/>
          </w:tcPr>
          <w:p>
            <w:pPr>
              <w:widowControl/>
              <w:spacing w:line="400" w:lineRule="exact"/>
              <w:jc w:val="center"/>
              <w:textAlignment w:val="baseline"/>
              <w:rPr>
                <w:rFonts w:ascii="宋体" w:hAnsi="宋体" w:cs="宋体"/>
                <w:color w:val="auto"/>
                <w:kern w:val="0"/>
                <w:sz w:val="24"/>
              </w:rPr>
            </w:pPr>
            <w:r>
              <w:rPr>
                <w:rFonts w:hint="eastAsia" w:ascii="宋体" w:hAnsi="宋体" w:cs="宋体"/>
                <w:color w:val="auto"/>
                <w:kern w:val="0"/>
                <w:sz w:val="24"/>
              </w:rPr>
              <w:t>价格</w:t>
            </w:r>
          </w:p>
          <w:p>
            <w:pPr>
              <w:widowControl/>
              <w:spacing w:line="400" w:lineRule="exact"/>
              <w:jc w:val="center"/>
              <w:textAlignment w:val="baseline"/>
              <w:rPr>
                <w:rFonts w:ascii="宋体" w:hAnsi="宋体" w:cs="宋体"/>
                <w:color w:val="auto"/>
                <w:kern w:val="0"/>
                <w:sz w:val="24"/>
              </w:rPr>
            </w:pPr>
            <w:r>
              <w:rPr>
                <w:rFonts w:hint="eastAsia" w:ascii="宋体" w:hAnsi="宋体" w:cs="宋体"/>
                <w:color w:val="auto"/>
                <w:kern w:val="0"/>
                <w:sz w:val="24"/>
              </w:rPr>
              <w:t>分（10分）</w:t>
            </w:r>
          </w:p>
        </w:tc>
        <w:tc>
          <w:tcPr>
            <w:tcW w:w="528" w:type="dxa"/>
            <w:shd w:val="clear" w:color="auto" w:fill="FFFFFF"/>
            <w:vAlign w:val="center"/>
          </w:tcPr>
          <w:p>
            <w:pPr>
              <w:widowControl/>
              <w:spacing w:line="400" w:lineRule="exact"/>
              <w:ind w:left="440" w:hanging="440"/>
              <w:jc w:val="center"/>
              <w:textAlignment w:val="baseline"/>
              <w:rPr>
                <w:rFonts w:ascii="宋体" w:hAnsi="宋体" w:cs="宋体"/>
                <w:color w:val="auto"/>
                <w:kern w:val="0"/>
              </w:rPr>
            </w:pPr>
            <w:r>
              <w:rPr>
                <w:rFonts w:hint="eastAsia" w:ascii="宋体" w:hAnsi="宋体" w:eastAsia="楷体_GB2312" w:cs="宋体"/>
                <w:color w:val="auto"/>
                <w:kern w:val="0"/>
                <w:sz w:val="24"/>
              </w:rPr>
              <w:t>1</w:t>
            </w:r>
            <w:r>
              <w:rPr>
                <w:rFonts w:ascii="宋体" w:hAnsi="宋体" w:eastAsia="楷体_GB2312" w:cs="宋体"/>
                <w:color w:val="auto"/>
                <w:kern w:val="0"/>
                <w:sz w:val="24"/>
              </w:rPr>
              <w:t>6</w:t>
            </w:r>
          </w:p>
        </w:tc>
        <w:tc>
          <w:tcPr>
            <w:tcW w:w="1248" w:type="dxa"/>
            <w:shd w:val="clear" w:color="auto" w:fill="FFFFFF"/>
            <w:vAlign w:val="center"/>
          </w:tcPr>
          <w:p>
            <w:pPr>
              <w:snapToGrid w:val="0"/>
              <w:spacing w:line="400" w:lineRule="exact"/>
              <w:jc w:val="center"/>
              <w:textAlignment w:val="baseline"/>
              <w:rPr>
                <w:rFonts w:ascii="宋体" w:hAnsi="宋体" w:cs="宋体"/>
                <w:color w:val="auto"/>
                <w:sz w:val="24"/>
              </w:rPr>
            </w:pPr>
            <w:r>
              <w:rPr>
                <w:rFonts w:hint="eastAsia" w:ascii="宋体" w:hAnsi="宋体" w:cs="宋体"/>
                <w:color w:val="auto"/>
                <w:sz w:val="24"/>
              </w:rPr>
              <w:t>价格权值=0.10</w:t>
            </w:r>
          </w:p>
        </w:tc>
        <w:tc>
          <w:tcPr>
            <w:tcW w:w="4764" w:type="dxa"/>
            <w:shd w:val="clear" w:color="auto" w:fill="FFFFFF"/>
            <w:vAlign w:val="center"/>
          </w:tcPr>
          <w:p>
            <w:pPr>
              <w:widowControl/>
              <w:adjustRightInd/>
              <w:spacing w:line="400" w:lineRule="exact"/>
              <w:jc w:val="left"/>
              <w:rPr>
                <w:rFonts w:ascii="宋体" w:hAnsi="宋体" w:cs="宋体"/>
                <w:color w:val="auto"/>
                <w:kern w:val="0"/>
                <w:sz w:val="24"/>
              </w:rPr>
            </w:pPr>
            <w:r>
              <w:rPr>
                <w:rFonts w:hint="eastAsia" w:ascii="宋体" w:hAnsi="宋体" w:cs="宋体"/>
                <w:color w:val="auto"/>
                <w:kern w:val="0"/>
                <w:sz w:val="24"/>
              </w:rPr>
              <w:t>最低有效投标价格为评标基准价，其最低报价为满分；投标报价得分=(评标基准价／投标报价)×价格权值×100 （计算得分保留小数点后2位）</w:t>
            </w:r>
          </w:p>
          <w:p>
            <w:pPr>
              <w:widowControl/>
              <w:adjustRightInd/>
              <w:spacing w:line="400" w:lineRule="exact"/>
              <w:jc w:val="left"/>
              <w:rPr>
                <w:rFonts w:ascii="宋体" w:hAnsi="宋体" w:cs="宋体"/>
                <w:color w:val="auto"/>
                <w:kern w:val="0"/>
                <w:sz w:val="24"/>
              </w:rPr>
            </w:pPr>
            <w:r>
              <w:rPr>
                <w:rFonts w:hint="eastAsia" w:ascii="宋体" w:hAnsi="宋体" w:cs="宋体"/>
                <w:color w:val="auto"/>
                <w:kern w:val="0"/>
                <w:sz w:val="24"/>
              </w:rPr>
              <w:t>评标过程中，不得去掉报价中的最高报价和最低报价。</w:t>
            </w:r>
          </w:p>
          <w:p>
            <w:pPr>
              <w:widowControl/>
              <w:spacing w:line="400" w:lineRule="exact"/>
              <w:jc w:val="left"/>
              <w:textAlignment w:val="baseline"/>
              <w:rPr>
                <w:rFonts w:ascii="宋体" w:hAnsi="宋体" w:cs="宋体"/>
                <w:color w:val="auto"/>
                <w:sz w:val="24"/>
              </w:rPr>
            </w:pPr>
            <w:r>
              <w:rPr>
                <w:rFonts w:hint="eastAsia" w:ascii="宋体" w:hAnsi="宋体" w:cs="宋体"/>
                <w:color w:val="auto"/>
                <w:kern w:val="0"/>
                <w:sz w:val="24"/>
              </w:rPr>
              <w:t>对于未预留份额专门面向中小企业的政府采购货物项目，以及预留份额政府采购货物项目中的非预留</w:t>
            </w:r>
            <w:r>
              <w:rPr>
                <w:rFonts w:hint="eastAsia" w:ascii="宋体" w:hAnsi="宋体" w:cs="宋体"/>
                <w:color w:val="auto"/>
                <w:kern w:val="0"/>
                <w:sz w:val="24"/>
              </w:rPr>
              <w:t>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w:t>
            </w:r>
            <w:r>
              <w:rPr>
                <w:rFonts w:hint="eastAsia" w:ascii="宋体" w:hAnsi="宋体" w:cs="宋体"/>
                <w:color w:val="auto"/>
                <w:kern w:val="0"/>
                <w:sz w:val="24"/>
              </w:rPr>
              <w:t>用扣除后的价格参加评审。</w:t>
            </w:r>
          </w:p>
        </w:tc>
        <w:tc>
          <w:tcPr>
            <w:tcW w:w="990" w:type="dxa"/>
            <w:shd w:val="clear" w:color="auto" w:fill="auto"/>
            <w:vAlign w:val="center"/>
          </w:tcPr>
          <w:p>
            <w:pPr>
              <w:widowControl/>
              <w:spacing w:line="400" w:lineRule="exact"/>
              <w:jc w:val="center"/>
              <w:textAlignment w:val="baseline"/>
              <w:rPr>
                <w:rFonts w:ascii="宋体" w:hAnsi="宋体" w:cs="宋体"/>
                <w:color w:val="auto"/>
                <w:kern w:val="0"/>
                <w:sz w:val="24"/>
              </w:rPr>
            </w:pPr>
            <w:r>
              <w:rPr>
                <w:rFonts w:hint="eastAsia" w:ascii="宋体" w:hAnsi="宋体" w:cs="宋体"/>
                <w:color w:val="auto"/>
                <w:kern w:val="0"/>
                <w:sz w:val="24"/>
              </w:rPr>
              <w:t>10分</w:t>
            </w:r>
          </w:p>
        </w:tc>
        <w:tc>
          <w:tcPr>
            <w:tcW w:w="940" w:type="dxa"/>
            <w:shd w:val="clear" w:color="auto" w:fill="auto"/>
            <w:vAlign w:val="center"/>
          </w:tcPr>
          <w:p>
            <w:pPr>
              <w:widowControl/>
              <w:spacing w:line="400" w:lineRule="exact"/>
              <w:jc w:val="center"/>
              <w:textAlignment w:val="baseline"/>
              <w:rPr>
                <w:rFonts w:ascii="宋体" w:hAnsi="宋体" w:cs="宋体"/>
                <w:color w:val="auto"/>
                <w:kern w:val="0"/>
                <w:sz w:val="24"/>
              </w:rPr>
            </w:pPr>
            <w:r>
              <w:rPr>
                <w:rFonts w:hint="eastAsia" w:ascii="宋体" w:hAnsi="宋体" w:cs="宋体"/>
                <w:color w:val="auto"/>
                <w:kern w:val="0"/>
                <w:sz w:val="24"/>
              </w:rPr>
              <w:t>/</w:t>
            </w:r>
          </w:p>
        </w:tc>
      </w:tr>
    </w:tbl>
    <w:p>
      <w:pPr>
        <w:rPr>
          <w:rFonts w:ascii="宋体" w:hAnsi="宋体" w:cs="宋体"/>
          <w:color w:val="auto"/>
        </w:rPr>
      </w:pPr>
    </w:p>
    <w:p>
      <w:pPr>
        <w:spacing w:line="360" w:lineRule="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，提供营业执照及身份证即可</w:t>
      </w:r>
      <w:r>
        <w:rPr>
          <w:rFonts w:hint="eastAsia" w:ascii="宋体" w:hAnsi="宋体" w:cs="宋体"/>
          <w:color w:val="auto"/>
          <w:sz w:val="24"/>
        </w:rPr>
        <w:t>。</w:t>
      </w:r>
    </w:p>
    <w:p>
      <w:pPr>
        <w:spacing w:line="360" w:lineRule="auto"/>
        <w:rPr>
          <w:rFonts w:ascii="宋体" w:hAnsi="宋体" w:cs="宋体"/>
          <w:b/>
          <w:color w:val="auto"/>
          <w:sz w:val="32"/>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pPr>
        <w:snapToGrid w:val="0"/>
        <w:spacing w:line="360" w:lineRule="auto"/>
        <w:rPr>
          <w:rFonts w:ascii="宋体" w:hAnsi="宋体" w:cs="宋体"/>
          <w:b/>
          <w:color w:val="auto"/>
          <w:sz w:val="32"/>
        </w:rPr>
      </w:pPr>
    </w:p>
    <w:p>
      <w:pPr>
        <w:snapToGrid w:val="0"/>
        <w:spacing w:line="360" w:lineRule="auto"/>
        <w:rPr>
          <w:rFonts w:ascii="宋体" w:hAnsi="宋体" w:cs="宋体"/>
          <w:b/>
          <w:color w:val="auto"/>
          <w:sz w:val="32"/>
        </w:rPr>
      </w:pPr>
    </w:p>
    <w:p>
      <w:pPr>
        <w:pStyle w:val="2"/>
        <w:rPr>
          <w:rFonts w:ascii="宋体" w:hAnsi="宋体" w:cs="宋体"/>
          <w:color w:val="auto"/>
        </w:rPr>
      </w:pPr>
    </w:p>
    <w:p>
      <w:pPr>
        <w:rPr>
          <w:rFonts w:ascii="宋体" w:hAnsi="宋体" w:cs="宋体"/>
          <w:b/>
          <w:color w:val="auto"/>
          <w:sz w:val="32"/>
        </w:rPr>
      </w:pPr>
    </w:p>
    <w:p>
      <w:pPr>
        <w:pStyle w:val="2"/>
        <w:rPr>
          <w:rFonts w:ascii="宋体" w:hAnsi="宋体" w:cs="宋体"/>
          <w:color w:val="auto"/>
        </w:rPr>
      </w:pPr>
    </w:p>
    <w:p>
      <w:pPr>
        <w:rPr>
          <w:rFonts w:ascii="宋体" w:hAnsi="宋体" w:cs="宋体"/>
          <w:b/>
          <w:color w:val="auto"/>
          <w:sz w:val="32"/>
        </w:rPr>
      </w:pPr>
    </w:p>
    <w:p>
      <w:pPr>
        <w:pStyle w:val="2"/>
        <w:rPr>
          <w:rFonts w:ascii="宋体" w:hAnsi="宋体" w:cs="宋体"/>
          <w:color w:val="auto"/>
        </w:rPr>
      </w:pPr>
    </w:p>
    <w:p>
      <w:pPr>
        <w:rPr>
          <w:rFonts w:ascii="宋体" w:hAnsi="宋体" w:cs="宋体"/>
          <w:b/>
          <w:color w:val="auto"/>
          <w:sz w:val="32"/>
        </w:rPr>
      </w:pPr>
    </w:p>
    <w:p>
      <w:pPr>
        <w:rPr>
          <w:color w:val="auto"/>
        </w:rPr>
      </w:pPr>
    </w:p>
    <w:p>
      <w:pPr>
        <w:pStyle w:val="2"/>
        <w:rPr>
          <w:color w:val="auto"/>
        </w:rPr>
      </w:pP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pPr>
        <w:pStyle w:val="2"/>
        <w:ind w:left="862" w:leftChars="205"/>
        <w:rPr>
          <w:rFonts w:ascii="宋体" w:hAnsi="宋体" w:eastAsia="宋体" w:cs="宋体"/>
          <w:color w:val="auto"/>
        </w:rPr>
      </w:pPr>
      <w:r>
        <w:rPr>
          <w:rFonts w:hint="eastAsia" w:ascii="宋体" w:hAnsi="宋体" w:eastAsia="宋体" w:cs="宋体"/>
          <w:b w:val="0"/>
          <w:bCs w:val="0"/>
          <w:color w:val="auto"/>
          <w:kern w:val="0"/>
          <w:sz w:val="24"/>
          <w:szCs w:val="24"/>
          <w:lang w:val="en-US"/>
        </w:rPr>
        <w:t>4.2.14 投标文件不满足招标文件的实质性要求的；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hint="eastAsia"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废标后，采购代理机构应当将废标理由通知所有投标人。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rPr>
          <w:color w:val="auto"/>
        </w:rPr>
      </w:pPr>
    </w:p>
    <w:bookmarkEnd w:id="27"/>
    <w:p>
      <w:pPr>
        <w:rPr>
          <w:color w:val="auto"/>
        </w:rPr>
      </w:pPr>
      <w:bookmarkStart w:id="654" w:name="第五部分"/>
      <w:bookmarkStart w:id="655" w:name="_Toc86217003"/>
    </w:p>
    <w:p>
      <w:pPr>
        <w:rPr>
          <w:rFonts w:ascii="宋体" w:hAnsi="宋体" w:cs="宋体"/>
          <w:b/>
          <w:color w:val="auto"/>
          <w:szCs w:val="36"/>
        </w:rPr>
      </w:pPr>
      <w:r>
        <w:rPr>
          <w:rFonts w:hint="eastAsia"/>
          <w:color w:val="auto"/>
        </w:rPr>
        <w:t xml:space="preserve"> </w:t>
      </w:r>
      <w:r>
        <w:rPr>
          <w:rFonts w:hint="eastAsia" w:ascii="宋体" w:hAnsi="宋体" w:cs="宋体"/>
          <w:b/>
          <w:color w:val="auto"/>
          <w:szCs w:val="36"/>
        </w:rPr>
        <w:t xml:space="preserve">   </w:t>
      </w:r>
    </w:p>
    <w:p>
      <w:pPr>
        <w:pStyle w:val="2"/>
        <w:rPr>
          <w:rFonts w:ascii="宋体" w:hAnsi="宋体" w:cs="宋体"/>
          <w:color w:val="auto"/>
          <w:szCs w:val="36"/>
        </w:rPr>
      </w:pPr>
    </w:p>
    <w:p>
      <w:pPr>
        <w:rPr>
          <w:color w:val="auto"/>
        </w:rPr>
      </w:pPr>
    </w:p>
    <w:p>
      <w:pPr>
        <w:pStyle w:val="2"/>
        <w:rPr>
          <w:color w:val="auto"/>
        </w:rPr>
      </w:pPr>
    </w:p>
    <w:p>
      <w:pPr>
        <w:rPr>
          <w:color w:val="auto"/>
        </w:rPr>
      </w:pPr>
    </w:p>
    <w:p>
      <w:pPr>
        <w:pStyle w:val="2"/>
        <w:rPr>
          <w:color w:val="auto"/>
        </w:rPr>
      </w:pPr>
    </w:p>
    <w:p>
      <w:pPr>
        <w:pStyle w:val="81"/>
        <w:rPr>
          <w:color w:val="auto"/>
        </w:rPr>
      </w:pP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2"/>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9"/>
        <w:spacing w:before="120" w:line="22" w:lineRule="atLeast"/>
        <w:rPr>
          <w:rFonts w:ascii="宋体" w:hAnsi="宋体" w:eastAsia="宋体" w:cs="宋体"/>
          <w:color w:val="auto"/>
          <w:szCs w:val="24"/>
        </w:rPr>
      </w:pPr>
    </w:p>
    <w:p>
      <w:pPr>
        <w:pStyle w:val="599"/>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 </w:t>
      </w:r>
      <w:r>
        <w:rPr>
          <w:rFonts w:hint="eastAsia" w:ascii="宋体" w:hAnsi="宋体" w:cs="宋体"/>
          <w:color w:val="auto"/>
          <w:sz w:val="24"/>
        </w:rPr>
        <w:t>为该项目中标或者成交供应商。现于中标或者成交通知书发出之日起10个工作日内，按照采购文件确定的事项签订本合同。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（中或者成交标供应商名称）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560" w:lineRule="exact"/>
        <w:ind w:firstLine="482" w:firstLineChars="200"/>
        <w:outlineLvl w:val="0"/>
        <w:rPr>
          <w:rFonts w:ascii="宋体" w:hAnsi="宋体" w:cs="宋体"/>
          <w:color w:val="auto"/>
          <w:sz w:val="24"/>
        </w:rPr>
      </w:pPr>
      <w:bookmarkStart w:id="656" w:name="_Toc19273"/>
      <w:bookmarkStart w:id="657" w:name="_Toc28855"/>
      <w:bookmarkStart w:id="658" w:name="_Toc15367"/>
      <w:bookmarkStart w:id="659" w:name="_Toc22967"/>
      <w:bookmarkStart w:id="660" w:name="_Toc20421"/>
      <w:r>
        <w:rPr>
          <w:rFonts w:hint="eastAsia" w:ascii="宋体" w:hAnsi="宋体" w:cs="宋体"/>
          <w:b/>
          <w:color w:val="auto"/>
          <w:sz w:val="24"/>
        </w:rPr>
        <w:t>1.1 合同组成部分</w:t>
      </w:r>
      <w:bookmarkEnd w:id="656"/>
      <w:bookmarkEnd w:id="657"/>
      <w:bookmarkEnd w:id="658"/>
      <w:bookmarkEnd w:id="659"/>
      <w:bookmarkEnd w:id="660"/>
    </w:p>
    <w:p>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560" w:lineRule="exact"/>
        <w:ind w:firstLine="482" w:firstLineChars="200"/>
        <w:outlineLvl w:val="0"/>
        <w:rPr>
          <w:rFonts w:ascii="宋体" w:hAnsi="宋体" w:cs="宋体"/>
          <w:b/>
          <w:color w:val="auto"/>
          <w:sz w:val="24"/>
        </w:rPr>
      </w:pPr>
      <w:bookmarkStart w:id="661" w:name="_Toc18585"/>
      <w:bookmarkStart w:id="662" w:name="_Toc6773"/>
      <w:bookmarkStart w:id="663" w:name="_Toc22185"/>
      <w:bookmarkStart w:id="664" w:name="_Toc2918"/>
      <w:bookmarkStart w:id="665" w:name="_Toc6311"/>
      <w:r>
        <w:rPr>
          <w:rFonts w:hint="eastAsia" w:ascii="宋体" w:hAnsi="宋体" w:cs="宋体"/>
          <w:b/>
          <w:color w:val="auto"/>
          <w:sz w:val="24"/>
        </w:rPr>
        <w:t>1.2 标的</w:t>
      </w:r>
      <w:bookmarkEnd w:id="661"/>
      <w:bookmarkEnd w:id="662"/>
      <w:bookmarkEnd w:id="663"/>
      <w:bookmarkEnd w:id="664"/>
      <w:bookmarkEnd w:id="665"/>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服务内容：</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服务标准：</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技术保障：</w:t>
      </w:r>
      <w:r>
        <w:rPr>
          <w:rFonts w:hint="eastAsia" w:ascii="宋体" w:hAnsi="宋体" w:cs="宋体"/>
          <w:color w:val="auto"/>
          <w:sz w:val="24"/>
          <w:u w:val="single"/>
        </w:rPr>
        <w:t>　　　　　　　　　                      　      ；</w:t>
      </w:r>
    </w:p>
    <w:p>
      <w:pPr>
        <w:spacing w:line="560" w:lineRule="exact"/>
        <w:ind w:firstLine="480" w:firstLineChars="200"/>
        <w:jc w:val="left"/>
        <w:rPr>
          <w:rFonts w:ascii="宋体" w:hAnsi="宋体" w:cs="宋体"/>
          <w:color w:val="auto"/>
          <w:sz w:val="24"/>
        </w:rPr>
      </w:pPr>
      <w:r>
        <w:rPr>
          <w:rFonts w:hint="eastAsia" w:ascii="宋体" w:hAnsi="宋体" w:cs="宋体"/>
          <w:color w:val="auto"/>
          <w:sz w:val="24"/>
        </w:rPr>
        <w:t>1.2.4 服务人员组成：</w:t>
      </w:r>
      <w:r>
        <w:rPr>
          <w:rFonts w:hint="eastAsia" w:ascii="宋体" w:hAnsi="宋体" w:cs="宋体"/>
          <w:color w:val="auto"/>
          <w:sz w:val="24"/>
          <w:u w:val="single"/>
        </w:rPr>
        <w:t xml:space="preserve">　　             　      </w:t>
      </w:r>
      <w:r>
        <w:rPr>
          <w:rFonts w:hint="eastAsia" w:ascii="宋体" w:hAnsi="宋体" w:cs="宋体"/>
          <w:color w:val="auto"/>
          <w:sz w:val="24"/>
        </w:rPr>
        <w:t>；</w:t>
      </w:r>
    </w:p>
    <w:p>
      <w:pPr>
        <w:pStyle w:val="96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（是/否）涉及货物。若涉及货物的的，则：</w:t>
      </w:r>
    </w:p>
    <w:p>
      <w:pPr>
        <w:spacing w:line="560" w:lineRule="exact"/>
        <w:ind w:firstLine="480" w:firstLineChars="200"/>
        <w:rPr>
          <w:rFonts w:ascii="宋体" w:hAnsi="宋体" w:cs="宋体"/>
          <w:color w:val="auto"/>
          <w:sz w:val="24"/>
          <w:u w:val="single"/>
        </w:rPr>
      </w:pPr>
      <w:bookmarkStart w:id="666" w:name="_Toc21124"/>
      <w:bookmarkStart w:id="667" w:name="_Toc1386"/>
      <w:bookmarkStart w:id="668" w:name="_Toc4929"/>
      <w:bookmarkStart w:id="669" w:name="_Toc13918"/>
      <w:bookmarkStart w:id="670"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1.3 价款</w:t>
      </w:r>
      <w:bookmarkEnd w:id="666"/>
      <w:bookmarkEnd w:id="667"/>
      <w:bookmarkEnd w:id="668"/>
      <w:bookmarkEnd w:id="669"/>
      <w:bookmarkEnd w:id="670"/>
    </w:p>
    <w:p>
      <w:pPr>
        <w:spacing w:line="560" w:lineRule="exact"/>
        <w:ind w:firstLine="480" w:firstLineChars="200"/>
        <w:rPr>
          <w:rFonts w:ascii="宋体" w:hAnsi="宋体" w:cs="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s="宋体"/>
          <w:color w:val="auto"/>
          <w:sz w:val="24"/>
        </w:rPr>
      </w:pPr>
      <w:r>
        <w:rPr>
          <w:rFonts w:hint="eastAsia" w:ascii="宋体" w:hAnsi="宋体" w:cs="宋体"/>
          <w:color w:val="auto"/>
          <w:sz w:val="24"/>
        </w:rPr>
        <w:t>1.3.1总价合同，本合同总价（含税）为：￥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vAlign w:val="center"/>
          </w:tcPr>
          <w:p>
            <w:pPr>
              <w:pStyle w:val="320"/>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vAlign w:val="center"/>
          </w:tcPr>
          <w:p>
            <w:pPr>
              <w:pStyle w:val="320"/>
              <w:spacing w:line="560" w:lineRule="exact"/>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s="宋体"/>
                <w:color w:val="auto"/>
                <w:sz w:val="24"/>
                <w:szCs w:val="24"/>
              </w:rPr>
            </w:pPr>
          </w:p>
        </w:tc>
        <w:tc>
          <w:tcPr>
            <w:tcW w:w="3402" w:type="dxa"/>
            <w:vAlign w:val="center"/>
          </w:tcPr>
          <w:p>
            <w:pPr>
              <w:pStyle w:val="320"/>
              <w:spacing w:line="560" w:lineRule="exact"/>
              <w:ind w:firstLine="200"/>
              <w:jc w:val="center"/>
              <w:rPr>
                <w:rFonts w:hAnsi="宋体" w:cs="宋体"/>
                <w:color w:val="auto"/>
                <w:sz w:val="24"/>
                <w:szCs w:val="24"/>
              </w:rPr>
            </w:pPr>
          </w:p>
        </w:tc>
        <w:tc>
          <w:tcPr>
            <w:tcW w:w="2552" w:type="dxa"/>
            <w:vAlign w:val="center"/>
          </w:tcPr>
          <w:p>
            <w:pPr>
              <w:pStyle w:val="320"/>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s="宋体"/>
                <w:color w:val="auto"/>
                <w:sz w:val="24"/>
                <w:szCs w:val="24"/>
              </w:rPr>
            </w:pPr>
          </w:p>
        </w:tc>
        <w:tc>
          <w:tcPr>
            <w:tcW w:w="3402" w:type="dxa"/>
            <w:vAlign w:val="center"/>
          </w:tcPr>
          <w:p>
            <w:pPr>
              <w:pStyle w:val="320"/>
              <w:spacing w:line="560" w:lineRule="exact"/>
              <w:ind w:firstLine="200"/>
              <w:jc w:val="center"/>
              <w:rPr>
                <w:rFonts w:hAnsi="宋体" w:cs="宋体"/>
                <w:color w:val="auto"/>
                <w:sz w:val="24"/>
                <w:szCs w:val="24"/>
              </w:rPr>
            </w:pPr>
          </w:p>
        </w:tc>
        <w:tc>
          <w:tcPr>
            <w:tcW w:w="2552" w:type="dxa"/>
            <w:vAlign w:val="center"/>
          </w:tcPr>
          <w:p>
            <w:pPr>
              <w:pStyle w:val="320"/>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s="宋体"/>
                <w:color w:val="auto"/>
                <w:sz w:val="24"/>
                <w:szCs w:val="24"/>
              </w:rPr>
            </w:pPr>
          </w:p>
        </w:tc>
        <w:tc>
          <w:tcPr>
            <w:tcW w:w="3402" w:type="dxa"/>
            <w:vAlign w:val="center"/>
          </w:tcPr>
          <w:p>
            <w:pPr>
              <w:pStyle w:val="320"/>
              <w:spacing w:line="560" w:lineRule="exact"/>
              <w:ind w:firstLine="200"/>
              <w:jc w:val="center"/>
              <w:rPr>
                <w:rFonts w:hAnsi="宋体" w:cs="宋体"/>
                <w:color w:val="auto"/>
                <w:sz w:val="24"/>
                <w:szCs w:val="24"/>
              </w:rPr>
            </w:pPr>
          </w:p>
        </w:tc>
        <w:tc>
          <w:tcPr>
            <w:tcW w:w="2552" w:type="dxa"/>
            <w:vAlign w:val="center"/>
          </w:tcPr>
          <w:p>
            <w:pPr>
              <w:pStyle w:val="320"/>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s="宋体"/>
                <w:color w:val="auto"/>
                <w:sz w:val="24"/>
                <w:szCs w:val="24"/>
              </w:rPr>
            </w:pPr>
          </w:p>
        </w:tc>
        <w:tc>
          <w:tcPr>
            <w:tcW w:w="3402" w:type="dxa"/>
            <w:vAlign w:val="center"/>
          </w:tcPr>
          <w:p>
            <w:pPr>
              <w:pStyle w:val="320"/>
              <w:spacing w:line="560" w:lineRule="exact"/>
              <w:ind w:firstLine="200"/>
              <w:jc w:val="center"/>
              <w:rPr>
                <w:rFonts w:hAnsi="宋体" w:cs="宋体"/>
                <w:color w:val="auto"/>
                <w:sz w:val="24"/>
                <w:szCs w:val="24"/>
              </w:rPr>
            </w:pPr>
          </w:p>
        </w:tc>
        <w:tc>
          <w:tcPr>
            <w:tcW w:w="2552" w:type="dxa"/>
            <w:vAlign w:val="center"/>
          </w:tcPr>
          <w:p>
            <w:pPr>
              <w:pStyle w:val="320"/>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vAlign w:val="center"/>
          </w:tcPr>
          <w:p>
            <w:pPr>
              <w:pStyle w:val="320"/>
              <w:spacing w:line="560" w:lineRule="exact"/>
              <w:ind w:firstLine="200"/>
              <w:jc w:val="center"/>
              <w:rPr>
                <w:rFonts w:hAnsi="宋体" w:cs="宋体"/>
                <w:color w:val="auto"/>
                <w:sz w:val="24"/>
                <w:szCs w:val="24"/>
              </w:rPr>
            </w:pPr>
          </w:p>
        </w:tc>
      </w:tr>
    </w:tbl>
    <w:p>
      <w:pPr>
        <w:spacing w:line="560" w:lineRule="exact"/>
        <w:ind w:firstLine="480" w:firstLineChars="200"/>
        <w:rPr>
          <w:rFonts w:ascii="宋体" w:hAnsi="宋体" w:cs="宋体"/>
          <w:color w:val="auto"/>
          <w:sz w:val="24"/>
        </w:rPr>
      </w:pPr>
      <w:bookmarkStart w:id="671" w:name="_Toc26916"/>
      <w:bookmarkStart w:id="672" w:name="_Toc3654"/>
      <w:bookmarkStart w:id="673" w:name="_Toc30158"/>
      <w:bookmarkStart w:id="674" w:name="_Toc30506"/>
      <w:bookmarkStart w:id="675" w:name="_Toc14993"/>
      <w:r>
        <w:rPr>
          <w:rFonts w:hint="eastAsia" w:ascii="宋体" w:hAnsi="宋体" w:cs="宋体"/>
          <w:bCs/>
          <w:color w:val="auto"/>
          <w:sz w:val="24"/>
        </w:rPr>
        <w:t>1.3.2单价合同，本合同单价（含税）标准为：</w:t>
      </w:r>
      <w:r>
        <w:rPr>
          <w:rFonts w:hint="eastAsia" w:ascii="宋体" w:hAnsi="宋体" w:cs="宋体"/>
          <w:bCs/>
          <w:color w:val="auto"/>
          <w:sz w:val="24"/>
          <w:u w:val="single"/>
        </w:rPr>
        <w:t xml:space="preserve">                   </w:t>
      </w:r>
      <w:r>
        <w:rPr>
          <w:rFonts w:hint="eastAsia" w:ascii="宋体" w:hAnsi="宋体" w:cs="宋体"/>
          <w:color w:val="auto"/>
          <w:sz w:val="24"/>
        </w:rPr>
        <w:t>。服务工作量的计量方式为：</w:t>
      </w:r>
      <w:r>
        <w:rPr>
          <w:rFonts w:hint="eastAsia" w:ascii="宋体" w:hAnsi="宋体" w:cs="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bCs/>
          <w:color w:val="auto"/>
          <w:sz w:val="24"/>
          <w:u w:val="single"/>
        </w:rPr>
        <w:t xml:space="preserve">     </w:t>
      </w:r>
      <w:r>
        <w:rPr>
          <w:rFonts w:hint="eastAsia" w:ascii="宋体" w:hAnsi="宋体" w:cs="宋体"/>
          <w:color w:val="auto"/>
          <w:sz w:val="24"/>
        </w:rPr>
        <w:t>。单价合同，在合同履行期间内，根据实际完成的工作量据实结算，但结算总价上限不得超过预算金额或者双方确定的金额￥</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pPr>
        <w:pStyle w:val="2"/>
        <w:rPr>
          <w:rFonts w:ascii="宋体" w:hAnsi="宋体" w:eastAsia="宋体" w:cs="宋体"/>
          <w:color w:val="auto"/>
          <w:lang w:val="en-US"/>
        </w:rPr>
      </w:pPr>
      <w:r>
        <w:rPr>
          <w:rFonts w:hint="eastAsia" w:ascii="宋体" w:hAnsi="宋体" w:eastAsia="宋体" w:cs="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671"/>
    <w:bookmarkEnd w:id="672"/>
    <w:bookmarkEnd w:id="673"/>
    <w:bookmarkEnd w:id="674"/>
    <w:bookmarkEnd w:id="675"/>
    <w:p>
      <w:pPr>
        <w:pStyle w:val="960"/>
        <w:spacing w:before="0" w:beforeAutospacing="0" w:after="0" w:afterAutospacing="0" w:line="360" w:lineRule="auto"/>
        <w:ind w:firstLine="480"/>
        <w:rPr>
          <w:b/>
          <w:color w:val="auto"/>
        </w:rPr>
      </w:pPr>
      <w:bookmarkStart w:id="676" w:name="_Toc10340"/>
      <w:bookmarkStart w:id="677" w:name="_Toc1814"/>
      <w:bookmarkStart w:id="678" w:name="_Toc22618"/>
      <w:bookmarkStart w:id="679" w:name="_Toc8772"/>
      <w:bookmarkStart w:id="680" w:name="_Toc11108"/>
      <w:bookmarkStart w:id="681" w:name="_Toc4760"/>
      <w:bookmarkStart w:id="682" w:name="_Toc3625"/>
      <w:bookmarkStart w:id="683" w:name="_Toc31421"/>
      <w:r>
        <w:rPr>
          <w:rFonts w:hint="eastAsia"/>
          <w:b/>
          <w:color w:val="auto"/>
        </w:rPr>
        <w:t>1.4履约保证金</w:t>
      </w:r>
    </w:p>
    <w:p>
      <w:pPr>
        <w:pStyle w:val="96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2"/>
        <w:tabs>
          <w:tab w:val="left" w:pos="0"/>
        </w:tabs>
        <w:spacing w:line="560" w:lineRule="exact"/>
        <w:ind w:left="0" w:firstLine="480" w:firstLineChars="200"/>
        <w:rPr>
          <w:rFonts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676"/>
      <w:bookmarkEnd w:id="677"/>
      <w:bookmarkEnd w:id="678"/>
      <w:r>
        <w:rPr>
          <w:rFonts w:hint="eastAsia" w:ascii="宋体" w:hAnsi="宋体" w:cs="宋体"/>
          <w:b/>
          <w:color w:val="auto"/>
          <w:sz w:val="24"/>
        </w:rPr>
        <w:t>预付款</w:t>
      </w:r>
    </w:p>
    <w:p>
      <w:pPr>
        <w:pStyle w:val="960"/>
        <w:spacing w:before="0" w:beforeAutospacing="0" w:after="0" w:afterAutospacing="0" w:line="360" w:lineRule="auto"/>
        <w:ind w:firstLine="480"/>
        <w:rPr>
          <w:color w:val="auto"/>
        </w:rPr>
      </w:pPr>
      <w:r>
        <w:rPr>
          <w:rFonts w:hint="eastAsia"/>
          <w:color w:val="auto"/>
        </w:rPr>
        <w:t>乙方主动明确提出，甲方</w:t>
      </w:r>
      <w:r>
        <w:rPr>
          <w:rFonts w:hint="eastAsia"/>
          <w:color w:val="auto"/>
          <w:u w:val="single"/>
        </w:rPr>
        <w:t xml:space="preserve">     </w:t>
      </w:r>
      <w:r>
        <w:rPr>
          <w:rFonts w:hint="eastAsia"/>
          <w:color w:val="auto"/>
        </w:rPr>
        <w:t>（是/否）需要支付预付款。若需要支付预付款的，则：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b/>
          <w:bCs/>
          <w:color w:val="auto"/>
        </w:rPr>
      </w:pPr>
      <w:r>
        <w:rPr>
          <w:rFonts w:hint="eastAsia"/>
          <w:b/>
          <w:bCs/>
          <w:color w:val="auto"/>
        </w:rPr>
        <w:t>1.6资金支付</w:t>
      </w:r>
    </w:p>
    <w:p>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1.7 履行期限、地点和方式</w:t>
      </w:r>
      <w:bookmarkEnd w:id="679"/>
      <w:bookmarkEnd w:id="680"/>
      <w:bookmarkEnd w:id="681"/>
      <w:bookmarkEnd w:id="682"/>
      <w:bookmarkEnd w:id="683"/>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服务交付（实施）的时间（期限）：</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1.7.2 服务交付（实施）的地点（地域范围）：</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1.7.3 服务交付（实施）的方式：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outlineLvl w:val="0"/>
        <w:rPr>
          <w:rFonts w:ascii="宋体" w:hAnsi="宋体" w:cs="宋体"/>
          <w:bCs/>
          <w:color w:val="auto"/>
          <w:sz w:val="24"/>
        </w:rPr>
      </w:pPr>
      <w:bookmarkStart w:id="684" w:name="_Toc3079"/>
      <w:bookmarkStart w:id="685" w:name="_Toc8586"/>
      <w:bookmarkStart w:id="686" w:name="_Toc5698"/>
      <w:bookmarkStart w:id="687" w:name="_Toc24662"/>
      <w:bookmarkStart w:id="688" w:name="_Toc2375"/>
      <w:r>
        <w:rPr>
          <w:rFonts w:hint="eastAsia" w:ascii="宋体" w:hAnsi="宋体" w:cs="宋体"/>
          <w:bCs/>
          <w:color w:val="auto"/>
          <w:sz w:val="24"/>
        </w:rPr>
        <w:t>1.7.4若服务涉及货物的，则货物的：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color w:val="auto"/>
          <w:sz w:val="24"/>
          <w:u w:val="single"/>
        </w:rPr>
      </w:pPr>
      <w:r>
        <w:rPr>
          <w:rFonts w:hint="eastAsia" w:ascii="宋体" w:hAnsi="宋体" w:cs="宋体"/>
          <w:b/>
          <w:color w:val="auto"/>
          <w:sz w:val="24"/>
        </w:rPr>
        <w:t>1.8违约责任</w:t>
      </w:r>
      <w:bookmarkEnd w:id="684"/>
      <w:bookmarkEnd w:id="685"/>
      <w:bookmarkEnd w:id="686"/>
      <w:bookmarkEnd w:id="687"/>
      <w:bookmarkEnd w:id="688"/>
    </w:p>
    <w:p>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u w:val="single"/>
        </w:rPr>
        <w:t xml:space="preserve">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%；迟延履行的违约金计算数额达到前述最高限额之日起，甲方有权在要求乙方支付违约金的同时，书面通知乙方解除本合同；</w:t>
      </w:r>
    </w:p>
    <w:p>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可根据情况修改）</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可根据情况修改）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rPr>
      </w:pPr>
      <w:bookmarkStart w:id="689" w:name="_Toc30329"/>
      <w:bookmarkStart w:id="690" w:name="_Toc18683"/>
      <w:bookmarkStart w:id="691" w:name="_Toc32454"/>
      <w:bookmarkStart w:id="692" w:name="_Toc9497"/>
      <w:bookmarkStart w:id="693"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689"/>
    <w:bookmarkEnd w:id="690"/>
    <w:bookmarkEnd w:id="691"/>
    <w:bookmarkEnd w:id="692"/>
    <w:bookmarkEnd w:id="693"/>
    <w:p>
      <w:pPr>
        <w:spacing w:line="560" w:lineRule="exact"/>
        <w:ind w:firstLine="482" w:firstLineChars="200"/>
        <w:outlineLvl w:val="0"/>
        <w:rPr>
          <w:rFonts w:ascii="宋体" w:hAnsi="宋体" w:cs="宋体"/>
          <w:b/>
          <w:color w:val="auto"/>
          <w:sz w:val="24"/>
        </w:rPr>
      </w:pPr>
      <w:bookmarkStart w:id="694" w:name="_Toc28375"/>
      <w:bookmarkStart w:id="695" w:name="_Toc15583"/>
      <w:bookmarkStart w:id="696" w:name="_Toc16021"/>
      <w:r>
        <w:rPr>
          <w:rFonts w:hint="eastAsia" w:ascii="宋体" w:hAnsi="宋体" w:cs="宋体"/>
          <w:b/>
          <w:color w:val="auto"/>
          <w:sz w:val="24"/>
        </w:rPr>
        <w:t>1.9合同争议的解决</w:t>
      </w:r>
      <w:bookmarkEnd w:id="694"/>
      <w:bookmarkEnd w:id="695"/>
      <w:bookmarkEnd w:id="696"/>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697" w:name="_Toc7245"/>
      <w:bookmarkStart w:id="698" w:name="_Toc15322"/>
      <w:bookmarkStart w:id="699" w:name="_Toc11173"/>
      <w:r>
        <w:rPr>
          <w:rFonts w:hint="eastAsia" w:ascii="宋体" w:hAnsi="宋体" w:cs="宋体"/>
          <w:b/>
          <w:color w:val="auto"/>
          <w:sz w:val="24"/>
        </w:rPr>
        <w:t>2.0 合同生效</w:t>
      </w:r>
      <w:bookmarkEnd w:id="697"/>
      <w:bookmarkEnd w:id="698"/>
      <w:bookmarkEnd w:id="699"/>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法定代表人或</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授权代表（签字）: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pPr>
        <w:widowControl/>
        <w:spacing w:line="560" w:lineRule="exact"/>
        <w:jc w:val="left"/>
        <w:rPr>
          <w:rFonts w:ascii="宋体" w:hAnsi="宋体" w:cs="宋体"/>
          <w:b/>
          <w:color w:val="auto"/>
          <w:sz w:val="24"/>
        </w:rPr>
      </w:pPr>
    </w:p>
    <w:p>
      <w:pPr>
        <w:widowControl/>
        <w:adjustRightInd/>
        <w:jc w:val="left"/>
        <w:rPr>
          <w:rFonts w:ascii="宋体" w:hAnsi="宋体" w:cs="宋体"/>
          <w:b/>
          <w:color w:val="auto"/>
          <w:sz w:val="24"/>
        </w:rPr>
      </w:pPr>
      <w:r>
        <w:rPr>
          <w:rFonts w:hint="eastAsia" w:ascii="宋体" w:hAnsi="宋体" w:cs="宋体"/>
          <w:b/>
          <w:color w:val="auto"/>
        </w:rPr>
        <w:br w:type="page"/>
      </w:r>
    </w:p>
    <w:p>
      <w:pPr>
        <w:pStyle w:val="702"/>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pPr>
        <w:spacing w:line="560" w:lineRule="exact"/>
        <w:ind w:firstLine="482" w:firstLineChars="200"/>
        <w:outlineLvl w:val="0"/>
        <w:rPr>
          <w:rFonts w:ascii="宋体" w:hAnsi="宋体" w:cs="宋体"/>
          <w:b/>
          <w:color w:val="auto"/>
          <w:sz w:val="24"/>
        </w:rPr>
      </w:pPr>
      <w:bookmarkStart w:id="700" w:name="_Toc31297"/>
      <w:bookmarkStart w:id="701" w:name="_Toc5228"/>
      <w:bookmarkStart w:id="702" w:name="_Toc19680"/>
      <w:bookmarkStart w:id="703" w:name="_Toc25079"/>
      <w:bookmarkStart w:id="704" w:name="_Toc14021"/>
      <w:r>
        <w:rPr>
          <w:rFonts w:hint="eastAsia" w:ascii="宋体" w:hAnsi="宋体" w:cs="宋体"/>
          <w:b/>
          <w:color w:val="auto"/>
          <w:sz w:val="24"/>
        </w:rPr>
        <w:t>2.1 定义</w:t>
      </w:r>
      <w:bookmarkEnd w:id="700"/>
      <w:bookmarkEnd w:id="701"/>
      <w:bookmarkEnd w:id="702"/>
      <w:bookmarkEnd w:id="703"/>
      <w:bookmarkEnd w:id="704"/>
    </w:p>
    <w:p>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rPr>
      </w:pPr>
      <w:r>
        <w:rPr>
          <w:rFonts w:hint="eastAsia" w:ascii="宋体" w:hAnsi="宋体" w:cs="宋体"/>
          <w:color w:val="auto"/>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cs="宋体"/>
          <w:color w:val="auto"/>
          <w:sz w:val="24"/>
        </w:rPr>
      </w:pPr>
      <w:r>
        <w:rPr>
          <w:rFonts w:hint="eastAsia" w:ascii="宋体" w:hAnsi="宋体" w:cs="宋体"/>
          <w:color w:val="auto"/>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宋体" w:hAnsi="宋体" w:cs="宋体"/>
          <w:color w:val="auto"/>
          <w:sz w:val="24"/>
        </w:rPr>
      </w:pPr>
      <w:r>
        <w:rPr>
          <w:rFonts w:hint="eastAsia" w:ascii="宋体" w:hAnsi="宋体" w:cs="宋体"/>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2.1.6 “现场”系指合同约定提供服务的地点。</w:t>
      </w:r>
    </w:p>
    <w:p>
      <w:pPr>
        <w:spacing w:line="560" w:lineRule="exact"/>
        <w:ind w:firstLine="482" w:firstLineChars="200"/>
        <w:outlineLvl w:val="0"/>
        <w:rPr>
          <w:rFonts w:ascii="宋体" w:hAnsi="宋体" w:cs="宋体"/>
          <w:b/>
          <w:color w:val="auto"/>
          <w:sz w:val="24"/>
        </w:rPr>
      </w:pPr>
      <w:bookmarkStart w:id="705" w:name="_Toc3769"/>
      <w:bookmarkStart w:id="706" w:name="_Toc31402"/>
      <w:bookmarkStart w:id="707" w:name="_Toc16752"/>
      <w:bookmarkStart w:id="708" w:name="_Toc23289"/>
      <w:bookmarkStart w:id="709" w:name="_Toc19539"/>
      <w:r>
        <w:rPr>
          <w:rFonts w:hint="eastAsia" w:ascii="宋体" w:hAnsi="宋体" w:cs="宋体"/>
          <w:b/>
          <w:color w:val="auto"/>
          <w:sz w:val="24"/>
        </w:rPr>
        <w:t>2.2 技术规范</w:t>
      </w:r>
      <w:bookmarkEnd w:id="705"/>
      <w:bookmarkEnd w:id="706"/>
      <w:bookmarkEnd w:id="707"/>
      <w:bookmarkEnd w:id="708"/>
      <w:bookmarkEnd w:id="709"/>
    </w:p>
    <w:p>
      <w:pPr>
        <w:spacing w:line="560" w:lineRule="exact"/>
        <w:ind w:firstLine="480" w:firstLineChars="200"/>
        <w:rPr>
          <w:rFonts w:ascii="宋体" w:hAnsi="宋体" w:cs="宋体"/>
          <w:color w:val="auto"/>
          <w:sz w:val="24"/>
        </w:rPr>
      </w:pPr>
      <w:r>
        <w:rPr>
          <w:rFonts w:hint="eastAsia" w:ascii="宋体" w:hAnsi="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rPr>
      </w:pPr>
      <w:bookmarkStart w:id="710" w:name="_Toc13673"/>
      <w:bookmarkStart w:id="711" w:name="_Toc9161"/>
      <w:bookmarkStart w:id="712" w:name="_Toc4133"/>
      <w:bookmarkStart w:id="713" w:name="_Toc27945"/>
      <w:bookmarkStart w:id="714" w:name="_Toc12412"/>
      <w:r>
        <w:rPr>
          <w:rFonts w:hint="eastAsia" w:ascii="宋体" w:hAnsi="宋体" w:cs="宋体"/>
          <w:b/>
          <w:color w:val="auto"/>
          <w:sz w:val="24"/>
        </w:rPr>
        <w:t>2.3 知识产权</w:t>
      </w:r>
      <w:bookmarkEnd w:id="710"/>
      <w:bookmarkEnd w:id="711"/>
      <w:bookmarkEnd w:id="712"/>
      <w:bookmarkEnd w:id="713"/>
      <w:bookmarkEnd w:id="714"/>
    </w:p>
    <w:p>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宋体" w:hAnsi="宋体" w:cs="宋体"/>
          <w:color w:val="auto"/>
          <w:sz w:val="24"/>
        </w:rPr>
      </w:pPr>
      <w:r>
        <w:rPr>
          <w:rFonts w:hint="eastAsia" w:ascii="宋体" w:hAnsi="宋体" w:cs="宋体"/>
          <w:color w:val="auto"/>
          <w:sz w:val="24"/>
        </w:rPr>
        <w:t>2.3.2 合同涉及技术成果的归属和收益的分成办法的，详见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rPr>
          <w:rFonts w:ascii="宋体" w:hAnsi="宋体" w:cs="宋体"/>
          <w:b/>
          <w:color w:val="auto"/>
          <w:sz w:val="24"/>
        </w:rPr>
      </w:pPr>
      <w:r>
        <w:rPr>
          <w:rFonts w:hint="eastAsia" w:ascii="宋体" w:hAnsi="宋体" w:cs="宋体"/>
          <w:b/>
          <w:color w:val="auto"/>
          <w:sz w:val="24"/>
        </w:rPr>
        <w:t>2.4 履约检查和问题反馈</w:t>
      </w:r>
    </w:p>
    <w:p>
      <w:pPr>
        <w:spacing w:line="560" w:lineRule="exact"/>
        <w:ind w:firstLine="480" w:firstLineChars="200"/>
        <w:rPr>
          <w:rFonts w:ascii="宋体" w:hAnsi="宋体" w:cs="宋体"/>
          <w:color w:val="auto"/>
          <w:sz w:val="24"/>
        </w:rPr>
      </w:pPr>
      <w:r>
        <w:rPr>
          <w:rFonts w:hint="eastAsia" w:ascii="宋体" w:hAnsi="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cs="宋体"/>
          <w:b/>
          <w:color w:val="auto"/>
          <w:sz w:val="24"/>
        </w:rPr>
      </w:pPr>
      <w:bookmarkStart w:id="715" w:name="_Toc22011"/>
      <w:bookmarkStart w:id="716" w:name="_Toc32670"/>
      <w:bookmarkStart w:id="717" w:name="_Toc15447"/>
      <w:bookmarkStart w:id="718" w:name="_Toc26555"/>
      <w:bookmarkStart w:id="719" w:name="_Toc31233"/>
      <w:r>
        <w:rPr>
          <w:rFonts w:hint="eastAsia" w:ascii="宋体" w:hAnsi="宋体" w:cs="宋体"/>
          <w:b/>
          <w:color w:val="auto"/>
          <w:sz w:val="24"/>
        </w:rPr>
        <w:t>2.5 结算方式和付款条件</w:t>
      </w:r>
      <w:bookmarkEnd w:id="715"/>
      <w:bookmarkEnd w:id="716"/>
      <w:bookmarkEnd w:id="717"/>
      <w:bookmarkEnd w:id="718"/>
      <w:bookmarkEnd w:id="719"/>
    </w:p>
    <w:p>
      <w:pPr>
        <w:spacing w:line="560" w:lineRule="exact"/>
        <w:ind w:firstLine="480" w:firstLineChars="200"/>
        <w:rPr>
          <w:rFonts w:ascii="宋体" w:hAnsi="宋体" w:cs="宋体"/>
          <w:color w:val="auto"/>
          <w:sz w:val="24"/>
        </w:rPr>
      </w:pPr>
      <w:r>
        <w:rPr>
          <w:rFonts w:hint="eastAsia" w:ascii="宋体" w:hAnsi="宋体" w:cs="宋体"/>
          <w:color w:val="auto"/>
          <w:sz w:val="24"/>
        </w:rPr>
        <w:t>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720" w:name="_Toc18990"/>
      <w:bookmarkStart w:id="721" w:name="_Toc16163"/>
      <w:bookmarkStart w:id="722" w:name="_Toc13467"/>
      <w:bookmarkStart w:id="723" w:name="_Toc13154"/>
      <w:bookmarkStart w:id="724" w:name="_Toc30507"/>
      <w:r>
        <w:rPr>
          <w:rFonts w:hint="eastAsia" w:ascii="宋体" w:hAnsi="宋体" w:cs="宋体"/>
          <w:b/>
          <w:color w:val="auto"/>
          <w:sz w:val="24"/>
        </w:rPr>
        <w:t>2.6 技术资料和保密义务</w:t>
      </w:r>
      <w:bookmarkEnd w:id="720"/>
      <w:bookmarkEnd w:id="721"/>
      <w:bookmarkEnd w:id="722"/>
      <w:bookmarkEnd w:id="723"/>
      <w:bookmarkEnd w:id="724"/>
    </w:p>
    <w:p>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rPr>
      </w:pPr>
      <w:bookmarkStart w:id="725" w:name="_Toc19069"/>
      <w:r>
        <w:rPr>
          <w:rFonts w:hint="eastAsia" w:ascii="宋体" w:hAnsi="宋体" w:cs="宋体"/>
          <w:b/>
          <w:color w:val="auto"/>
          <w:sz w:val="24"/>
        </w:rPr>
        <w:t>2.7 质量保证</w:t>
      </w:r>
      <w:bookmarkEnd w:id="725"/>
    </w:p>
    <w:p>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rPr>
      </w:pPr>
      <w:bookmarkStart w:id="726" w:name="_Toc22267"/>
      <w:r>
        <w:rPr>
          <w:rFonts w:hint="eastAsia" w:ascii="宋体" w:hAnsi="宋体" w:cs="宋体"/>
          <w:b/>
          <w:color w:val="auto"/>
          <w:sz w:val="24"/>
        </w:rPr>
        <w:t>2.8 延迟履行</w:t>
      </w:r>
      <w:bookmarkEnd w:id="726"/>
    </w:p>
    <w:p>
      <w:pPr>
        <w:spacing w:line="560" w:lineRule="exact"/>
        <w:ind w:firstLine="480" w:firstLineChars="200"/>
        <w:rPr>
          <w:rFonts w:ascii="宋体" w:hAnsi="宋体" w:cs="宋体"/>
          <w:color w:val="auto"/>
          <w:sz w:val="24"/>
        </w:rPr>
      </w:pPr>
      <w:r>
        <w:rPr>
          <w:rFonts w:hint="eastAsia" w:ascii="宋体" w:hAnsi="宋体" w:cs="宋体"/>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宋体" w:hAnsi="宋体" w:cs="宋体"/>
          <w:b/>
          <w:color w:val="auto"/>
          <w:sz w:val="24"/>
        </w:rPr>
      </w:pPr>
      <w:bookmarkStart w:id="727" w:name="_Toc10611"/>
      <w:r>
        <w:rPr>
          <w:rFonts w:hint="eastAsia" w:ascii="宋体" w:hAnsi="宋体" w:cs="宋体"/>
          <w:b/>
          <w:color w:val="auto"/>
          <w:sz w:val="24"/>
        </w:rPr>
        <w:t>2.9 合同变更</w:t>
      </w:r>
      <w:bookmarkEnd w:id="727"/>
    </w:p>
    <w:p>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rPr>
      </w:pPr>
      <w:bookmarkStart w:id="728" w:name="_Toc42"/>
      <w:bookmarkStart w:id="729" w:name="_Toc10663"/>
      <w:bookmarkStart w:id="730" w:name="_Toc26689"/>
      <w:bookmarkStart w:id="731" w:name="_Toc21830"/>
      <w:bookmarkStart w:id="732" w:name="_Toc23368"/>
      <w:r>
        <w:rPr>
          <w:rFonts w:hint="eastAsia" w:ascii="宋体" w:hAnsi="宋体" w:cs="宋体"/>
          <w:b/>
          <w:color w:val="auto"/>
          <w:sz w:val="24"/>
        </w:rPr>
        <w:t>2.10 合同转让和分包</w:t>
      </w:r>
      <w:bookmarkEnd w:id="728"/>
      <w:bookmarkEnd w:id="729"/>
      <w:bookmarkEnd w:id="730"/>
      <w:bookmarkEnd w:id="731"/>
      <w:bookmarkEnd w:id="732"/>
    </w:p>
    <w:p>
      <w:pPr>
        <w:spacing w:line="560" w:lineRule="exact"/>
        <w:ind w:firstLine="480" w:firstLineChars="200"/>
        <w:rPr>
          <w:rFonts w:ascii="宋体" w:hAnsi="宋体" w:cs="宋体"/>
          <w:color w:val="auto"/>
          <w:sz w:val="24"/>
        </w:rPr>
      </w:pPr>
      <w:r>
        <w:rPr>
          <w:rFonts w:hint="eastAsia" w:ascii="宋体" w:hAnsi="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宋体" w:hAnsi="宋体" w:cs="宋体"/>
          <w:b/>
          <w:color w:val="auto"/>
          <w:sz w:val="24"/>
        </w:rPr>
      </w:pPr>
      <w:bookmarkStart w:id="733" w:name="_Toc26633"/>
      <w:bookmarkStart w:id="734" w:name="_Toc32494"/>
      <w:bookmarkStart w:id="735" w:name="_Toc14371"/>
      <w:bookmarkStart w:id="736" w:name="_Toc4720"/>
      <w:bookmarkStart w:id="737" w:name="_Toc25571"/>
      <w:r>
        <w:rPr>
          <w:rFonts w:hint="eastAsia" w:ascii="宋体" w:hAnsi="宋体" w:cs="宋体"/>
          <w:b/>
          <w:color w:val="auto"/>
          <w:sz w:val="24"/>
        </w:rPr>
        <w:t>2.11 不可抗力</w:t>
      </w:r>
      <w:bookmarkEnd w:id="733"/>
      <w:bookmarkEnd w:id="734"/>
      <w:bookmarkEnd w:id="735"/>
      <w:bookmarkEnd w:id="736"/>
      <w:bookmarkEnd w:id="737"/>
    </w:p>
    <w:p>
      <w:pPr>
        <w:spacing w:line="560" w:lineRule="exact"/>
        <w:ind w:firstLine="480" w:firstLineChars="200"/>
        <w:rPr>
          <w:rFonts w:ascii="宋体" w:hAnsi="宋体" w:cs="宋体"/>
          <w:color w:val="auto"/>
          <w:sz w:val="24"/>
        </w:rPr>
      </w:pPr>
      <w:r>
        <w:rPr>
          <w:rFonts w:hint="eastAsia" w:ascii="宋体" w:hAnsi="宋体" w:cs="宋体"/>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rPr>
      </w:pPr>
      <w:r>
        <w:rPr>
          <w:rFonts w:hint="eastAsia" w:ascii="宋体" w:hAnsi="宋体" w:cs="宋体"/>
          <w:color w:val="auto"/>
          <w:sz w:val="24"/>
        </w:rPr>
        <w:t>2.11.2 因不可抗力致使不能实现合同目的的，当事人可以解除合同；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2.11.3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2.11.4受不可抗力影响的一方在不可抗力发生后，应在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560" w:lineRule="exact"/>
        <w:ind w:firstLine="482" w:firstLineChars="200"/>
        <w:outlineLvl w:val="0"/>
        <w:rPr>
          <w:rFonts w:ascii="宋体" w:hAnsi="宋体" w:cs="宋体"/>
          <w:b/>
          <w:color w:val="auto"/>
          <w:sz w:val="24"/>
        </w:rPr>
      </w:pPr>
      <w:bookmarkStart w:id="738" w:name="_Toc3638"/>
      <w:bookmarkStart w:id="739" w:name="_Toc23854"/>
      <w:bookmarkStart w:id="740" w:name="_Toc24465"/>
      <w:bookmarkStart w:id="741" w:name="_Toc14115"/>
      <w:bookmarkStart w:id="742" w:name="_Toc25783"/>
      <w:r>
        <w:rPr>
          <w:rFonts w:hint="eastAsia" w:ascii="宋体" w:hAnsi="宋体" w:cs="宋体"/>
          <w:b/>
          <w:color w:val="auto"/>
          <w:sz w:val="24"/>
        </w:rPr>
        <w:t>2.12 税费</w:t>
      </w:r>
      <w:bookmarkEnd w:id="738"/>
      <w:bookmarkEnd w:id="739"/>
      <w:bookmarkEnd w:id="740"/>
      <w:bookmarkEnd w:id="741"/>
      <w:bookmarkEnd w:id="742"/>
    </w:p>
    <w:p>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与合同有关的一切税费，均按照中华人民共和国法律的相关规定缴纳。</w:t>
      </w:r>
    </w:p>
    <w:p>
      <w:pPr>
        <w:spacing w:line="560" w:lineRule="exact"/>
        <w:ind w:firstLine="482" w:firstLineChars="200"/>
        <w:outlineLvl w:val="0"/>
        <w:rPr>
          <w:rFonts w:ascii="宋体" w:hAnsi="宋体" w:cs="宋体"/>
          <w:b/>
          <w:color w:val="auto"/>
          <w:sz w:val="24"/>
        </w:rPr>
      </w:pPr>
      <w:bookmarkStart w:id="743" w:name="_Toc26883"/>
      <w:bookmarkStart w:id="744" w:name="_Toc7315"/>
      <w:bookmarkStart w:id="745" w:name="_Toc25525"/>
      <w:bookmarkStart w:id="746" w:name="_Toc14814"/>
      <w:bookmarkStart w:id="747" w:name="_Toc30105"/>
      <w:r>
        <w:rPr>
          <w:rFonts w:hint="eastAsia" w:ascii="宋体" w:hAnsi="宋体" w:cs="宋体"/>
          <w:b/>
          <w:color w:val="auto"/>
          <w:sz w:val="24"/>
        </w:rPr>
        <w:t>2.13 乙方破产</w:t>
      </w:r>
      <w:bookmarkEnd w:id="743"/>
      <w:bookmarkEnd w:id="744"/>
      <w:bookmarkEnd w:id="745"/>
      <w:bookmarkEnd w:id="746"/>
      <w:bookmarkEnd w:id="747"/>
    </w:p>
    <w:p>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rPr>
      </w:pPr>
      <w:bookmarkStart w:id="748" w:name="_Toc1123"/>
      <w:bookmarkStart w:id="749" w:name="_Toc2016"/>
      <w:bookmarkStart w:id="750" w:name="_Toc23323"/>
      <w:r>
        <w:rPr>
          <w:rFonts w:hint="eastAsia" w:ascii="宋体" w:hAnsi="宋体" w:cs="宋体"/>
          <w:b/>
          <w:color w:val="auto"/>
          <w:sz w:val="24"/>
        </w:rPr>
        <w:t>2.14 合同中止、终止</w:t>
      </w:r>
      <w:bookmarkEnd w:id="748"/>
      <w:bookmarkEnd w:id="749"/>
      <w:bookmarkEnd w:id="750"/>
    </w:p>
    <w:p>
      <w:pPr>
        <w:spacing w:line="560" w:lineRule="exact"/>
        <w:ind w:firstLine="480" w:firstLineChars="200"/>
        <w:rPr>
          <w:rFonts w:ascii="宋体" w:hAnsi="宋体" w:cs="宋体"/>
          <w:color w:val="auto"/>
          <w:sz w:val="24"/>
        </w:rPr>
      </w:pPr>
      <w:r>
        <w:rPr>
          <w:rFonts w:hint="eastAsia" w:ascii="宋体" w:hAnsi="宋体" w:cs="宋体"/>
          <w:color w:val="auto"/>
          <w:sz w:val="24"/>
        </w:rPr>
        <w:t>2.14.1 双方当事人不得擅自中止或者终止合同；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rPr>
      </w:pPr>
      <w:bookmarkStart w:id="751" w:name="_Toc14525"/>
      <w:bookmarkStart w:id="752" w:name="_Toc17363"/>
      <w:bookmarkStart w:id="753" w:name="_Toc1969"/>
      <w:r>
        <w:rPr>
          <w:rFonts w:hint="eastAsia" w:ascii="宋体" w:hAnsi="宋体" w:cs="宋体"/>
          <w:b/>
          <w:color w:val="auto"/>
          <w:sz w:val="24"/>
        </w:rPr>
        <w:t>2.15 检验和验收</w:t>
      </w:r>
      <w:bookmarkEnd w:id="751"/>
      <w:bookmarkEnd w:id="752"/>
      <w:bookmarkEnd w:id="753"/>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2.15.1 乙方按照</w:t>
      </w:r>
      <w:r>
        <w:rPr>
          <w:rFonts w:hint="eastAsia" w:ascii="宋体" w:hAnsi="宋体" w:cs="宋体"/>
          <w:b/>
          <w:i/>
          <w:color w:val="auto"/>
          <w:sz w:val="24"/>
          <w:u w:val="single"/>
        </w:rPr>
        <w:t>合同专用条款</w:t>
      </w:r>
      <w:r>
        <w:rPr>
          <w:rFonts w:hint="eastAsia" w:ascii="宋体" w:hAnsi="宋体" w:cs="宋体"/>
          <w:color w:val="auto"/>
          <w:sz w:val="24"/>
        </w:rPr>
        <w:t>的约定，定期提交服务报告，甲方按照</w:t>
      </w:r>
      <w:r>
        <w:rPr>
          <w:rFonts w:hint="eastAsia" w:ascii="宋体" w:hAnsi="宋体" w:cs="宋体"/>
          <w:b/>
          <w:i/>
          <w:color w:val="auto"/>
          <w:sz w:val="24"/>
          <w:u w:val="single"/>
        </w:rPr>
        <w:t>合同专用条款</w:t>
      </w:r>
      <w:r>
        <w:rPr>
          <w:rFonts w:hint="eastAsia" w:ascii="宋体" w:hAnsi="宋体" w:cs="宋体"/>
          <w:color w:val="auto"/>
          <w:sz w:val="24"/>
        </w:rPr>
        <w:t>的约定进行定期验收；</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2.15.3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p>
      <w:pPr>
        <w:spacing w:line="560" w:lineRule="exact"/>
        <w:ind w:firstLine="482" w:firstLineChars="200"/>
        <w:outlineLvl w:val="0"/>
        <w:rPr>
          <w:rFonts w:ascii="宋体" w:hAnsi="宋体" w:cs="宋体"/>
          <w:b/>
          <w:color w:val="auto"/>
          <w:sz w:val="24"/>
        </w:rPr>
      </w:pPr>
      <w:bookmarkStart w:id="754" w:name="_Toc12666"/>
      <w:bookmarkStart w:id="755" w:name="_Toc9808"/>
      <w:bookmarkStart w:id="756" w:name="_Toc31892"/>
      <w:bookmarkStart w:id="757" w:name="_Toc2308"/>
      <w:bookmarkStart w:id="758" w:name="_Toc25198"/>
      <w:r>
        <w:rPr>
          <w:rFonts w:hint="eastAsia" w:ascii="宋体" w:hAnsi="宋体" w:cs="宋体"/>
          <w:b/>
          <w:color w:val="auto"/>
          <w:sz w:val="24"/>
        </w:rPr>
        <w:t>2.16 通知和送达</w:t>
      </w:r>
      <w:bookmarkEnd w:id="754"/>
      <w:bookmarkEnd w:id="755"/>
      <w:bookmarkEnd w:id="756"/>
      <w:bookmarkEnd w:id="757"/>
      <w:bookmarkEnd w:id="758"/>
    </w:p>
    <w:p>
      <w:pPr>
        <w:spacing w:line="560" w:lineRule="exact"/>
        <w:ind w:firstLine="480" w:firstLineChars="200"/>
        <w:rPr>
          <w:rFonts w:ascii="宋体" w:hAnsi="宋体" w:cs="宋体"/>
          <w:color w:val="auto"/>
          <w:sz w:val="24"/>
        </w:rPr>
      </w:pPr>
      <w:bookmarkStart w:id="759" w:name="_Toc27674"/>
      <w:bookmarkStart w:id="760" w:name="_Toc18401"/>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s="宋体"/>
          <w:color w:val="auto"/>
          <w:sz w:val="24"/>
        </w:rPr>
      </w:pPr>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759"/>
      <w:bookmarkEnd w:id="760"/>
    </w:p>
    <w:p>
      <w:pPr>
        <w:spacing w:line="560" w:lineRule="exact"/>
        <w:ind w:firstLine="482" w:firstLineChars="200"/>
        <w:outlineLvl w:val="0"/>
        <w:rPr>
          <w:rFonts w:ascii="宋体" w:hAnsi="宋体" w:cs="宋体"/>
          <w:b/>
          <w:color w:val="auto"/>
          <w:sz w:val="24"/>
        </w:rPr>
      </w:pPr>
      <w:bookmarkStart w:id="761" w:name="_Toc12254"/>
      <w:bookmarkStart w:id="762" w:name="_Toc28906"/>
      <w:bookmarkStart w:id="763" w:name="_Toc5063"/>
      <w:bookmarkStart w:id="764" w:name="_Toc20808"/>
      <w:bookmarkStart w:id="765" w:name="_Toc27644"/>
      <w:r>
        <w:rPr>
          <w:rFonts w:hint="eastAsia" w:ascii="宋体" w:hAnsi="宋体" w:cs="宋体"/>
          <w:b/>
          <w:color w:val="auto"/>
          <w:sz w:val="24"/>
        </w:rPr>
        <w:t>2.17 合同使用的文字和适用的法律</w:t>
      </w:r>
      <w:bookmarkEnd w:id="761"/>
      <w:bookmarkEnd w:id="762"/>
      <w:bookmarkEnd w:id="763"/>
      <w:bookmarkEnd w:id="764"/>
      <w:bookmarkEnd w:id="765"/>
    </w:p>
    <w:p>
      <w:pPr>
        <w:spacing w:line="560" w:lineRule="exact"/>
        <w:ind w:firstLine="480" w:firstLineChars="200"/>
        <w:rPr>
          <w:rFonts w:ascii="宋体" w:hAnsi="宋体" w:cs="宋体"/>
          <w:color w:val="auto"/>
          <w:sz w:val="24"/>
        </w:rPr>
      </w:pPr>
      <w:r>
        <w:rPr>
          <w:rFonts w:hint="eastAsia" w:ascii="宋体" w:hAnsi="宋体" w:cs="宋体"/>
          <w:color w:val="auto"/>
          <w:sz w:val="24"/>
        </w:rPr>
        <w:t>2.17.1 合同使用汉语书就、变更和解释；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2.17.2 合同适用中华人民共和国法律。</w:t>
      </w:r>
    </w:p>
    <w:p>
      <w:pPr>
        <w:spacing w:line="560" w:lineRule="exact"/>
        <w:ind w:firstLine="482" w:firstLineChars="200"/>
        <w:outlineLvl w:val="0"/>
        <w:rPr>
          <w:rFonts w:ascii="宋体" w:hAnsi="宋体" w:cs="宋体"/>
          <w:b/>
          <w:color w:val="auto"/>
          <w:sz w:val="24"/>
        </w:rPr>
      </w:pPr>
      <w:bookmarkStart w:id="766" w:name="_Toc18540"/>
      <w:bookmarkStart w:id="767" w:name="_Toc30599"/>
      <w:bookmarkStart w:id="768" w:name="_Toc4355"/>
      <w:r>
        <w:rPr>
          <w:rFonts w:hint="eastAsia" w:ascii="宋体" w:hAnsi="宋体" w:cs="宋体"/>
          <w:b/>
          <w:color w:val="auto"/>
          <w:sz w:val="24"/>
        </w:rPr>
        <w:t>2.18 计量单位</w:t>
      </w:r>
      <w:bookmarkEnd w:id="766"/>
      <w:bookmarkEnd w:id="767"/>
      <w:bookmarkEnd w:id="768"/>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cs="宋体"/>
          <w:b/>
          <w:color w:val="auto"/>
          <w:sz w:val="24"/>
        </w:rPr>
      </w:pPr>
      <w:r>
        <w:rPr>
          <w:rFonts w:hint="eastAsia" w:ascii="宋体" w:hAnsi="宋体" w:cs="宋体"/>
          <w:b/>
          <w:color w:val="auto"/>
          <w:sz w:val="24"/>
        </w:rPr>
        <w:t>2.19合同份数</w:t>
      </w:r>
    </w:p>
    <w:p>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769" w:name="_Toc331685784"/>
      <w:r>
        <w:rPr>
          <w:rFonts w:hint="eastAsia" w:ascii="宋体" w:hAnsi="宋体" w:cs="宋体"/>
          <w:b/>
          <w:color w:val="auto"/>
          <w:sz w:val="24"/>
        </w:rPr>
        <w:t xml:space="preserve"> </w:t>
      </w:r>
      <w:bookmarkEnd w:id="769"/>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2.5</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2.11.3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 xml:space="preserve">2.11.4 </w:t>
            </w:r>
          </w:p>
        </w:tc>
        <w:tc>
          <w:tcPr>
            <w:tcW w:w="446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2.15.1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2.15.3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654"/>
      <w:r>
        <w:rPr>
          <w:rFonts w:hint="eastAsia" w:ascii="宋体" w:hAnsi="宋体" w:cs="宋体"/>
          <w:b/>
          <w:color w:val="auto"/>
          <w:sz w:val="36"/>
          <w:szCs w:val="20"/>
        </w:rPr>
        <w:t xml:space="preserve"> </w:t>
      </w:r>
      <w:bookmarkEnd w:id="655"/>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（3）落实政府采购政策需满足的资格要求………………………………（页码）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（4）本项目的特定资格要求………………………………………………（页码）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firstLine="559" w:firstLineChars="233"/>
        <w:jc w:val="left"/>
        <w:rPr>
          <w:rFonts w:ascii="宋体" w:hAnsi="宋体" w:cs="宋体"/>
          <w:b/>
          <w:color w:val="auto"/>
          <w:kern w:val="0"/>
          <w:sz w:val="32"/>
          <w:szCs w:val="32"/>
        </w:rPr>
      </w:pPr>
      <w:r>
        <w:rPr>
          <w:rFonts w:hint="eastAsia" w:ascii="宋体" w:hAnsi="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hint="eastAsia"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（3）分包意向协议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（4）符合性审查资料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（5）评标标准相应的商务技术资料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（6）投标标的清单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（7）商务技术偏离表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770" w:name="_Hlk101257010"/>
      <w:r>
        <w:rPr>
          <w:rFonts w:hint="eastAsia" w:ascii="宋体" w:hAnsi="宋体" w:cs="宋体"/>
          <w:color w:val="auto"/>
          <w:sz w:val="24"/>
        </w:rPr>
        <w:t>（如果有)</w:t>
      </w:r>
      <w:bookmarkEnd w:id="770"/>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2.1.3落实政府采购政策需满足的资格要求（如果有）；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2.1.4本项目的特定资格要求（如果有)。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2.2.3分包意向协议（如果有)；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2.2.4符合性审查资料；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2.2.5评标标准相应的商务技术资料；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2.2.7商务技术偏离表；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
        <w:rPr>
          <w:rFonts w:ascii="宋体" w:hAnsi="宋体" w:eastAsia="宋体" w:cs="宋体"/>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color w:val="auto"/>
          <w:sz w:val="24"/>
        </w:rPr>
      </w:pP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rPr>
            </w:pPr>
            <w:r>
              <w:rPr>
                <w:rFonts w:hint="eastAsia" w:hAnsi="宋体" w:cs="宋体"/>
                <w:bCs/>
                <w:color w:val="auto"/>
                <w:sz w:val="24"/>
              </w:rPr>
              <w:t>正面：                                 反面：</w:t>
            </w:r>
          </w:p>
          <w:p>
            <w:pPr>
              <w:pStyle w:val="150"/>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hint="eastAsia"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292"/>
        <w:gridCol w:w="2736"/>
        <w:gridCol w:w="1440"/>
        <w:gridCol w:w="2460"/>
        <w:gridCol w:w="876"/>
        <w:gridCol w:w="168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1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22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736"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44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46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87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680"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803"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9"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22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XX</w:t>
            </w:r>
          </w:p>
        </w:tc>
        <w:tc>
          <w:tcPr>
            <w:tcW w:w="2736" w:type="dxa"/>
            <w:vAlign w:val="center"/>
          </w:tcPr>
          <w:p>
            <w:pPr>
              <w:snapToGrid w:val="0"/>
              <w:spacing w:line="360" w:lineRule="auto"/>
              <w:jc w:val="center"/>
              <w:rPr>
                <w:rFonts w:ascii="宋体" w:hAnsi="宋体" w:cs="宋体"/>
                <w:color w:val="auto"/>
                <w:sz w:val="24"/>
              </w:rPr>
            </w:pPr>
          </w:p>
        </w:tc>
        <w:tc>
          <w:tcPr>
            <w:tcW w:w="1440" w:type="dxa"/>
            <w:vAlign w:val="center"/>
          </w:tcPr>
          <w:p>
            <w:pPr>
              <w:snapToGrid w:val="0"/>
              <w:spacing w:line="360" w:lineRule="auto"/>
              <w:jc w:val="center"/>
              <w:rPr>
                <w:rFonts w:ascii="宋体" w:hAnsi="宋体" w:cs="宋体"/>
                <w:color w:val="auto"/>
                <w:sz w:val="24"/>
              </w:rPr>
            </w:pPr>
          </w:p>
        </w:tc>
        <w:tc>
          <w:tcPr>
            <w:tcW w:w="2460" w:type="dxa"/>
            <w:vAlign w:val="center"/>
          </w:tcPr>
          <w:p>
            <w:pPr>
              <w:snapToGrid w:val="0"/>
              <w:spacing w:line="360" w:lineRule="auto"/>
              <w:jc w:val="center"/>
              <w:rPr>
                <w:rFonts w:ascii="宋体" w:hAnsi="宋体" w:cs="宋体"/>
                <w:color w:val="auto"/>
                <w:sz w:val="24"/>
              </w:rPr>
            </w:pPr>
          </w:p>
        </w:tc>
        <w:tc>
          <w:tcPr>
            <w:tcW w:w="876" w:type="dxa"/>
            <w:vAlign w:val="center"/>
          </w:tcPr>
          <w:p>
            <w:pPr>
              <w:spacing w:line="360" w:lineRule="auto"/>
              <w:jc w:val="center"/>
              <w:rPr>
                <w:rFonts w:ascii="宋体" w:hAnsi="宋体" w:cs="宋体"/>
                <w:color w:val="auto"/>
                <w:sz w:val="24"/>
              </w:rPr>
            </w:pPr>
          </w:p>
        </w:tc>
        <w:tc>
          <w:tcPr>
            <w:tcW w:w="1680" w:type="dxa"/>
          </w:tcPr>
          <w:p>
            <w:pPr>
              <w:spacing w:line="360" w:lineRule="auto"/>
              <w:jc w:val="center"/>
              <w:rPr>
                <w:rFonts w:ascii="宋体" w:hAnsi="宋体" w:cs="宋体"/>
                <w:color w:val="auto"/>
                <w:sz w:val="24"/>
              </w:rPr>
            </w:pPr>
          </w:p>
        </w:tc>
        <w:tc>
          <w:tcPr>
            <w:tcW w:w="1803"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9"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22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XX</w:t>
            </w:r>
          </w:p>
        </w:tc>
        <w:tc>
          <w:tcPr>
            <w:tcW w:w="2736" w:type="dxa"/>
            <w:vAlign w:val="center"/>
          </w:tcPr>
          <w:p>
            <w:pPr>
              <w:snapToGrid w:val="0"/>
              <w:spacing w:line="360" w:lineRule="auto"/>
              <w:jc w:val="center"/>
              <w:rPr>
                <w:rFonts w:ascii="宋体" w:hAnsi="宋体" w:cs="宋体"/>
                <w:color w:val="auto"/>
                <w:sz w:val="24"/>
              </w:rPr>
            </w:pPr>
          </w:p>
        </w:tc>
        <w:tc>
          <w:tcPr>
            <w:tcW w:w="1440" w:type="dxa"/>
            <w:vAlign w:val="center"/>
          </w:tcPr>
          <w:p>
            <w:pPr>
              <w:snapToGrid w:val="0"/>
              <w:spacing w:line="360" w:lineRule="auto"/>
              <w:jc w:val="center"/>
              <w:rPr>
                <w:rFonts w:ascii="宋体" w:hAnsi="宋体" w:cs="宋体"/>
                <w:color w:val="auto"/>
                <w:sz w:val="24"/>
              </w:rPr>
            </w:pPr>
          </w:p>
        </w:tc>
        <w:tc>
          <w:tcPr>
            <w:tcW w:w="2460" w:type="dxa"/>
            <w:vAlign w:val="center"/>
          </w:tcPr>
          <w:p>
            <w:pPr>
              <w:snapToGrid w:val="0"/>
              <w:spacing w:line="360" w:lineRule="auto"/>
              <w:jc w:val="center"/>
              <w:rPr>
                <w:rFonts w:ascii="宋体" w:hAnsi="宋体" w:cs="宋体"/>
                <w:color w:val="auto"/>
                <w:sz w:val="24"/>
              </w:rPr>
            </w:pPr>
          </w:p>
        </w:tc>
        <w:tc>
          <w:tcPr>
            <w:tcW w:w="876" w:type="dxa"/>
            <w:vAlign w:val="center"/>
          </w:tcPr>
          <w:p>
            <w:pPr>
              <w:spacing w:line="360" w:lineRule="auto"/>
              <w:jc w:val="center"/>
              <w:rPr>
                <w:rFonts w:ascii="宋体" w:hAnsi="宋体" w:cs="宋体"/>
                <w:color w:val="auto"/>
                <w:sz w:val="24"/>
              </w:rPr>
            </w:pPr>
          </w:p>
        </w:tc>
        <w:tc>
          <w:tcPr>
            <w:tcW w:w="1680" w:type="dxa"/>
          </w:tcPr>
          <w:p>
            <w:pPr>
              <w:spacing w:line="360" w:lineRule="auto"/>
              <w:jc w:val="center"/>
              <w:rPr>
                <w:rFonts w:ascii="宋体" w:hAnsi="宋体" w:cs="宋体"/>
                <w:color w:val="auto"/>
                <w:sz w:val="24"/>
              </w:rPr>
            </w:pPr>
          </w:p>
        </w:tc>
        <w:tc>
          <w:tcPr>
            <w:tcW w:w="1803"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9"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2292" w:type="dxa"/>
            <w:vAlign w:val="center"/>
          </w:tcPr>
          <w:p>
            <w:pPr>
              <w:snapToGrid w:val="0"/>
              <w:spacing w:line="360" w:lineRule="auto"/>
              <w:jc w:val="center"/>
              <w:rPr>
                <w:rFonts w:ascii="宋体" w:hAnsi="宋体" w:cs="宋体"/>
                <w:color w:val="auto"/>
                <w:sz w:val="24"/>
              </w:rPr>
            </w:pPr>
          </w:p>
        </w:tc>
        <w:tc>
          <w:tcPr>
            <w:tcW w:w="2736" w:type="dxa"/>
            <w:vAlign w:val="center"/>
          </w:tcPr>
          <w:p>
            <w:pPr>
              <w:snapToGrid w:val="0"/>
              <w:spacing w:line="360" w:lineRule="auto"/>
              <w:jc w:val="center"/>
              <w:rPr>
                <w:rFonts w:ascii="宋体" w:hAnsi="宋体" w:cs="宋体"/>
                <w:color w:val="auto"/>
                <w:sz w:val="24"/>
              </w:rPr>
            </w:pPr>
          </w:p>
        </w:tc>
        <w:tc>
          <w:tcPr>
            <w:tcW w:w="1440" w:type="dxa"/>
            <w:vAlign w:val="center"/>
          </w:tcPr>
          <w:p>
            <w:pPr>
              <w:snapToGrid w:val="0"/>
              <w:spacing w:line="360" w:lineRule="auto"/>
              <w:jc w:val="center"/>
              <w:rPr>
                <w:rFonts w:ascii="宋体" w:hAnsi="宋体" w:cs="宋体"/>
                <w:color w:val="auto"/>
                <w:sz w:val="24"/>
              </w:rPr>
            </w:pPr>
          </w:p>
        </w:tc>
        <w:tc>
          <w:tcPr>
            <w:tcW w:w="2460" w:type="dxa"/>
            <w:vAlign w:val="center"/>
          </w:tcPr>
          <w:p>
            <w:pPr>
              <w:snapToGrid w:val="0"/>
              <w:spacing w:line="360" w:lineRule="auto"/>
              <w:jc w:val="center"/>
              <w:rPr>
                <w:rFonts w:ascii="宋体" w:hAnsi="宋体" w:cs="宋体"/>
                <w:color w:val="auto"/>
                <w:sz w:val="24"/>
              </w:rPr>
            </w:pPr>
          </w:p>
        </w:tc>
        <w:tc>
          <w:tcPr>
            <w:tcW w:w="876" w:type="dxa"/>
            <w:vAlign w:val="center"/>
          </w:tcPr>
          <w:p>
            <w:pPr>
              <w:spacing w:line="360" w:lineRule="auto"/>
              <w:jc w:val="center"/>
              <w:rPr>
                <w:rFonts w:ascii="宋体" w:hAnsi="宋体" w:cs="宋体"/>
                <w:color w:val="auto"/>
                <w:sz w:val="24"/>
              </w:rPr>
            </w:pPr>
          </w:p>
        </w:tc>
        <w:tc>
          <w:tcPr>
            <w:tcW w:w="1680" w:type="dxa"/>
          </w:tcPr>
          <w:p>
            <w:pPr>
              <w:spacing w:line="360" w:lineRule="auto"/>
              <w:jc w:val="center"/>
              <w:rPr>
                <w:rFonts w:ascii="宋体" w:hAnsi="宋体" w:cs="宋体"/>
                <w:color w:val="auto"/>
                <w:sz w:val="24"/>
              </w:rPr>
            </w:pPr>
          </w:p>
        </w:tc>
        <w:tc>
          <w:tcPr>
            <w:tcW w:w="1803"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6819"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6819"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87" w:type="dxa"/>
            <w:gridSpan w:val="4"/>
            <w:vAlign w:val="center"/>
          </w:tcPr>
          <w:p>
            <w:pPr>
              <w:spacing w:line="360" w:lineRule="auto"/>
              <w:jc w:val="center"/>
              <w:rPr>
                <w:rFonts w:ascii="宋体" w:hAnsi="宋体" w:cs="宋体"/>
                <w:b/>
                <w:color w:val="auto"/>
                <w:sz w:val="24"/>
              </w:rPr>
            </w:pPr>
          </w:p>
        </w:tc>
        <w:tc>
          <w:tcPr>
            <w:tcW w:w="6819"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szCs w:val="22"/>
          <w:lang w:val="zh-CN"/>
        </w:rPr>
        <w:t>4、</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rPr>
      </w:pPr>
      <w:r>
        <w:rPr>
          <w:rFonts w:hint="eastAsia" w:ascii="宋体" w:hAnsi="宋体" w:cs="宋体"/>
          <w:b/>
          <w:color w:val="auto"/>
          <w:sz w:val="24"/>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ascii="宋体" w:hAnsi="宋体" w:cs="宋体"/>
          <w:b/>
          <w:color w:val="auto"/>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771" w:name="OLE_LINK14"/>
      <w:bookmarkStart w:id="772" w:name="OLE_LINK13"/>
      <w:r>
        <w:rPr>
          <w:rFonts w:hint="eastAsia" w:ascii="宋体" w:hAnsi="宋体" w:cs="宋体"/>
          <w:b/>
          <w:color w:val="auto"/>
          <w:spacing w:val="6"/>
          <w:sz w:val="32"/>
          <w:szCs w:val="32"/>
        </w:rPr>
        <w:t>残疾人福利性单位声明函</w:t>
      </w:r>
    </w:p>
    <w:bookmarkEnd w:id="771"/>
    <w:bookmarkEnd w:id="772"/>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附件5：</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（联合体成员2）</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773" w:name="_Hlk101131882"/>
      <w:r>
        <w:rPr>
          <w:rFonts w:hint="eastAsia" w:ascii="宋体" w:hAnsi="宋体" w:cs="宋体"/>
          <w:color w:val="auto"/>
          <w:kern w:val="0"/>
          <w:sz w:val="24"/>
          <w:u w:val="single"/>
        </w:rPr>
        <w:t>联合体成员X,……</w:t>
      </w:r>
      <w:bookmarkEnd w:id="773"/>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774"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774"/>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77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775"/>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hint="eastAsia"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hint="eastAsia"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rFonts w:ascii="宋体" w:hAnsi="宋体" w:cs="宋体"/>
          <w:color w:val="auto"/>
        </w:rPr>
      </w:pPr>
      <w:r>
        <w:rPr>
          <w:rFonts w:hint="eastAsia" w:ascii="宋体" w:hAnsi="宋体" w:cs="宋体"/>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rPr>
        <w:t>1、</w:t>
      </w:r>
      <w:r>
        <w:rPr>
          <w:rFonts w:hint="eastAsia" w:ascii="宋体" w:hAnsi="宋体" w:cs="宋体"/>
          <w:color w:val="auto"/>
          <w:kern w:val="0"/>
          <w:sz w:val="24"/>
          <w:u w:val="single"/>
        </w:rPr>
        <w:t>（分包供应商X,……）提供的服务全部由小微企业承接，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附件7：中小企业声明函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color w:val="auto"/>
          <w:sz w:val="24"/>
        </w:rPr>
      </w:pPr>
      <w:r>
        <w:rPr>
          <w:rFonts w:hint="eastAsia" w:ascii="宋体" w:hAnsi="宋体" w:cs="宋体"/>
          <w:color w:val="auto"/>
          <w:sz w:val="24"/>
        </w:rPr>
        <w:br w:type="page"/>
      </w:r>
    </w:p>
    <w:p>
      <w:pPr>
        <w:pStyle w:val="2"/>
        <w:rPr>
          <w:rFonts w:ascii="宋体" w:hAnsi="宋体" w:eastAsia="宋体" w:cs="宋体"/>
          <w:color w:val="auto"/>
          <w:sz w:val="24"/>
        </w:rPr>
      </w:pPr>
      <w:r>
        <w:rPr>
          <w:rFonts w:hint="eastAsia" w:ascii="宋体" w:hAnsi="宋体" w:eastAsia="宋体" w:cs="宋体"/>
          <w:color w:val="auto"/>
        </w:rPr>
        <w:t>附件</w:t>
      </w:r>
      <w:r>
        <w:rPr>
          <w:rFonts w:hint="eastAsia" w:ascii="宋体" w:hAnsi="宋体" w:eastAsia="宋体" w:cs="宋体"/>
          <w:color w:val="auto"/>
          <w:lang w:val="en-US"/>
        </w:rPr>
        <w:t>8</w:t>
      </w:r>
      <w:r>
        <w:rPr>
          <w:rFonts w:hint="eastAsia" w:ascii="宋体" w:hAnsi="宋体" w:eastAsia="宋体" w:cs="宋体"/>
          <w:color w:val="auto"/>
        </w:rPr>
        <w:t>样品（演示）授权委托书</w:t>
      </w:r>
    </w:p>
    <w:p>
      <w:pPr>
        <w:jc w:val="center"/>
        <w:rPr>
          <w:rFonts w:ascii="宋体" w:hAnsi="宋体" w:cs="宋体"/>
          <w:color w:val="auto"/>
          <w:sz w:val="40"/>
        </w:rPr>
      </w:pPr>
      <w:r>
        <w:rPr>
          <w:rFonts w:hint="eastAsia" w:ascii="宋体" w:hAnsi="宋体" w:cs="宋体"/>
          <w:color w:val="auto"/>
          <w:sz w:val="40"/>
        </w:rPr>
        <w:t>样品（演示）授权委托书</w:t>
      </w:r>
    </w:p>
    <w:p>
      <w:pPr>
        <w:jc w:val="center"/>
        <w:rPr>
          <w:rFonts w:ascii="宋体" w:hAnsi="宋体" w:cs="宋体"/>
          <w:color w:val="auto"/>
          <w:sz w:val="40"/>
        </w:rPr>
      </w:pPr>
    </w:p>
    <w:p>
      <w:pPr>
        <w:snapToGrid w:val="0"/>
        <w:spacing w:line="360" w:lineRule="auto"/>
        <w:rPr>
          <w:rFonts w:ascii="宋体" w:hAnsi="宋体" w:cs="宋体"/>
          <w:color w:val="auto"/>
        </w:rPr>
      </w:pPr>
      <w:r>
        <w:rPr>
          <w:rFonts w:hint="eastAsia" w:ascii="宋体" w:hAnsi="宋体" w:cs="宋体"/>
          <w:color w:val="auto"/>
        </w:rPr>
        <w:t>XXX（单位名称或采购机构名称）</w:t>
      </w:r>
      <w:r>
        <w:rPr>
          <w:rFonts w:hint="eastAsia" w:ascii="宋体" w:hAnsi="宋体" w:cs="宋体"/>
          <w:color w:val="auto"/>
          <w:lang w:val="zh-CN"/>
        </w:rPr>
        <w:t>：</w:t>
      </w:r>
    </w:p>
    <w:p>
      <w:pPr>
        <w:snapToGrid w:val="0"/>
        <w:spacing w:line="360" w:lineRule="auto"/>
        <w:ind w:left="254" w:leftChars="121" w:firstLine="420" w:firstLineChars="200"/>
        <w:rPr>
          <w:rFonts w:ascii="宋体" w:hAnsi="宋体" w:cs="宋体"/>
          <w:color w:val="auto"/>
          <w:u w:val="single"/>
          <w:lang w:val="zh-CN"/>
        </w:rPr>
      </w:pPr>
      <w:r>
        <w:rPr>
          <w:rFonts w:hint="eastAsia" w:ascii="宋体" w:hAnsi="宋体" w:cs="宋体"/>
          <w:color w:val="auto"/>
          <w:lang w:val="zh-CN"/>
        </w:rPr>
        <w:t>兹委派</w:t>
      </w:r>
      <w:r>
        <w:rPr>
          <w:rFonts w:hint="eastAsia" w:ascii="宋体" w:hAnsi="宋体" w:cs="宋体"/>
          <w:color w:val="auto"/>
          <w:u w:val="single"/>
          <w:lang w:val="zh-CN"/>
        </w:rPr>
        <w:t xml:space="preserve">                </w:t>
      </w:r>
      <w:r>
        <w:rPr>
          <w:rFonts w:hint="eastAsia" w:ascii="宋体" w:hAnsi="宋体" w:cs="宋体"/>
          <w:color w:val="auto"/>
          <w:lang w:val="zh-CN"/>
        </w:rPr>
        <w:t>先生/女士，身份证号：</w:t>
      </w:r>
      <w:r>
        <w:rPr>
          <w:rFonts w:hint="eastAsia" w:ascii="宋体" w:hAnsi="宋体" w:cs="宋体"/>
          <w:color w:val="auto"/>
          <w:u w:val="single"/>
          <w:lang w:val="zh-CN"/>
        </w:rPr>
        <w:t xml:space="preserve">                   </w:t>
      </w:r>
    </w:p>
    <w:p>
      <w:pPr>
        <w:snapToGrid w:val="0"/>
        <w:spacing w:line="360" w:lineRule="auto"/>
        <w:ind w:left="254" w:leftChars="121" w:firstLine="420" w:firstLineChars="200"/>
        <w:rPr>
          <w:rFonts w:ascii="宋体" w:hAnsi="宋体" w:cs="宋体"/>
          <w:color w:val="auto"/>
        </w:rPr>
      </w:pPr>
      <w:r>
        <w:rPr>
          <w:rFonts w:hint="eastAsia" w:ascii="宋体" w:hAnsi="宋体" w:cs="宋体"/>
          <w:color w:val="auto"/>
          <w:lang w:val="zh-CN"/>
        </w:rPr>
        <w:t>手机：</w:t>
      </w:r>
      <w:r>
        <w:rPr>
          <w:rFonts w:hint="eastAsia" w:ascii="宋体" w:hAnsi="宋体" w:cs="宋体"/>
          <w:color w:val="auto"/>
          <w:u w:val="single"/>
          <w:lang w:val="zh-CN"/>
        </w:rPr>
        <w:t xml:space="preserve">             </w:t>
      </w:r>
      <w:r>
        <w:rPr>
          <w:rFonts w:hint="eastAsia" w:ascii="宋体" w:hAnsi="宋体" w:cs="宋体"/>
          <w:color w:val="auto"/>
          <w:lang w:val="zh-CN"/>
        </w:rPr>
        <w:t>，代表我公司前来递交</w:t>
      </w:r>
      <w:r>
        <w:rPr>
          <w:rFonts w:hint="eastAsia" w:ascii="宋体" w:hAnsi="宋体" w:cs="宋体"/>
          <w:color w:val="auto"/>
          <w:u w:val="single"/>
          <w:lang w:val="zh-CN"/>
        </w:rPr>
        <w:t xml:space="preserve">                           采购项目</w:t>
      </w:r>
      <w:r>
        <w:rPr>
          <w:rFonts w:hint="eastAsia" w:ascii="宋体" w:hAnsi="宋体" w:cs="宋体"/>
          <w:color w:val="auto"/>
          <w:lang w:val="zh-CN"/>
        </w:rPr>
        <w:t>【项目编号：              】（标项号：  ）投标样品或参加演示，并全权负责标后取回样品等其他处理事宜。</w:t>
      </w:r>
    </w:p>
    <w:p>
      <w:pPr>
        <w:snapToGrid w:val="0"/>
        <w:spacing w:line="360" w:lineRule="auto"/>
        <w:rPr>
          <w:rFonts w:ascii="宋体" w:hAnsi="宋体" w:cs="宋体"/>
          <w:color w:val="auto"/>
          <w:lang w:val="zh-CN"/>
        </w:rPr>
      </w:pPr>
      <w:r>
        <w:rPr>
          <w:rFonts w:hint="eastAsia" w:ascii="宋体" w:hAnsi="宋体" w:cs="宋体"/>
          <w:color w:val="auto"/>
          <w:lang w:val="zh-CN"/>
        </w:rPr>
        <w:t xml:space="preserve">  </w:t>
      </w:r>
    </w:p>
    <w:p>
      <w:pPr>
        <w:snapToGrid w:val="0"/>
        <w:spacing w:line="360" w:lineRule="auto"/>
        <w:rPr>
          <w:rFonts w:ascii="宋体" w:hAnsi="宋体" w:cs="宋体"/>
          <w:color w:val="auto"/>
        </w:rPr>
      </w:pPr>
      <w:r>
        <w:rPr>
          <w:rFonts w:hint="eastAsia" w:ascii="宋体" w:hAnsi="宋体" w:cs="宋体"/>
          <w:color w:val="auto"/>
          <w:lang w:val="zh-CN"/>
        </w:rPr>
        <w:t xml:space="preserve">    特此告知。</w:t>
      </w:r>
    </w:p>
    <w:p>
      <w:pPr>
        <w:snapToGrid w:val="0"/>
        <w:spacing w:line="360" w:lineRule="auto"/>
        <w:rPr>
          <w:rFonts w:ascii="宋体" w:hAnsi="宋体" w:cs="宋体"/>
          <w:color w:val="auto"/>
        </w:rPr>
      </w:pPr>
      <w:r>
        <w:rPr>
          <w:rFonts w:hint="eastAsia" w:ascii="宋体" w:hAnsi="宋体" w:cs="宋体"/>
          <w:color w:val="auto"/>
          <w:lang w:val="zh-CN"/>
        </w:rPr>
        <w:t xml:space="preserve">                                                  投标人名称(公章)：</w:t>
      </w:r>
    </w:p>
    <w:p>
      <w:pPr>
        <w:snapToGrid w:val="0"/>
        <w:spacing w:line="360" w:lineRule="auto"/>
        <w:rPr>
          <w:rFonts w:ascii="宋体" w:hAnsi="宋体" w:cs="宋体"/>
          <w:color w:val="auto"/>
        </w:rPr>
      </w:pPr>
      <w:r>
        <w:rPr>
          <w:rFonts w:hint="eastAsia" w:ascii="宋体" w:hAnsi="宋体" w:cs="宋体"/>
          <w:color w:val="auto"/>
          <w:lang w:val="zh-CN"/>
        </w:rPr>
        <w:t xml:space="preserve">                                                  </w:t>
      </w:r>
    </w:p>
    <w:p>
      <w:pPr>
        <w:snapToGrid w:val="0"/>
        <w:spacing w:line="360" w:lineRule="auto"/>
        <w:ind w:right="240"/>
        <w:jc w:val="right"/>
        <w:rPr>
          <w:rFonts w:ascii="宋体" w:hAnsi="宋体" w:cs="宋体"/>
          <w:color w:val="auto"/>
          <w:lang w:val="zh-CN"/>
        </w:rPr>
      </w:pPr>
      <w:r>
        <w:rPr>
          <w:rFonts w:hint="eastAsia" w:ascii="宋体" w:hAnsi="宋体" w:cs="宋体"/>
          <w:color w:val="auto"/>
          <w:lang w:val="zh-CN"/>
        </w:rPr>
        <w:t>签发日期：  年  月   日</w:t>
      </w:r>
    </w:p>
    <w:p>
      <w:pPr>
        <w:snapToGrid w:val="0"/>
        <w:spacing w:line="360" w:lineRule="auto"/>
        <w:ind w:right="240"/>
        <w:jc w:val="right"/>
        <w:rPr>
          <w:rFonts w:ascii="宋体" w:hAnsi="宋体" w:cs="宋体"/>
          <w:color w:val="auto"/>
          <w:lang w:val="zh-CN"/>
        </w:rPr>
      </w:pPr>
    </w:p>
    <w:p>
      <w:pPr>
        <w:snapToGrid w:val="0"/>
        <w:spacing w:line="360" w:lineRule="auto"/>
        <w:ind w:right="1920"/>
        <w:rPr>
          <w:rFonts w:ascii="宋体" w:hAnsi="宋体" w:cs="宋体"/>
          <w:color w:val="auto"/>
          <w:lang w:val="zh-CN"/>
        </w:rPr>
      </w:pPr>
    </w:p>
    <w:p>
      <w:pPr>
        <w:snapToGrid w:val="0"/>
        <w:spacing w:line="360" w:lineRule="auto"/>
        <w:ind w:right="240"/>
        <w:jc w:val="right"/>
        <w:rPr>
          <w:rFonts w:ascii="宋体" w:hAnsi="宋体" w:cs="宋体"/>
          <w:color w:val="auto"/>
          <w:lang w:val="zh-CN"/>
        </w:rPr>
      </w:pPr>
    </w:p>
    <w:p>
      <w:pPr>
        <w:snapToGrid w:val="0"/>
        <w:spacing w:line="360" w:lineRule="auto"/>
        <w:ind w:right="240"/>
        <w:rPr>
          <w:rFonts w:ascii="宋体" w:hAnsi="宋体" w:cs="宋体"/>
          <w:color w:val="auto"/>
          <w:lang w:val="zh-CN"/>
        </w:rPr>
      </w:pPr>
      <w:r>
        <w:rPr>
          <w:rFonts w:hint="eastAsia" w:ascii="宋体" w:hAnsi="宋体" w:cs="宋体"/>
          <w:color w:val="auto"/>
        </w:rPr>
        <w:t>受委托人</w:t>
      </w:r>
      <w:r>
        <w:rPr>
          <w:rFonts w:hint="eastAsia" w:ascii="宋体" w:hAnsi="宋体" w:cs="宋体"/>
          <w:color w:val="auto"/>
          <w:lang w:val="zh-CN"/>
        </w:rPr>
        <w:t>身份证复印件：</w:t>
      </w:r>
    </w:p>
    <w:p>
      <w:pPr>
        <w:snapToGrid w:val="0"/>
        <w:spacing w:line="360" w:lineRule="auto"/>
        <w:ind w:right="240"/>
        <w:rPr>
          <w:rFonts w:ascii="宋体" w:hAnsi="宋体" w:cs="宋体"/>
          <w:color w:val="auto"/>
          <w:lang w:val="zh-CN"/>
        </w:rPr>
      </w:pPr>
    </w:p>
    <w:p>
      <w:pPr>
        <w:snapToGrid w:val="0"/>
        <w:spacing w:line="360" w:lineRule="auto"/>
        <w:ind w:right="240"/>
        <w:rPr>
          <w:rFonts w:ascii="宋体" w:hAnsi="宋体" w:cs="宋体"/>
          <w:color w:val="auto"/>
          <w:lang w:val="zh-CN"/>
        </w:rPr>
      </w:pPr>
      <w:r>
        <w:rPr>
          <w:rFonts w:hint="eastAsia" w:ascii="宋体" w:hAnsi="宋体" w:cs="宋体"/>
          <w:color w:val="auto"/>
          <w:lang w:val="zh-CN"/>
        </w:rPr>
        <w:t>说明：本委托书在有样品或演示时由受委托人携带至指定地点。</w:t>
      </w:r>
    </w:p>
    <w:p>
      <w:pPr>
        <w:spacing w:line="360" w:lineRule="auto"/>
        <w:rPr>
          <w:rFonts w:ascii="宋体" w:hAnsi="宋体" w:cs="宋体"/>
          <w:b/>
          <w:color w:val="auto"/>
        </w:rPr>
      </w:pPr>
      <w:r>
        <w:rPr>
          <w:rFonts w:hint="eastAsia" w:ascii="宋体" w:hAnsi="宋体" w:cs="宋体"/>
          <w:b/>
          <w:color w:val="auto"/>
        </w:rPr>
        <w:t>同时有样品和演示的，可委托不同人员。</w:t>
      </w:r>
    </w:p>
    <w:p>
      <w:pPr>
        <w:pStyle w:val="2"/>
        <w:rPr>
          <w:rFonts w:ascii="宋体" w:hAnsi="宋体" w:eastAsia="宋体" w:cs="宋体"/>
          <w:color w:val="auto"/>
        </w:rPr>
      </w:pPr>
    </w:p>
    <w:p>
      <w:pPr>
        <w:spacing w:line="360" w:lineRule="auto"/>
        <w:jc w:val="center"/>
        <w:rPr>
          <w:rFonts w:ascii="宋体" w:hAnsi="宋体" w:cs="宋体"/>
          <w:b/>
          <w:color w:val="auto"/>
          <w:sz w:val="32"/>
          <w:szCs w:val="32"/>
        </w:rPr>
      </w:pPr>
    </w:p>
    <w:p>
      <w:pPr>
        <w:pStyle w:val="2"/>
        <w:rPr>
          <w:rFonts w:ascii="宋体" w:hAnsi="宋体" w:eastAsia="宋体" w:cs="宋体"/>
          <w:color w:val="auto"/>
        </w:rPr>
      </w:pPr>
    </w:p>
    <w:p>
      <w:pPr>
        <w:pStyle w:val="2"/>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bookmarkEnd w:id="780"/>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776" w:name="_Toc131845147"/>
    <w:bookmarkStart w:id="777" w:name="_Toc36110187"/>
    <w:bookmarkStart w:id="778" w:name="_Toc91899912"/>
    <w:bookmarkStart w:id="779" w:name="_Toc164085800"/>
    <w:r>
      <w:rPr>
        <w:rFonts w:hint="eastAsia" w:ascii="仿宋_GB2312" w:eastAsia="仿宋_GB2312"/>
        <w:kern w:val="0"/>
        <w:szCs w:val="21"/>
      </w:rPr>
      <w:t xml:space="preserve"> 页</w:t>
    </w:r>
    <w:bookmarkEnd w:id="776"/>
    <w:bookmarkEnd w:id="777"/>
    <w:bookmarkEnd w:id="778"/>
    <w:bookmarkEnd w:id="77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D7816"/>
    <w:multiLevelType w:val="singleLevel"/>
    <w:tmpl w:val="5F8D78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hOWM1NGM5NGQxODhmZmUyMDA0Yjg1NDExYTg0Y2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71C"/>
    <w:rsid w:val="000448DD"/>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2BF"/>
    <w:rsid w:val="000646CA"/>
    <w:rsid w:val="00065CA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548"/>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E13"/>
    <w:rsid w:val="000D1FA1"/>
    <w:rsid w:val="000D2834"/>
    <w:rsid w:val="000D2CAC"/>
    <w:rsid w:val="000D3272"/>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AD1"/>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27B"/>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040"/>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0A43"/>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A85"/>
    <w:rsid w:val="00176AA6"/>
    <w:rsid w:val="00177063"/>
    <w:rsid w:val="00180A47"/>
    <w:rsid w:val="00181025"/>
    <w:rsid w:val="001827B7"/>
    <w:rsid w:val="001827EF"/>
    <w:rsid w:val="00182982"/>
    <w:rsid w:val="001829BC"/>
    <w:rsid w:val="00182D68"/>
    <w:rsid w:val="00183031"/>
    <w:rsid w:val="00183468"/>
    <w:rsid w:val="0018397E"/>
    <w:rsid w:val="00184466"/>
    <w:rsid w:val="0018494A"/>
    <w:rsid w:val="00184DBF"/>
    <w:rsid w:val="001852A8"/>
    <w:rsid w:val="0018535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DE8"/>
    <w:rsid w:val="001A4ED9"/>
    <w:rsid w:val="001A5785"/>
    <w:rsid w:val="001A5FD7"/>
    <w:rsid w:val="001A66A6"/>
    <w:rsid w:val="001A6BAF"/>
    <w:rsid w:val="001A6BBB"/>
    <w:rsid w:val="001A79A2"/>
    <w:rsid w:val="001A7F98"/>
    <w:rsid w:val="001B06A6"/>
    <w:rsid w:val="001B0B2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0CA"/>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4F74"/>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AA7"/>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BBE"/>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81"/>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975"/>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7B9"/>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4FD"/>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78E"/>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E2"/>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0"/>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2F"/>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2BD9"/>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343"/>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2E9"/>
    <w:rsid w:val="0049570D"/>
    <w:rsid w:val="00495C48"/>
    <w:rsid w:val="00495DC6"/>
    <w:rsid w:val="00496CCE"/>
    <w:rsid w:val="004978C1"/>
    <w:rsid w:val="00497AAD"/>
    <w:rsid w:val="00497BD7"/>
    <w:rsid w:val="00497D1A"/>
    <w:rsid w:val="004A00C9"/>
    <w:rsid w:val="004A0365"/>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564"/>
    <w:rsid w:val="004B2E9D"/>
    <w:rsid w:val="004B305F"/>
    <w:rsid w:val="004B34C4"/>
    <w:rsid w:val="004B34E8"/>
    <w:rsid w:val="004B3981"/>
    <w:rsid w:val="004B3A03"/>
    <w:rsid w:val="004B419F"/>
    <w:rsid w:val="004B4EA9"/>
    <w:rsid w:val="004B5C96"/>
    <w:rsid w:val="004B5DE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E3B"/>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6E9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3D1"/>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EC2"/>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87E"/>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91F"/>
    <w:rsid w:val="005D266D"/>
    <w:rsid w:val="005D306D"/>
    <w:rsid w:val="005D3327"/>
    <w:rsid w:val="005D4854"/>
    <w:rsid w:val="005D54D8"/>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E89"/>
    <w:rsid w:val="005F4F00"/>
    <w:rsid w:val="005F5506"/>
    <w:rsid w:val="005F5A0D"/>
    <w:rsid w:val="005F60DF"/>
    <w:rsid w:val="005F615B"/>
    <w:rsid w:val="005F61DF"/>
    <w:rsid w:val="005F680A"/>
    <w:rsid w:val="005F6880"/>
    <w:rsid w:val="005F6B3E"/>
    <w:rsid w:val="005F6ED2"/>
    <w:rsid w:val="005F745B"/>
    <w:rsid w:val="005F77EA"/>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2C3"/>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40C"/>
    <w:rsid w:val="00643F89"/>
    <w:rsid w:val="00644334"/>
    <w:rsid w:val="0064487C"/>
    <w:rsid w:val="00644A7D"/>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500"/>
    <w:rsid w:val="00654EA5"/>
    <w:rsid w:val="0065587E"/>
    <w:rsid w:val="006558CD"/>
    <w:rsid w:val="00655C26"/>
    <w:rsid w:val="0065637A"/>
    <w:rsid w:val="00656998"/>
    <w:rsid w:val="00656E4D"/>
    <w:rsid w:val="006570E4"/>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3DBD"/>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06E"/>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C52"/>
    <w:rsid w:val="006B3D00"/>
    <w:rsid w:val="006B3FFF"/>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DB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131"/>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576"/>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47FA"/>
    <w:rsid w:val="0074557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3C8"/>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D0B"/>
    <w:rsid w:val="007B00C9"/>
    <w:rsid w:val="007B02C7"/>
    <w:rsid w:val="007B0306"/>
    <w:rsid w:val="007B08E4"/>
    <w:rsid w:val="007B0D86"/>
    <w:rsid w:val="007B28C3"/>
    <w:rsid w:val="007B379D"/>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B86"/>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A51"/>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3AC"/>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D6E"/>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99"/>
    <w:rsid w:val="00897BFA"/>
    <w:rsid w:val="00897D19"/>
    <w:rsid w:val="008A0044"/>
    <w:rsid w:val="008A0BFE"/>
    <w:rsid w:val="008A1932"/>
    <w:rsid w:val="008A21D9"/>
    <w:rsid w:val="008A232D"/>
    <w:rsid w:val="008A2544"/>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6EAB"/>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020"/>
    <w:rsid w:val="008E429E"/>
    <w:rsid w:val="008E58A3"/>
    <w:rsid w:val="008E5938"/>
    <w:rsid w:val="008E6109"/>
    <w:rsid w:val="008E6A39"/>
    <w:rsid w:val="008E76BB"/>
    <w:rsid w:val="008F02A3"/>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9FE"/>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A7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87FD6"/>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0F94"/>
    <w:rsid w:val="009F1109"/>
    <w:rsid w:val="009F143E"/>
    <w:rsid w:val="009F1DE8"/>
    <w:rsid w:val="009F2186"/>
    <w:rsid w:val="009F227C"/>
    <w:rsid w:val="009F28DC"/>
    <w:rsid w:val="009F2EDB"/>
    <w:rsid w:val="009F33DC"/>
    <w:rsid w:val="009F3572"/>
    <w:rsid w:val="009F4181"/>
    <w:rsid w:val="009F4550"/>
    <w:rsid w:val="009F55C7"/>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1BA"/>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0F0"/>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10C"/>
    <w:rsid w:val="00A355F9"/>
    <w:rsid w:val="00A357D3"/>
    <w:rsid w:val="00A35AA9"/>
    <w:rsid w:val="00A35F3C"/>
    <w:rsid w:val="00A36CF6"/>
    <w:rsid w:val="00A37309"/>
    <w:rsid w:val="00A37329"/>
    <w:rsid w:val="00A37558"/>
    <w:rsid w:val="00A3786A"/>
    <w:rsid w:val="00A37886"/>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5D30"/>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1B8"/>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3D9"/>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466"/>
    <w:rsid w:val="00AE3CF0"/>
    <w:rsid w:val="00AE4546"/>
    <w:rsid w:val="00AE60D3"/>
    <w:rsid w:val="00AE6575"/>
    <w:rsid w:val="00AE6B26"/>
    <w:rsid w:val="00AE71EE"/>
    <w:rsid w:val="00AF03CF"/>
    <w:rsid w:val="00AF0A0A"/>
    <w:rsid w:val="00AF0C72"/>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CD4"/>
    <w:rsid w:val="00B83E76"/>
    <w:rsid w:val="00B83FA0"/>
    <w:rsid w:val="00B84156"/>
    <w:rsid w:val="00B846E6"/>
    <w:rsid w:val="00B8537B"/>
    <w:rsid w:val="00B85586"/>
    <w:rsid w:val="00B86289"/>
    <w:rsid w:val="00B863B3"/>
    <w:rsid w:val="00B869D3"/>
    <w:rsid w:val="00B86CF8"/>
    <w:rsid w:val="00B86E44"/>
    <w:rsid w:val="00B87359"/>
    <w:rsid w:val="00B879C1"/>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481"/>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502"/>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E67"/>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8A9"/>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3C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378"/>
    <w:rsid w:val="00C53CE9"/>
    <w:rsid w:val="00C5531B"/>
    <w:rsid w:val="00C55375"/>
    <w:rsid w:val="00C5570F"/>
    <w:rsid w:val="00C56C98"/>
    <w:rsid w:val="00C56DE1"/>
    <w:rsid w:val="00C56DEE"/>
    <w:rsid w:val="00C57120"/>
    <w:rsid w:val="00C571D5"/>
    <w:rsid w:val="00C575D4"/>
    <w:rsid w:val="00C57612"/>
    <w:rsid w:val="00C57959"/>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24"/>
    <w:rsid w:val="00C749AB"/>
    <w:rsid w:val="00C7510B"/>
    <w:rsid w:val="00C75A8F"/>
    <w:rsid w:val="00C76129"/>
    <w:rsid w:val="00C76C0C"/>
    <w:rsid w:val="00C76FFC"/>
    <w:rsid w:val="00C774E0"/>
    <w:rsid w:val="00C77528"/>
    <w:rsid w:val="00C776BA"/>
    <w:rsid w:val="00C7791E"/>
    <w:rsid w:val="00C81716"/>
    <w:rsid w:val="00C8327E"/>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DAB"/>
    <w:rsid w:val="00CC733D"/>
    <w:rsid w:val="00CC7617"/>
    <w:rsid w:val="00CC7E0D"/>
    <w:rsid w:val="00CC7E97"/>
    <w:rsid w:val="00CD00EB"/>
    <w:rsid w:val="00CD06D5"/>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B4C"/>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E66"/>
    <w:rsid w:val="00D0227B"/>
    <w:rsid w:val="00D02A80"/>
    <w:rsid w:val="00D0352D"/>
    <w:rsid w:val="00D038DC"/>
    <w:rsid w:val="00D04F01"/>
    <w:rsid w:val="00D04F8B"/>
    <w:rsid w:val="00D054EF"/>
    <w:rsid w:val="00D05637"/>
    <w:rsid w:val="00D05BA9"/>
    <w:rsid w:val="00D05EB1"/>
    <w:rsid w:val="00D0650B"/>
    <w:rsid w:val="00D068AA"/>
    <w:rsid w:val="00D06C05"/>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8E"/>
    <w:rsid w:val="00D165D8"/>
    <w:rsid w:val="00D1724E"/>
    <w:rsid w:val="00D17C26"/>
    <w:rsid w:val="00D17E08"/>
    <w:rsid w:val="00D206F6"/>
    <w:rsid w:val="00D20FD1"/>
    <w:rsid w:val="00D214D4"/>
    <w:rsid w:val="00D21AAA"/>
    <w:rsid w:val="00D21E6F"/>
    <w:rsid w:val="00D2218A"/>
    <w:rsid w:val="00D221B8"/>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8F3"/>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2C3"/>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41"/>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A0"/>
    <w:rsid w:val="00DF28F2"/>
    <w:rsid w:val="00DF2BFF"/>
    <w:rsid w:val="00DF339B"/>
    <w:rsid w:val="00DF3798"/>
    <w:rsid w:val="00DF393E"/>
    <w:rsid w:val="00DF4416"/>
    <w:rsid w:val="00DF4FF1"/>
    <w:rsid w:val="00DF56A3"/>
    <w:rsid w:val="00DF5B33"/>
    <w:rsid w:val="00DF6FD2"/>
    <w:rsid w:val="00DF72EF"/>
    <w:rsid w:val="00DF743D"/>
    <w:rsid w:val="00DF7724"/>
    <w:rsid w:val="00E000D8"/>
    <w:rsid w:val="00E00C1E"/>
    <w:rsid w:val="00E00F5F"/>
    <w:rsid w:val="00E010E6"/>
    <w:rsid w:val="00E01377"/>
    <w:rsid w:val="00E014E7"/>
    <w:rsid w:val="00E01E0E"/>
    <w:rsid w:val="00E0232F"/>
    <w:rsid w:val="00E026A9"/>
    <w:rsid w:val="00E0356F"/>
    <w:rsid w:val="00E03B42"/>
    <w:rsid w:val="00E03C10"/>
    <w:rsid w:val="00E0479F"/>
    <w:rsid w:val="00E04816"/>
    <w:rsid w:val="00E04982"/>
    <w:rsid w:val="00E04D6A"/>
    <w:rsid w:val="00E058DB"/>
    <w:rsid w:val="00E05950"/>
    <w:rsid w:val="00E05A3D"/>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234"/>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5F45"/>
    <w:rsid w:val="00E56795"/>
    <w:rsid w:val="00E57932"/>
    <w:rsid w:val="00E606C4"/>
    <w:rsid w:val="00E60811"/>
    <w:rsid w:val="00E60AB8"/>
    <w:rsid w:val="00E6103E"/>
    <w:rsid w:val="00E6185F"/>
    <w:rsid w:val="00E61D32"/>
    <w:rsid w:val="00E63C60"/>
    <w:rsid w:val="00E64050"/>
    <w:rsid w:val="00E64151"/>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4FA5"/>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F39"/>
    <w:rsid w:val="00EE3384"/>
    <w:rsid w:val="00EE499F"/>
    <w:rsid w:val="00EE5245"/>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D8C"/>
    <w:rsid w:val="00F213D8"/>
    <w:rsid w:val="00F21A5D"/>
    <w:rsid w:val="00F21C13"/>
    <w:rsid w:val="00F22362"/>
    <w:rsid w:val="00F22796"/>
    <w:rsid w:val="00F2296A"/>
    <w:rsid w:val="00F231E9"/>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55"/>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5F4"/>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84F"/>
    <w:rsid w:val="00FC38D4"/>
    <w:rsid w:val="00FC391E"/>
    <w:rsid w:val="00FC39B3"/>
    <w:rsid w:val="00FC3BB7"/>
    <w:rsid w:val="00FC4345"/>
    <w:rsid w:val="00FC444A"/>
    <w:rsid w:val="00FC453D"/>
    <w:rsid w:val="00FC4A66"/>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2A7F"/>
    <w:rsid w:val="00FF3D2B"/>
    <w:rsid w:val="00FF49B4"/>
    <w:rsid w:val="00FF49F4"/>
    <w:rsid w:val="00FF5C6A"/>
    <w:rsid w:val="00FF651D"/>
    <w:rsid w:val="00FF6843"/>
    <w:rsid w:val="00FF6C25"/>
    <w:rsid w:val="010548A9"/>
    <w:rsid w:val="010651D9"/>
    <w:rsid w:val="011F6449"/>
    <w:rsid w:val="01236AFB"/>
    <w:rsid w:val="015B7696"/>
    <w:rsid w:val="019F7441"/>
    <w:rsid w:val="01B02E25"/>
    <w:rsid w:val="01B37585"/>
    <w:rsid w:val="01B6358F"/>
    <w:rsid w:val="01D55165"/>
    <w:rsid w:val="01DF6BF8"/>
    <w:rsid w:val="01EC2C57"/>
    <w:rsid w:val="022B322B"/>
    <w:rsid w:val="025F0711"/>
    <w:rsid w:val="026B2E25"/>
    <w:rsid w:val="02824D4D"/>
    <w:rsid w:val="02CB491C"/>
    <w:rsid w:val="02DC4B10"/>
    <w:rsid w:val="02DD76CE"/>
    <w:rsid w:val="02F36323"/>
    <w:rsid w:val="02F5619C"/>
    <w:rsid w:val="0326446A"/>
    <w:rsid w:val="032D5555"/>
    <w:rsid w:val="036634D2"/>
    <w:rsid w:val="03935C65"/>
    <w:rsid w:val="03DD35E4"/>
    <w:rsid w:val="04076900"/>
    <w:rsid w:val="041A5A3B"/>
    <w:rsid w:val="042311BA"/>
    <w:rsid w:val="042A28FC"/>
    <w:rsid w:val="042B157A"/>
    <w:rsid w:val="045B7DD6"/>
    <w:rsid w:val="048F763B"/>
    <w:rsid w:val="049F330E"/>
    <w:rsid w:val="04AA775C"/>
    <w:rsid w:val="04AF1889"/>
    <w:rsid w:val="04F66F48"/>
    <w:rsid w:val="05043453"/>
    <w:rsid w:val="05110522"/>
    <w:rsid w:val="05251E14"/>
    <w:rsid w:val="054C0FF9"/>
    <w:rsid w:val="05A16594"/>
    <w:rsid w:val="05A7762D"/>
    <w:rsid w:val="05B256D4"/>
    <w:rsid w:val="060E5941"/>
    <w:rsid w:val="06110FAF"/>
    <w:rsid w:val="06332804"/>
    <w:rsid w:val="06493CA7"/>
    <w:rsid w:val="065A6178"/>
    <w:rsid w:val="066F1CF3"/>
    <w:rsid w:val="06930BB8"/>
    <w:rsid w:val="07245D42"/>
    <w:rsid w:val="07264C62"/>
    <w:rsid w:val="0764344E"/>
    <w:rsid w:val="0779354C"/>
    <w:rsid w:val="07CF228A"/>
    <w:rsid w:val="08061376"/>
    <w:rsid w:val="08452D77"/>
    <w:rsid w:val="086401F8"/>
    <w:rsid w:val="08751CAA"/>
    <w:rsid w:val="087E4C40"/>
    <w:rsid w:val="08A871D0"/>
    <w:rsid w:val="08D66AD6"/>
    <w:rsid w:val="08DA33A3"/>
    <w:rsid w:val="08E80F13"/>
    <w:rsid w:val="08E95E2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0270D"/>
    <w:rsid w:val="0AE05E89"/>
    <w:rsid w:val="0AEF20F1"/>
    <w:rsid w:val="0AF636F2"/>
    <w:rsid w:val="0B30404E"/>
    <w:rsid w:val="0B4C6C14"/>
    <w:rsid w:val="0B547599"/>
    <w:rsid w:val="0B5C2086"/>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1A79"/>
    <w:rsid w:val="0D063BDA"/>
    <w:rsid w:val="0D08375F"/>
    <w:rsid w:val="0D184CFB"/>
    <w:rsid w:val="0D4A7419"/>
    <w:rsid w:val="0D827401"/>
    <w:rsid w:val="0D84094E"/>
    <w:rsid w:val="0D8A00E9"/>
    <w:rsid w:val="0D8D589E"/>
    <w:rsid w:val="0DA01C73"/>
    <w:rsid w:val="0DD63300"/>
    <w:rsid w:val="0DF50604"/>
    <w:rsid w:val="0DF702FE"/>
    <w:rsid w:val="0DFA42AF"/>
    <w:rsid w:val="0E060E51"/>
    <w:rsid w:val="0E374A26"/>
    <w:rsid w:val="0E5604B2"/>
    <w:rsid w:val="0E6D5D79"/>
    <w:rsid w:val="0E9D0089"/>
    <w:rsid w:val="0EB803EE"/>
    <w:rsid w:val="0EF94D4B"/>
    <w:rsid w:val="0F0F7410"/>
    <w:rsid w:val="0F4958DC"/>
    <w:rsid w:val="0F515DF7"/>
    <w:rsid w:val="0F596BA8"/>
    <w:rsid w:val="0F6248D2"/>
    <w:rsid w:val="0F693536"/>
    <w:rsid w:val="0F7B0511"/>
    <w:rsid w:val="0F7B76D9"/>
    <w:rsid w:val="0F816ACD"/>
    <w:rsid w:val="0F9832DB"/>
    <w:rsid w:val="0FAE011F"/>
    <w:rsid w:val="0FBF3FD2"/>
    <w:rsid w:val="0FBF7FF3"/>
    <w:rsid w:val="10646583"/>
    <w:rsid w:val="1077526D"/>
    <w:rsid w:val="107D4B15"/>
    <w:rsid w:val="108A3C80"/>
    <w:rsid w:val="10C26171"/>
    <w:rsid w:val="10F33360"/>
    <w:rsid w:val="10FC16EA"/>
    <w:rsid w:val="110F1D40"/>
    <w:rsid w:val="11266F33"/>
    <w:rsid w:val="114F7C08"/>
    <w:rsid w:val="118963A1"/>
    <w:rsid w:val="11C6522A"/>
    <w:rsid w:val="11E104CC"/>
    <w:rsid w:val="11E20309"/>
    <w:rsid w:val="12093436"/>
    <w:rsid w:val="12255233"/>
    <w:rsid w:val="12530213"/>
    <w:rsid w:val="127723A9"/>
    <w:rsid w:val="12862074"/>
    <w:rsid w:val="12883966"/>
    <w:rsid w:val="129E45B4"/>
    <w:rsid w:val="12D81596"/>
    <w:rsid w:val="12FC1D84"/>
    <w:rsid w:val="12FF663A"/>
    <w:rsid w:val="13072A44"/>
    <w:rsid w:val="13313DF9"/>
    <w:rsid w:val="13581912"/>
    <w:rsid w:val="135F4BE2"/>
    <w:rsid w:val="139B1A0A"/>
    <w:rsid w:val="139D25C7"/>
    <w:rsid w:val="13BF3CE4"/>
    <w:rsid w:val="13F13AA5"/>
    <w:rsid w:val="141008D8"/>
    <w:rsid w:val="14125FE6"/>
    <w:rsid w:val="141F374C"/>
    <w:rsid w:val="142E52B6"/>
    <w:rsid w:val="146D271E"/>
    <w:rsid w:val="148C045B"/>
    <w:rsid w:val="14982588"/>
    <w:rsid w:val="149A59CD"/>
    <w:rsid w:val="149A5AD9"/>
    <w:rsid w:val="14A7619D"/>
    <w:rsid w:val="14F72197"/>
    <w:rsid w:val="150536C3"/>
    <w:rsid w:val="150C1963"/>
    <w:rsid w:val="151447A0"/>
    <w:rsid w:val="151A3CBF"/>
    <w:rsid w:val="154A6454"/>
    <w:rsid w:val="157013C5"/>
    <w:rsid w:val="15762120"/>
    <w:rsid w:val="15C10692"/>
    <w:rsid w:val="15C26A1F"/>
    <w:rsid w:val="15E57946"/>
    <w:rsid w:val="1632430B"/>
    <w:rsid w:val="16A71FA1"/>
    <w:rsid w:val="16A8729C"/>
    <w:rsid w:val="16B33777"/>
    <w:rsid w:val="16BC70A7"/>
    <w:rsid w:val="16C6339E"/>
    <w:rsid w:val="16CC2712"/>
    <w:rsid w:val="172F2D79"/>
    <w:rsid w:val="17557BEF"/>
    <w:rsid w:val="17D349C1"/>
    <w:rsid w:val="1830729E"/>
    <w:rsid w:val="1870062C"/>
    <w:rsid w:val="18817102"/>
    <w:rsid w:val="18830A15"/>
    <w:rsid w:val="18852B28"/>
    <w:rsid w:val="188B5321"/>
    <w:rsid w:val="189E35C3"/>
    <w:rsid w:val="18F61966"/>
    <w:rsid w:val="190F09FC"/>
    <w:rsid w:val="1949397D"/>
    <w:rsid w:val="195A555C"/>
    <w:rsid w:val="197665C1"/>
    <w:rsid w:val="19932372"/>
    <w:rsid w:val="19A20DD5"/>
    <w:rsid w:val="19AE03F1"/>
    <w:rsid w:val="1A071A03"/>
    <w:rsid w:val="1A1F16AE"/>
    <w:rsid w:val="1A3B5C77"/>
    <w:rsid w:val="1A5E6C14"/>
    <w:rsid w:val="1A60500E"/>
    <w:rsid w:val="1A8E6EA2"/>
    <w:rsid w:val="1A984BAD"/>
    <w:rsid w:val="1AB8220E"/>
    <w:rsid w:val="1ADA6FDD"/>
    <w:rsid w:val="1AE407D4"/>
    <w:rsid w:val="1AE4166C"/>
    <w:rsid w:val="1AF06CFB"/>
    <w:rsid w:val="1AF11B8D"/>
    <w:rsid w:val="1B11359C"/>
    <w:rsid w:val="1B193685"/>
    <w:rsid w:val="1B2A271F"/>
    <w:rsid w:val="1B530544"/>
    <w:rsid w:val="1B713184"/>
    <w:rsid w:val="1BA209CF"/>
    <w:rsid w:val="1BB4777D"/>
    <w:rsid w:val="1BD75AB8"/>
    <w:rsid w:val="1C0459C2"/>
    <w:rsid w:val="1C1B3B4A"/>
    <w:rsid w:val="1C427076"/>
    <w:rsid w:val="1C63351B"/>
    <w:rsid w:val="1C88086E"/>
    <w:rsid w:val="1C8D410C"/>
    <w:rsid w:val="1CD2026D"/>
    <w:rsid w:val="1D266CE1"/>
    <w:rsid w:val="1D3963AF"/>
    <w:rsid w:val="1D6A673C"/>
    <w:rsid w:val="1D7E2045"/>
    <w:rsid w:val="1D8316F5"/>
    <w:rsid w:val="1D9247AE"/>
    <w:rsid w:val="1DB567EC"/>
    <w:rsid w:val="1DF51A98"/>
    <w:rsid w:val="1E2859CD"/>
    <w:rsid w:val="1E3D060F"/>
    <w:rsid w:val="1E3F7D2E"/>
    <w:rsid w:val="1E4134E4"/>
    <w:rsid w:val="1E5062B3"/>
    <w:rsid w:val="1E523514"/>
    <w:rsid w:val="1E714A66"/>
    <w:rsid w:val="1E74728F"/>
    <w:rsid w:val="1E802593"/>
    <w:rsid w:val="1E8B6156"/>
    <w:rsid w:val="1EA703CC"/>
    <w:rsid w:val="1EB7330C"/>
    <w:rsid w:val="1F0A0FF3"/>
    <w:rsid w:val="1F3B240B"/>
    <w:rsid w:val="1F5771FF"/>
    <w:rsid w:val="1F6B3582"/>
    <w:rsid w:val="1FD52DD5"/>
    <w:rsid w:val="1FE868A9"/>
    <w:rsid w:val="20034907"/>
    <w:rsid w:val="20173E4B"/>
    <w:rsid w:val="204E48BC"/>
    <w:rsid w:val="208921B3"/>
    <w:rsid w:val="20973DEB"/>
    <w:rsid w:val="20B26522"/>
    <w:rsid w:val="20B44310"/>
    <w:rsid w:val="211116EB"/>
    <w:rsid w:val="216133FC"/>
    <w:rsid w:val="2185666F"/>
    <w:rsid w:val="219C4800"/>
    <w:rsid w:val="21D56769"/>
    <w:rsid w:val="21E52EF3"/>
    <w:rsid w:val="21FB5D7B"/>
    <w:rsid w:val="22015E94"/>
    <w:rsid w:val="220B1C3D"/>
    <w:rsid w:val="221D1D20"/>
    <w:rsid w:val="22334A87"/>
    <w:rsid w:val="229F2B27"/>
    <w:rsid w:val="22BE6801"/>
    <w:rsid w:val="233500BF"/>
    <w:rsid w:val="23377FF7"/>
    <w:rsid w:val="23411E36"/>
    <w:rsid w:val="236B425F"/>
    <w:rsid w:val="23836192"/>
    <w:rsid w:val="238D1D74"/>
    <w:rsid w:val="23901F29"/>
    <w:rsid w:val="239C0061"/>
    <w:rsid w:val="23B76FB8"/>
    <w:rsid w:val="23B908A4"/>
    <w:rsid w:val="23E95BEF"/>
    <w:rsid w:val="23FD0064"/>
    <w:rsid w:val="24430F9C"/>
    <w:rsid w:val="24465B9C"/>
    <w:rsid w:val="245375B0"/>
    <w:rsid w:val="24642C0A"/>
    <w:rsid w:val="249146F7"/>
    <w:rsid w:val="24B22173"/>
    <w:rsid w:val="24B959FC"/>
    <w:rsid w:val="24B95AD9"/>
    <w:rsid w:val="24BE24DA"/>
    <w:rsid w:val="24CF5825"/>
    <w:rsid w:val="24D34275"/>
    <w:rsid w:val="24D663E6"/>
    <w:rsid w:val="24D77F2B"/>
    <w:rsid w:val="258B00E2"/>
    <w:rsid w:val="25A917A6"/>
    <w:rsid w:val="25BE27CC"/>
    <w:rsid w:val="25F74A5C"/>
    <w:rsid w:val="25FF1B1D"/>
    <w:rsid w:val="2628662C"/>
    <w:rsid w:val="262D45DE"/>
    <w:rsid w:val="26871DC8"/>
    <w:rsid w:val="26A53EF9"/>
    <w:rsid w:val="26A94201"/>
    <w:rsid w:val="26AC274F"/>
    <w:rsid w:val="27003C11"/>
    <w:rsid w:val="27044A29"/>
    <w:rsid w:val="271D34C8"/>
    <w:rsid w:val="276142BF"/>
    <w:rsid w:val="27783712"/>
    <w:rsid w:val="2790440E"/>
    <w:rsid w:val="27907362"/>
    <w:rsid w:val="279337D1"/>
    <w:rsid w:val="27CF42DC"/>
    <w:rsid w:val="28333E1D"/>
    <w:rsid w:val="284330C0"/>
    <w:rsid w:val="28454BD6"/>
    <w:rsid w:val="28455253"/>
    <w:rsid w:val="284C64F8"/>
    <w:rsid w:val="28551971"/>
    <w:rsid w:val="285B1C53"/>
    <w:rsid w:val="289F7086"/>
    <w:rsid w:val="28B93A5B"/>
    <w:rsid w:val="28C32028"/>
    <w:rsid w:val="28CC490F"/>
    <w:rsid w:val="28DE40AA"/>
    <w:rsid w:val="29345E77"/>
    <w:rsid w:val="294C65AD"/>
    <w:rsid w:val="295657FB"/>
    <w:rsid w:val="29806583"/>
    <w:rsid w:val="298B3C4C"/>
    <w:rsid w:val="29BD1AEA"/>
    <w:rsid w:val="29F26D24"/>
    <w:rsid w:val="2A15033F"/>
    <w:rsid w:val="2A1662C1"/>
    <w:rsid w:val="2A1C7367"/>
    <w:rsid w:val="2A2815FA"/>
    <w:rsid w:val="2A3944F8"/>
    <w:rsid w:val="2A6D6092"/>
    <w:rsid w:val="2A7D76B4"/>
    <w:rsid w:val="2B0850AF"/>
    <w:rsid w:val="2B0B6D7A"/>
    <w:rsid w:val="2B216E86"/>
    <w:rsid w:val="2B437463"/>
    <w:rsid w:val="2B5D2C79"/>
    <w:rsid w:val="2B7807EE"/>
    <w:rsid w:val="2BA50BF7"/>
    <w:rsid w:val="2BBF00EC"/>
    <w:rsid w:val="2BC37CFD"/>
    <w:rsid w:val="2BD5237F"/>
    <w:rsid w:val="2BE536CE"/>
    <w:rsid w:val="2BE758D9"/>
    <w:rsid w:val="2BEA4932"/>
    <w:rsid w:val="2C09049E"/>
    <w:rsid w:val="2C0A3E61"/>
    <w:rsid w:val="2C0A653C"/>
    <w:rsid w:val="2C191F85"/>
    <w:rsid w:val="2C27704A"/>
    <w:rsid w:val="2C5238B1"/>
    <w:rsid w:val="2CA33A0C"/>
    <w:rsid w:val="2CBD51EE"/>
    <w:rsid w:val="2CCA5EDF"/>
    <w:rsid w:val="2CE11F94"/>
    <w:rsid w:val="2CE82D6F"/>
    <w:rsid w:val="2D343236"/>
    <w:rsid w:val="2D9E7E85"/>
    <w:rsid w:val="2DB77B57"/>
    <w:rsid w:val="2DD15014"/>
    <w:rsid w:val="2DF72DE4"/>
    <w:rsid w:val="2E0220AF"/>
    <w:rsid w:val="2E4B082A"/>
    <w:rsid w:val="2E5D4E86"/>
    <w:rsid w:val="2E5D790B"/>
    <w:rsid w:val="2E9A3C18"/>
    <w:rsid w:val="2EBB0FEE"/>
    <w:rsid w:val="2EC63002"/>
    <w:rsid w:val="2F0A6B38"/>
    <w:rsid w:val="2F0D52C2"/>
    <w:rsid w:val="2F946CCB"/>
    <w:rsid w:val="2FA16135"/>
    <w:rsid w:val="2FD25781"/>
    <w:rsid w:val="2FDC745C"/>
    <w:rsid w:val="2FFD7934"/>
    <w:rsid w:val="306F3AB4"/>
    <w:rsid w:val="30733ACD"/>
    <w:rsid w:val="308C3862"/>
    <w:rsid w:val="309379D8"/>
    <w:rsid w:val="30A270F7"/>
    <w:rsid w:val="30DF1478"/>
    <w:rsid w:val="30EC586F"/>
    <w:rsid w:val="30FE600B"/>
    <w:rsid w:val="312E43A9"/>
    <w:rsid w:val="314550B7"/>
    <w:rsid w:val="319C6071"/>
    <w:rsid w:val="31AC537E"/>
    <w:rsid w:val="31E3679B"/>
    <w:rsid w:val="31E732FD"/>
    <w:rsid w:val="31F9291D"/>
    <w:rsid w:val="32517576"/>
    <w:rsid w:val="32655415"/>
    <w:rsid w:val="32AB3781"/>
    <w:rsid w:val="32BE5C2C"/>
    <w:rsid w:val="32FB6478"/>
    <w:rsid w:val="331309CD"/>
    <w:rsid w:val="33221C2F"/>
    <w:rsid w:val="33263B3F"/>
    <w:rsid w:val="336963EB"/>
    <w:rsid w:val="337E678E"/>
    <w:rsid w:val="33816EEB"/>
    <w:rsid w:val="33EB55CD"/>
    <w:rsid w:val="33EC4C02"/>
    <w:rsid w:val="340007EC"/>
    <w:rsid w:val="340D2360"/>
    <w:rsid w:val="3410665D"/>
    <w:rsid w:val="341747F9"/>
    <w:rsid w:val="34211214"/>
    <w:rsid w:val="342E63AB"/>
    <w:rsid w:val="349432B9"/>
    <w:rsid w:val="34950E68"/>
    <w:rsid w:val="34986E94"/>
    <w:rsid w:val="34AF62C9"/>
    <w:rsid w:val="34CB4388"/>
    <w:rsid w:val="34FA6E12"/>
    <w:rsid w:val="354D7158"/>
    <w:rsid w:val="358D5588"/>
    <w:rsid w:val="359009FB"/>
    <w:rsid w:val="361004B9"/>
    <w:rsid w:val="363A3B40"/>
    <w:rsid w:val="365302AE"/>
    <w:rsid w:val="36607A0A"/>
    <w:rsid w:val="366E227C"/>
    <w:rsid w:val="366F2E0D"/>
    <w:rsid w:val="367B6A5C"/>
    <w:rsid w:val="36A25BC7"/>
    <w:rsid w:val="36A74ADA"/>
    <w:rsid w:val="36AD60D5"/>
    <w:rsid w:val="36B224F9"/>
    <w:rsid w:val="36EC0CC9"/>
    <w:rsid w:val="373F410B"/>
    <w:rsid w:val="374F393B"/>
    <w:rsid w:val="37607CF2"/>
    <w:rsid w:val="37CF65F0"/>
    <w:rsid w:val="37D01583"/>
    <w:rsid w:val="37EE7094"/>
    <w:rsid w:val="38296C89"/>
    <w:rsid w:val="383002EB"/>
    <w:rsid w:val="38586797"/>
    <w:rsid w:val="38820C0A"/>
    <w:rsid w:val="38B955D1"/>
    <w:rsid w:val="38BC0149"/>
    <w:rsid w:val="38CB26D6"/>
    <w:rsid w:val="38D87D1C"/>
    <w:rsid w:val="39096AFA"/>
    <w:rsid w:val="391E1AB4"/>
    <w:rsid w:val="39416E46"/>
    <w:rsid w:val="39636459"/>
    <w:rsid w:val="396B7F6C"/>
    <w:rsid w:val="39A959E1"/>
    <w:rsid w:val="39B417A9"/>
    <w:rsid w:val="39FC5695"/>
    <w:rsid w:val="3A006D8E"/>
    <w:rsid w:val="3A3651E5"/>
    <w:rsid w:val="3A3C7179"/>
    <w:rsid w:val="3A744481"/>
    <w:rsid w:val="3A8C7BEF"/>
    <w:rsid w:val="3A906246"/>
    <w:rsid w:val="3AAA2F72"/>
    <w:rsid w:val="3B163750"/>
    <w:rsid w:val="3B2349B7"/>
    <w:rsid w:val="3B490888"/>
    <w:rsid w:val="3B616CFF"/>
    <w:rsid w:val="3B6259F6"/>
    <w:rsid w:val="3B976654"/>
    <w:rsid w:val="3BC01EFC"/>
    <w:rsid w:val="3BCA786A"/>
    <w:rsid w:val="3BD31E2F"/>
    <w:rsid w:val="3BF15831"/>
    <w:rsid w:val="3C105946"/>
    <w:rsid w:val="3C471448"/>
    <w:rsid w:val="3C5A4ABB"/>
    <w:rsid w:val="3C5F759A"/>
    <w:rsid w:val="3C6C525A"/>
    <w:rsid w:val="3CCE23CB"/>
    <w:rsid w:val="3CD17D17"/>
    <w:rsid w:val="3CFA450F"/>
    <w:rsid w:val="3D107AC3"/>
    <w:rsid w:val="3D2B38FA"/>
    <w:rsid w:val="3D3C7F39"/>
    <w:rsid w:val="3D440F09"/>
    <w:rsid w:val="3D4504A0"/>
    <w:rsid w:val="3D8734BB"/>
    <w:rsid w:val="3D9A11D4"/>
    <w:rsid w:val="3DA16D89"/>
    <w:rsid w:val="3DA364BE"/>
    <w:rsid w:val="3DE041CB"/>
    <w:rsid w:val="3E0D48F6"/>
    <w:rsid w:val="3E1868B4"/>
    <w:rsid w:val="3E377251"/>
    <w:rsid w:val="3E42664B"/>
    <w:rsid w:val="3E5A7334"/>
    <w:rsid w:val="3E77210F"/>
    <w:rsid w:val="3E7B5D6B"/>
    <w:rsid w:val="3E843E66"/>
    <w:rsid w:val="3E8F51FE"/>
    <w:rsid w:val="3E8F7C90"/>
    <w:rsid w:val="3E926F87"/>
    <w:rsid w:val="3E9A59DE"/>
    <w:rsid w:val="3EA37A1B"/>
    <w:rsid w:val="3EAF4836"/>
    <w:rsid w:val="3EB7602C"/>
    <w:rsid w:val="3EC33DFA"/>
    <w:rsid w:val="3ED656D0"/>
    <w:rsid w:val="3F060E16"/>
    <w:rsid w:val="3F1D1096"/>
    <w:rsid w:val="3F1F0523"/>
    <w:rsid w:val="3F2F0234"/>
    <w:rsid w:val="3F6363FE"/>
    <w:rsid w:val="3F756B8F"/>
    <w:rsid w:val="3F9133A5"/>
    <w:rsid w:val="3F95482B"/>
    <w:rsid w:val="3FE204BF"/>
    <w:rsid w:val="4019356B"/>
    <w:rsid w:val="40592157"/>
    <w:rsid w:val="406E1CAE"/>
    <w:rsid w:val="40A0133A"/>
    <w:rsid w:val="40C31A53"/>
    <w:rsid w:val="40FF545D"/>
    <w:rsid w:val="410067C8"/>
    <w:rsid w:val="41381695"/>
    <w:rsid w:val="418A32A6"/>
    <w:rsid w:val="418F0D2A"/>
    <w:rsid w:val="41964A91"/>
    <w:rsid w:val="41D01505"/>
    <w:rsid w:val="41D771A0"/>
    <w:rsid w:val="420104AE"/>
    <w:rsid w:val="42474939"/>
    <w:rsid w:val="424C3C57"/>
    <w:rsid w:val="42613FF3"/>
    <w:rsid w:val="42660D96"/>
    <w:rsid w:val="428667D2"/>
    <w:rsid w:val="42CD1CE0"/>
    <w:rsid w:val="42E1381E"/>
    <w:rsid w:val="42ED6459"/>
    <w:rsid w:val="42FE58DD"/>
    <w:rsid w:val="43174B3D"/>
    <w:rsid w:val="434B790E"/>
    <w:rsid w:val="4360274F"/>
    <w:rsid w:val="436A4639"/>
    <w:rsid w:val="437F142B"/>
    <w:rsid w:val="43977AB6"/>
    <w:rsid w:val="43A3342B"/>
    <w:rsid w:val="43C77C27"/>
    <w:rsid w:val="43D4444E"/>
    <w:rsid w:val="43DD433B"/>
    <w:rsid w:val="43DE09EE"/>
    <w:rsid w:val="43F72215"/>
    <w:rsid w:val="44002FAD"/>
    <w:rsid w:val="4429120E"/>
    <w:rsid w:val="449101DD"/>
    <w:rsid w:val="44DE1391"/>
    <w:rsid w:val="44EB4F1B"/>
    <w:rsid w:val="451B225C"/>
    <w:rsid w:val="452410C9"/>
    <w:rsid w:val="45317DFB"/>
    <w:rsid w:val="456D3CE4"/>
    <w:rsid w:val="4579042C"/>
    <w:rsid w:val="457F0571"/>
    <w:rsid w:val="45851176"/>
    <w:rsid w:val="459E3C66"/>
    <w:rsid w:val="45C63B94"/>
    <w:rsid w:val="45F75F2C"/>
    <w:rsid w:val="460D683C"/>
    <w:rsid w:val="460E7DA5"/>
    <w:rsid w:val="46422483"/>
    <w:rsid w:val="4659254A"/>
    <w:rsid w:val="465B0637"/>
    <w:rsid w:val="465E3F0D"/>
    <w:rsid w:val="466A16E6"/>
    <w:rsid w:val="46817C8E"/>
    <w:rsid w:val="46893F2B"/>
    <w:rsid w:val="46C4686E"/>
    <w:rsid w:val="47366711"/>
    <w:rsid w:val="47541888"/>
    <w:rsid w:val="477B778F"/>
    <w:rsid w:val="478203EC"/>
    <w:rsid w:val="47B025FA"/>
    <w:rsid w:val="47D02372"/>
    <w:rsid w:val="4809698F"/>
    <w:rsid w:val="4811697D"/>
    <w:rsid w:val="484045EF"/>
    <w:rsid w:val="4850203D"/>
    <w:rsid w:val="486B1941"/>
    <w:rsid w:val="487A3E25"/>
    <w:rsid w:val="488B5503"/>
    <w:rsid w:val="48937E21"/>
    <w:rsid w:val="489A0361"/>
    <w:rsid w:val="48B94FF3"/>
    <w:rsid w:val="48E37AAB"/>
    <w:rsid w:val="48FD4B4C"/>
    <w:rsid w:val="49023BCC"/>
    <w:rsid w:val="490A68E0"/>
    <w:rsid w:val="491055FE"/>
    <w:rsid w:val="494D2A33"/>
    <w:rsid w:val="495F5B3E"/>
    <w:rsid w:val="496F77D7"/>
    <w:rsid w:val="497654FD"/>
    <w:rsid w:val="49A421C3"/>
    <w:rsid w:val="49B64211"/>
    <w:rsid w:val="49C83E68"/>
    <w:rsid w:val="49C8730F"/>
    <w:rsid w:val="49E56AF9"/>
    <w:rsid w:val="49F6167F"/>
    <w:rsid w:val="4A064FA0"/>
    <w:rsid w:val="4A16615C"/>
    <w:rsid w:val="4A184E0C"/>
    <w:rsid w:val="4A4424D7"/>
    <w:rsid w:val="4A824979"/>
    <w:rsid w:val="4AB82D0F"/>
    <w:rsid w:val="4AE331D0"/>
    <w:rsid w:val="4AEB7664"/>
    <w:rsid w:val="4AFD7C19"/>
    <w:rsid w:val="4B0567D1"/>
    <w:rsid w:val="4B1530DD"/>
    <w:rsid w:val="4B236AAE"/>
    <w:rsid w:val="4B363761"/>
    <w:rsid w:val="4B375749"/>
    <w:rsid w:val="4B4E16D6"/>
    <w:rsid w:val="4B647BC0"/>
    <w:rsid w:val="4B707271"/>
    <w:rsid w:val="4B9739F7"/>
    <w:rsid w:val="4BEE2503"/>
    <w:rsid w:val="4C245A30"/>
    <w:rsid w:val="4C3965E0"/>
    <w:rsid w:val="4CB6685F"/>
    <w:rsid w:val="4CC367FE"/>
    <w:rsid w:val="4D077F3C"/>
    <w:rsid w:val="4D123355"/>
    <w:rsid w:val="4D2A3B31"/>
    <w:rsid w:val="4D312C52"/>
    <w:rsid w:val="4D905305"/>
    <w:rsid w:val="4D964A72"/>
    <w:rsid w:val="4D9C1254"/>
    <w:rsid w:val="4E515CD4"/>
    <w:rsid w:val="4E750764"/>
    <w:rsid w:val="4E793892"/>
    <w:rsid w:val="4E7C2C6F"/>
    <w:rsid w:val="4E800872"/>
    <w:rsid w:val="4EC569ED"/>
    <w:rsid w:val="4EC67D81"/>
    <w:rsid w:val="4ED50EA1"/>
    <w:rsid w:val="4EEC050C"/>
    <w:rsid w:val="4F104EC3"/>
    <w:rsid w:val="4F3843C2"/>
    <w:rsid w:val="4F47354A"/>
    <w:rsid w:val="4F722BA3"/>
    <w:rsid w:val="4F911C54"/>
    <w:rsid w:val="4FE625E0"/>
    <w:rsid w:val="5021480F"/>
    <w:rsid w:val="50854AB8"/>
    <w:rsid w:val="508825A3"/>
    <w:rsid w:val="50962ECB"/>
    <w:rsid w:val="50A42E38"/>
    <w:rsid w:val="50A4577F"/>
    <w:rsid w:val="50AA5178"/>
    <w:rsid w:val="50B73D1F"/>
    <w:rsid w:val="50BD5BC9"/>
    <w:rsid w:val="50C11EEE"/>
    <w:rsid w:val="50D412BD"/>
    <w:rsid w:val="50E97CFC"/>
    <w:rsid w:val="50FA4028"/>
    <w:rsid w:val="510D65B7"/>
    <w:rsid w:val="511157AB"/>
    <w:rsid w:val="5142540C"/>
    <w:rsid w:val="518832C8"/>
    <w:rsid w:val="518973A8"/>
    <w:rsid w:val="519D3C50"/>
    <w:rsid w:val="51A0432A"/>
    <w:rsid w:val="51A86090"/>
    <w:rsid w:val="51B7396D"/>
    <w:rsid w:val="522D043E"/>
    <w:rsid w:val="522E4CC3"/>
    <w:rsid w:val="5244713B"/>
    <w:rsid w:val="52615633"/>
    <w:rsid w:val="526F4DE4"/>
    <w:rsid w:val="52977FD4"/>
    <w:rsid w:val="52981AE8"/>
    <w:rsid w:val="52A25790"/>
    <w:rsid w:val="52A40BBC"/>
    <w:rsid w:val="52A96B6F"/>
    <w:rsid w:val="52B45975"/>
    <w:rsid w:val="52D94AA4"/>
    <w:rsid w:val="52EA3A62"/>
    <w:rsid w:val="52F50BB8"/>
    <w:rsid w:val="53097272"/>
    <w:rsid w:val="5339077F"/>
    <w:rsid w:val="534053B7"/>
    <w:rsid w:val="534B38E7"/>
    <w:rsid w:val="53544462"/>
    <w:rsid w:val="53670B95"/>
    <w:rsid w:val="5397158E"/>
    <w:rsid w:val="54013861"/>
    <w:rsid w:val="54056C2C"/>
    <w:rsid w:val="54487265"/>
    <w:rsid w:val="544D6070"/>
    <w:rsid w:val="54605E1E"/>
    <w:rsid w:val="547046ED"/>
    <w:rsid w:val="54B228D7"/>
    <w:rsid w:val="54B3506A"/>
    <w:rsid w:val="54CA0D16"/>
    <w:rsid w:val="54D20E4B"/>
    <w:rsid w:val="54DD4057"/>
    <w:rsid w:val="54E7490F"/>
    <w:rsid w:val="550764A4"/>
    <w:rsid w:val="550B2BF6"/>
    <w:rsid w:val="55214EB5"/>
    <w:rsid w:val="55364EFD"/>
    <w:rsid w:val="555D4828"/>
    <w:rsid w:val="557A4C8B"/>
    <w:rsid w:val="558931E1"/>
    <w:rsid w:val="55923347"/>
    <w:rsid w:val="55925180"/>
    <w:rsid w:val="55983B1B"/>
    <w:rsid w:val="55A8376B"/>
    <w:rsid w:val="55BA3823"/>
    <w:rsid w:val="55D671B6"/>
    <w:rsid w:val="55DC29B6"/>
    <w:rsid w:val="55DD4241"/>
    <w:rsid w:val="55F24692"/>
    <w:rsid w:val="566B6D1E"/>
    <w:rsid w:val="57032A2C"/>
    <w:rsid w:val="570F5219"/>
    <w:rsid w:val="575D12B5"/>
    <w:rsid w:val="57610A87"/>
    <w:rsid w:val="577B1140"/>
    <w:rsid w:val="577B7F21"/>
    <w:rsid w:val="577F181B"/>
    <w:rsid w:val="57880D81"/>
    <w:rsid w:val="57921984"/>
    <w:rsid w:val="579737F0"/>
    <w:rsid w:val="57AB7B30"/>
    <w:rsid w:val="57AF5251"/>
    <w:rsid w:val="57B26373"/>
    <w:rsid w:val="57B63F04"/>
    <w:rsid w:val="57CD20C2"/>
    <w:rsid w:val="57D675AB"/>
    <w:rsid w:val="57D95FDD"/>
    <w:rsid w:val="581D4EC0"/>
    <w:rsid w:val="582625DC"/>
    <w:rsid w:val="586C1A03"/>
    <w:rsid w:val="58917D2F"/>
    <w:rsid w:val="5894085C"/>
    <w:rsid w:val="58AE4F0C"/>
    <w:rsid w:val="58B85899"/>
    <w:rsid w:val="58E363A9"/>
    <w:rsid w:val="58EC0F08"/>
    <w:rsid w:val="595E1678"/>
    <w:rsid w:val="596D5BD4"/>
    <w:rsid w:val="597E3DD8"/>
    <w:rsid w:val="59D92186"/>
    <w:rsid w:val="59F80043"/>
    <w:rsid w:val="59FC11FB"/>
    <w:rsid w:val="5A09252F"/>
    <w:rsid w:val="5A0B2778"/>
    <w:rsid w:val="5A255C83"/>
    <w:rsid w:val="5A2A7C7B"/>
    <w:rsid w:val="5A370060"/>
    <w:rsid w:val="5A3E2560"/>
    <w:rsid w:val="5A4C3BD8"/>
    <w:rsid w:val="5A5D3B6E"/>
    <w:rsid w:val="5A637A76"/>
    <w:rsid w:val="5A6D33BA"/>
    <w:rsid w:val="5A792B1F"/>
    <w:rsid w:val="5A874767"/>
    <w:rsid w:val="5AA85BE2"/>
    <w:rsid w:val="5AAB47D0"/>
    <w:rsid w:val="5AAD6F28"/>
    <w:rsid w:val="5AD63A24"/>
    <w:rsid w:val="5B2E1A1D"/>
    <w:rsid w:val="5B843A1C"/>
    <w:rsid w:val="5B873E3F"/>
    <w:rsid w:val="5BD85183"/>
    <w:rsid w:val="5C02690E"/>
    <w:rsid w:val="5C196DA7"/>
    <w:rsid w:val="5C2A048C"/>
    <w:rsid w:val="5C2C0286"/>
    <w:rsid w:val="5C31448F"/>
    <w:rsid w:val="5C80234E"/>
    <w:rsid w:val="5C8A680C"/>
    <w:rsid w:val="5CCB60A3"/>
    <w:rsid w:val="5CD065A4"/>
    <w:rsid w:val="5CDA0F2D"/>
    <w:rsid w:val="5D0C4701"/>
    <w:rsid w:val="5D0F0395"/>
    <w:rsid w:val="5D221076"/>
    <w:rsid w:val="5D397964"/>
    <w:rsid w:val="5D5A391C"/>
    <w:rsid w:val="5D5F10C0"/>
    <w:rsid w:val="5D8576F6"/>
    <w:rsid w:val="5D891B7B"/>
    <w:rsid w:val="5DAD38EE"/>
    <w:rsid w:val="5DBC787A"/>
    <w:rsid w:val="5DC24E50"/>
    <w:rsid w:val="5DEB2B3D"/>
    <w:rsid w:val="5E006862"/>
    <w:rsid w:val="5E0207B9"/>
    <w:rsid w:val="5E1834A1"/>
    <w:rsid w:val="5E261785"/>
    <w:rsid w:val="5E4A7017"/>
    <w:rsid w:val="5E552BBA"/>
    <w:rsid w:val="5E611C10"/>
    <w:rsid w:val="5E6A2532"/>
    <w:rsid w:val="5E7A0F3F"/>
    <w:rsid w:val="5EFC7377"/>
    <w:rsid w:val="5F06174D"/>
    <w:rsid w:val="5F3A3602"/>
    <w:rsid w:val="5F45733B"/>
    <w:rsid w:val="5F48187B"/>
    <w:rsid w:val="5F6277C6"/>
    <w:rsid w:val="5F6D0B1D"/>
    <w:rsid w:val="5F8D0B82"/>
    <w:rsid w:val="5F99367F"/>
    <w:rsid w:val="5FCC5339"/>
    <w:rsid w:val="5FE34A5B"/>
    <w:rsid w:val="5FF91718"/>
    <w:rsid w:val="5FFE1E36"/>
    <w:rsid w:val="5FFF6CC6"/>
    <w:rsid w:val="60232584"/>
    <w:rsid w:val="607330CE"/>
    <w:rsid w:val="60825176"/>
    <w:rsid w:val="609F2AC4"/>
    <w:rsid w:val="60FA2EE8"/>
    <w:rsid w:val="61054A27"/>
    <w:rsid w:val="610A52BC"/>
    <w:rsid w:val="611D2366"/>
    <w:rsid w:val="61421856"/>
    <w:rsid w:val="615227C4"/>
    <w:rsid w:val="61654E3F"/>
    <w:rsid w:val="6182292A"/>
    <w:rsid w:val="618C3FBC"/>
    <w:rsid w:val="619F7F92"/>
    <w:rsid w:val="61A63211"/>
    <w:rsid w:val="61F94C26"/>
    <w:rsid w:val="62000E56"/>
    <w:rsid w:val="624F3E49"/>
    <w:rsid w:val="62632286"/>
    <w:rsid w:val="62885958"/>
    <w:rsid w:val="62F40B65"/>
    <w:rsid w:val="62FC2CFE"/>
    <w:rsid w:val="63024505"/>
    <w:rsid w:val="634715B2"/>
    <w:rsid w:val="634D51A7"/>
    <w:rsid w:val="635600A5"/>
    <w:rsid w:val="635B1DB5"/>
    <w:rsid w:val="63711FED"/>
    <w:rsid w:val="637C68A2"/>
    <w:rsid w:val="63880DDC"/>
    <w:rsid w:val="638D750D"/>
    <w:rsid w:val="63953320"/>
    <w:rsid w:val="63AC6CC0"/>
    <w:rsid w:val="63E851F4"/>
    <w:rsid w:val="64055776"/>
    <w:rsid w:val="64240056"/>
    <w:rsid w:val="643A3D28"/>
    <w:rsid w:val="643E143A"/>
    <w:rsid w:val="64491666"/>
    <w:rsid w:val="648B6EEF"/>
    <w:rsid w:val="64C158BF"/>
    <w:rsid w:val="64CE2EAA"/>
    <w:rsid w:val="650153BA"/>
    <w:rsid w:val="65070BFA"/>
    <w:rsid w:val="65150451"/>
    <w:rsid w:val="653C3090"/>
    <w:rsid w:val="654A5F42"/>
    <w:rsid w:val="65854376"/>
    <w:rsid w:val="658767BE"/>
    <w:rsid w:val="65892531"/>
    <w:rsid w:val="66195831"/>
    <w:rsid w:val="662E75B1"/>
    <w:rsid w:val="66342C2E"/>
    <w:rsid w:val="663E784C"/>
    <w:rsid w:val="66485270"/>
    <w:rsid w:val="66546F6B"/>
    <w:rsid w:val="667A7ACE"/>
    <w:rsid w:val="668B6A45"/>
    <w:rsid w:val="67011F07"/>
    <w:rsid w:val="672F3F24"/>
    <w:rsid w:val="673E055F"/>
    <w:rsid w:val="67551CE3"/>
    <w:rsid w:val="67A22552"/>
    <w:rsid w:val="67B22DCC"/>
    <w:rsid w:val="67B748CD"/>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62B27"/>
    <w:rsid w:val="68CA2805"/>
    <w:rsid w:val="68E937A3"/>
    <w:rsid w:val="690A6538"/>
    <w:rsid w:val="691664E5"/>
    <w:rsid w:val="693E15D3"/>
    <w:rsid w:val="69627681"/>
    <w:rsid w:val="6977531D"/>
    <w:rsid w:val="69CC2BFF"/>
    <w:rsid w:val="69D81250"/>
    <w:rsid w:val="69FD55B8"/>
    <w:rsid w:val="6A0B1C62"/>
    <w:rsid w:val="6A2406C8"/>
    <w:rsid w:val="6A3749C6"/>
    <w:rsid w:val="6A4074E2"/>
    <w:rsid w:val="6ADE0BD1"/>
    <w:rsid w:val="6AE96859"/>
    <w:rsid w:val="6B147746"/>
    <w:rsid w:val="6B24787C"/>
    <w:rsid w:val="6B573233"/>
    <w:rsid w:val="6B5B6274"/>
    <w:rsid w:val="6B935D53"/>
    <w:rsid w:val="6BFB7BD7"/>
    <w:rsid w:val="6C013912"/>
    <w:rsid w:val="6C196F71"/>
    <w:rsid w:val="6C226FCB"/>
    <w:rsid w:val="6C31226F"/>
    <w:rsid w:val="6C3351EA"/>
    <w:rsid w:val="6C552F0B"/>
    <w:rsid w:val="6C8C67B7"/>
    <w:rsid w:val="6C9D744C"/>
    <w:rsid w:val="6CC81879"/>
    <w:rsid w:val="6D153546"/>
    <w:rsid w:val="6D167928"/>
    <w:rsid w:val="6D26299B"/>
    <w:rsid w:val="6D4772EC"/>
    <w:rsid w:val="6D9078AF"/>
    <w:rsid w:val="6DAA3FEF"/>
    <w:rsid w:val="6DC0172B"/>
    <w:rsid w:val="6DCB690C"/>
    <w:rsid w:val="6DD41A5B"/>
    <w:rsid w:val="6DEA4694"/>
    <w:rsid w:val="6DF43C2E"/>
    <w:rsid w:val="6DF51CA3"/>
    <w:rsid w:val="6E001EF3"/>
    <w:rsid w:val="6E387F54"/>
    <w:rsid w:val="6E6D2768"/>
    <w:rsid w:val="6E8335BD"/>
    <w:rsid w:val="6E8E12EF"/>
    <w:rsid w:val="6E972936"/>
    <w:rsid w:val="6ED446C5"/>
    <w:rsid w:val="6ED621DF"/>
    <w:rsid w:val="6F2A7D94"/>
    <w:rsid w:val="6F485DD3"/>
    <w:rsid w:val="6F61400E"/>
    <w:rsid w:val="6F8331F1"/>
    <w:rsid w:val="6FAE1A09"/>
    <w:rsid w:val="6FB12153"/>
    <w:rsid w:val="6FC54822"/>
    <w:rsid w:val="6FD75BF8"/>
    <w:rsid w:val="6FE2755C"/>
    <w:rsid w:val="70693E65"/>
    <w:rsid w:val="707723D0"/>
    <w:rsid w:val="70803FB5"/>
    <w:rsid w:val="70A72179"/>
    <w:rsid w:val="70F5661B"/>
    <w:rsid w:val="71264E17"/>
    <w:rsid w:val="712A185C"/>
    <w:rsid w:val="71360107"/>
    <w:rsid w:val="713B688E"/>
    <w:rsid w:val="7170627B"/>
    <w:rsid w:val="71783B49"/>
    <w:rsid w:val="719B728B"/>
    <w:rsid w:val="71D43752"/>
    <w:rsid w:val="71F1796A"/>
    <w:rsid w:val="72154626"/>
    <w:rsid w:val="72262B5D"/>
    <w:rsid w:val="72283FF7"/>
    <w:rsid w:val="722E7212"/>
    <w:rsid w:val="723A0474"/>
    <w:rsid w:val="72485A07"/>
    <w:rsid w:val="725923E4"/>
    <w:rsid w:val="72864BF7"/>
    <w:rsid w:val="729023FC"/>
    <w:rsid w:val="72AB1F36"/>
    <w:rsid w:val="72AB26FC"/>
    <w:rsid w:val="72E87491"/>
    <w:rsid w:val="72FE507B"/>
    <w:rsid w:val="73C0646E"/>
    <w:rsid w:val="73CB6FD1"/>
    <w:rsid w:val="741C37DD"/>
    <w:rsid w:val="742222F5"/>
    <w:rsid w:val="743D2F57"/>
    <w:rsid w:val="74414007"/>
    <w:rsid w:val="74476126"/>
    <w:rsid w:val="744C4F78"/>
    <w:rsid w:val="745C6AFC"/>
    <w:rsid w:val="74706664"/>
    <w:rsid w:val="747F3682"/>
    <w:rsid w:val="749C4185"/>
    <w:rsid w:val="74EB59B8"/>
    <w:rsid w:val="75067759"/>
    <w:rsid w:val="752E6DCD"/>
    <w:rsid w:val="75385A01"/>
    <w:rsid w:val="7551380D"/>
    <w:rsid w:val="75600BE5"/>
    <w:rsid w:val="7564475C"/>
    <w:rsid w:val="7583797F"/>
    <w:rsid w:val="75967F8A"/>
    <w:rsid w:val="75B74B2E"/>
    <w:rsid w:val="75D20F1D"/>
    <w:rsid w:val="75DA2C18"/>
    <w:rsid w:val="75F04718"/>
    <w:rsid w:val="75F54412"/>
    <w:rsid w:val="761D08E0"/>
    <w:rsid w:val="765D347C"/>
    <w:rsid w:val="76826699"/>
    <w:rsid w:val="76943094"/>
    <w:rsid w:val="76976411"/>
    <w:rsid w:val="76C87133"/>
    <w:rsid w:val="76CD08D5"/>
    <w:rsid w:val="76DB4B92"/>
    <w:rsid w:val="77052AA4"/>
    <w:rsid w:val="77136511"/>
    <w:rsid w:val="77340A39"/>
    <w:rsid w:val="77351FD0"/>
    <w:rsid w:val="77472422"/>
    <w:rsid w:val="777F31F2"/>
    <w:rsid w:val="77D1700D"/>
    <w:rsid w:val="77EC04CC"/>
    <w:rsid w:val="78775729"/>
    <w:rsid w:val="788B035E"/>
    <w:rsid w:val="78A42DB0"/>
    <w:rsid w:val="78A656AB"/>
    <w:rsid w:val="78B2245C"/>
    <w:rsid w:val="78E172CC"/>
    <w:rsid w:val="78EA1D1F"/>
    <w:rsid w:val="78F07D12"/>
    <w:rsid w:val="78FD502C"/>
    <w:rsid w:val="790378F6"/>
    <w:rsid w:val="7904172F"/>
    <w:rsid w:val="790F7E27"/>
    <w:rsid w:val="792A231A"/>
    <w:rsid w:val="79316829"/>
    <w:rsid w:val="79360B9C"/>
    <w:rsid w:val="797E66A9"/>
    <w:rsid w:val="798518A4"/>
    <w:rsid w:val="79A97383"/>
    <w:rsid w:val="79E27E8B"/>
    <w:rsid w:val="79E65369"/>
    <w:rsid w:val="79F850CE"/>
    <w:rsid w:val="79FD443C"/>
    <w:rsid w:val="7A1D1975"/>
    <w:rsid w:val="7A2F5B40"/>
    <w:rsid w:val="7A3E5150"/>
    <w:rsid w:val="7A4670D6"/>
    <w:rsid w:val="7A534B63"/>
    <w:rsid w:val="7A615382"/>
    <w:rsid w:val="7A67303B"/>
    <w:rsid w:val="7AAB1D04"/>
    <w:rsid w:val="7ABA4368"/>
    <w:rsid w:val="7ACA1999"/>
    <w:rsid w:val="7AD05746"/>
    <w:rsid w:val="7B257FFD"/>
    <w:rsid w:val="7B273D20"/>
    <w:rsid w:val="7B343476"/>
    <w:rsid w:val="7B560A24"/>
    <w:rsid w:val="7B5A2978"/>
    <w:rsid w:val="7B5A7E4C"/>
    <w:rsid w:val="7B667AF9"/>
    <w:rsid w:val="7B7468F8"/>
    <w:rsid w:val="7BA56056"/>
    <w:rsid w:val="7BC25C4F"/>
    <w:rsid w:val="7BEE0103"/>
    <w:rsid w:val="7C0A0FE4"/>
    <w:rsid w:val="7C254906"/>
    <w:rsid w:val="7C590818"/>
    <w:rsid w:val="7C7C10F6"/>
    <w:rsid w:val="7C853BEA"/>
    <w:rsid w:val="7C881368"/>
    <w:rsid w:val="7CE27788"/>
    <w:rsid w:val="7D0C32F1"/>
    <w:rsid w:val="7D0F408D"/>
    <w:rsid w:val="7D491C6C"/>
    <w:rsid w:val="7D5429C0"/>
    <w:rsid w:val="7D6E6D43"/>
    <w:rsid w:val="7D8956DE"/>
    <w:rsid w:val="7DB4431C"/>
    <w:rsid w:val="7DB57A34"/>
    <w:rsid w:val="7DE60973"/>
    <w:rsid w:val="7DEF0916"/>
    <w:rsid w:val="7E1E5218"/>
    <w:rsid w:val="7E997079"/>
    <w:rsid w:val="7E9A4E1F"/>
    <w:rsid w:val="7EA7723A"/>
    <w:rsid w:val="7EBF06C6"/>
    <w:rsid w:val="7EF56FBB"/>
    <w:rsid w:val="7F0768EB"/>
    <w:rsid w:val="7F0E2165"/>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customStyle="1" w:styleId="25">
    <w:name w:val="正文文本首行缩进 21"/>
    <w:basedOn w:val="24"/>
    <w:qFormat/>
    <w:uiPriority w:val="99"/>
    <w:pPr>
      <w:spacing w:line="200" w:lineRule="atLeast"/>
      <w:ind w:firstLine="420"/>
    </w:pPr>
    <w:rPr>
      <w:rFonts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0"/>
    <w:pPr>
      <w:tabs>
        <w:tab w:val="center" w:pos="4153"/>
        <w:tab w:val="right" w:pos="8306"/>
      </w:tabs>
      <w:snapToGrid w:val="0"/>
      <w:jc w:val="left"/>
    </w:pPr>
    <w:rPr>
      <w:sz w:val="18"/>
      <w:szCs w:val="18"/>
    </w:rPr>
  </w:style>
  <w:style w:type="paragraph" w:styleId="41">
    <w:name w:val="header"/>
    <w:basedOn w:val="1"/>
    <w:link w:val="392"/>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paragraph" w:styleId="62">
    <w:name w:val="Body Text First Indent 2"/>
    <w:basedOn w:val="24"/>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0"/>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0"/>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0"/>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0"/>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0"/>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0"/>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0"/>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0"/>
    <w:next w:val="80"/>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0"/>
    <w:next w:val="80"/>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paragraph" w:customStyle="1" w:styleId="966">
    <w:name w:val="参数正文"/>
    <w:basedOn w:val="1"/>
    <w:qFormat/>
    <w:uiPriority w:val="0"/>
    <w:pPr>
      <w:spacing w:line="360" w:lineRule="auto"/>
      <w:ind w:firstLine="480" w:firstLineChars="200"/>
      <w:jc w:val="left"/>
    </w:pPr>
    <w:rPr>
      <w:rFonts w:ascii="宋体" w:hAnsi="宋体" w:cs="宋体"/>
      <w:kern w:val="0"/>
      <w:sz w:val="24"/>
    </w:rPr>
  </w:style>
  <w:style w:type="character" w:customStyle="1" w:styleId="967">
    <w:name w:val="段落 字符"/>
    <w:basedOn w:val="70"/>
    <w:uiPriority w:val="0"/>
    <w:rPr>
      <w:rFonts w:ascii="黑体" w:hAnsi="黑体" w:eastAsia="黑体"/>
      <w:sz w:val="24"/>
    </w:rPr>
  </w:style>
  <w:style w:type="paragraph" w:customStyle="1" w:styleId="968">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3E456-F4C1-44BD-8F90-B148B8FAD11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10357</Words>
  <Characters>59035</Characters>
  <Lines>491</Lines>
  <Paragraphs>138</Paragraphs>
  <TotalTime>7</TotalTime>
  <ScaleCrop>false</ScaleCrop>
  <LinksUpToDate>false</LinksUpToDate>
  <CharactersWithSpaces>69254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2023-11-06T09:55:00Z</dcterms:created>
  <dc:creator>玥</dc:creator>
  <cp:lastModifiedBy>DELL</cp:lastModifiedBy>
  <cp:lastPrinted>2021-12-27T03:06:00Z</cp:lastPrinted>
  <dcterms:modified xsi:type="dcterms:W3CDTF">2023-11-15T04:12:10Z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5E0E6429A6BD436988E4C9137885AE6E_13</vt:lpwstr>
  </property>
</Properties>
</file>