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pStyle w:val="968"/>
        <w:spacing w:line="760" w:lineRule="exact"/>
        <w:rPr>
          <w:rFonts w:ascii="宋体" w:eastAsia="宋体"/>
          <w:color w:val="auto"/>
          <w:sz w:val="72"/>
          <w:szCs w:val="72"/>
          <w:highlight w:val="none"/>
        </w:rPr>
      </w:pPr>
    </w:p>
    <w:p>
      <w:pPr>
        <w:keepNext w:val="0"/>
        <w:keepLines w:val="0"/>
        <w:pageBreakBefore w:val="0"/>
        <w:widowControl w:val="0"/>
        <w:kinsoku/>
        <w:wordWrap/>
        <w:overflowPunct/>
        <w:topLinePunct w:val="0"/>
        <w:autoSpaceDE/>
        <w:autoSpaceDN/>
        <w:bidi w:val="0"/>
        <w:adjustRightInd w:val="0"/>
        <w:snapToGrid/>
        <w:spacing w:line="700" w:lineRule="exact"/>
        <w:jc w:val="center"/>
        <w:textAlignment w:val="auto"/>
        <w:rPr>
          <w:rFonts w:hint="eastAsia" w:ascii="宋体" w:hAnsi="宋体" w:cs="宋体"/>
          <w:b/>
          <w:bCs/>
          <w:color w:val="auto"/>
          <w:sz w:val="48"/>
          <w:szCs w:val="48"/>
          <w:highlight w:val="none"/>
          <w:lang w:eastAsia="zh-CN"/>
        </w:rPr>
      </w:pPr>
      <w:r>
        <w:rPr>
          <w:rFonts w:hint="eastAsia" w:ascii="宋体" w:hAnsi="宋体" w:cs="宋体"/>
          <w:b/>
          <w:bCs/>
          <w:color w:val="auto"/>
          <w:sz w:val="48"/>
          <w:szCs w:val="48"/>
          <w:highlight w:val="none"/>
          <w:lang w:eastAsia="zh-CN"/>
        </w:rPr>
        <w:t>市北区块C-09-01地块人才公寓数字微控</w:t>
      </w:r>
    </w:p>
    <w:p>
      <w:pPr>
        <w:keepNext w:val="0"/>
        <w:keepLines w:val="0"/>
        <w:pageBreakBefore w:val="0"/>
        <w:widowControl w:val="0"/>
        <w:kinsoku/>
        <w:wordWrap/>
        <w:overflowPunct/>
        <w:topLinePunct w:val="0"/>
        <w:autoSpaceDE/>
        <w:autoSpaceDN/>
        <w:bidi w:val="0"/>
        <w:adjustRightInd w:val="0"/>
        <w:snapToGrid/>
        <w:spacing w:line="700" w:lineRule="exact"/>
        <w:jc w:val="center"/>
        <w:textAlignment w:val="auto"/>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采购项目</w:t>
      </w:r>
    </w:p>
    <w:p>
      <w:pPr>
        <w:pStyle w:val="24"/>
        <w:jc w:val="center"/>
        <w:rPr>
          <w:rFonts w:hAnsi="宋体" w:cs="宋体"/>
          <w:b/>
          <w:bCs/>
          <w:color w:val="auto"/>
          <w:sz w:val="52"/>
          <w:szCs w:val="52"/>
          <w:highlight w:val="none"/>
          <w:lang w:val="en-US"/>
        </w:rPr>
      </w:pPr>
    </w:p>
    <w:p>
      <w:pPr>
        <w:pStyle w:val="80"/>
        <w:rPr>
          <w:color w:val="auto"/>
          <w:highlight w:val="none"/>
          <w:lang w:eastAsia="zh-CN"/>
        </w:rPr>
      </w:pPr>
    </w:p>
    <w:p>
      <w:pPr>
        <w:adjustRightInd/>
        <w:spacing w:line="360" w:lineRule="auto"/>
        <w:jc w:val="center"/>
        <w:rPr>
          <w:rFonts w:ascii="宋体" w:hAnsi="宋体" w:cs="宋体"/>
          <w:b/>
          <w:bCs/>
          <w:color w:val="auto"/>
          <w:sz w:val="72"/>
          <w:szCs w:val="72"/>
          <w:highlight w:val="none"/>
        </w:rPr>
      </w:pPr>
    </w:p>
    <w:p>
      <w:pPr>
        <w:adjustRightInd/>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公开竞争</w:t>
      </w:r>
    </w:p>
    <w:p>
      <w:pPr>
        <w:pStyle w:val="26"/>
        <w:spacing w:line="240" w:lineRule="auto"/>
        <w:ind w:firstLine="0" w:firstLineChars="0"/>
        <w:jc w:val="center"/>
        <w:rPr>
          <w:rFonts w:cs="宋体"/>
          <w:b/>
          <w:bCs/>
          <w:color w:val="auto"/>
          <w:sz w:val="56"/>
          <w:szCs w:val="56"/>
          <w:highlight w:val="none"/>
        </w:rPr>
      </w:pPr>
      <w:r>
        <w:rPr>
          <w:rFonts w:hint="eastAsia" w:cs="宋体"/>
          <w:b/>
          <w:bCs/>
          <w:color w:val="auto"/>
          <w:sz w:val="56"/>
          <w:szCs w:val="56"/>
          <w:highlight w:val="none"/>
        </w:rPr>
        <w:t>（电子交易文件）</w:t>
      </w:r>
    </w:p>
    <w:p>
      <w:pPr>
        <w:adjustRightInd/>
        <w:spacing w:line="360" w:lineRule="auto"/>
        <w:jc w:val="center"/>
        <w:rPr>
          <w:rFonts w:ascii="宋体" w:hAnsi="宋体" w:cs="宋体"/>
          <w:b/>
          <w:color w:val="auto"/>
          <w:sz w:val="44"/>
          <w:szCs w:val="44"/>
          <w:highlight w:val="none"/>
        </w:rPr>
      </w:pPr>
    </w:p>
    <w:p>
      <w:pPr>
        <w:snapToGrid w:val="0"/>
        <w:spacing w:line="360" w:lineRule="auto"/>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rPr>
        <w:t>交易编号：</w:t>
      </w:r>
      <w:r>
        <w:rPr>
          <w:rFonts w:hint="eastAsia" w:ascii="宋体" w:hAnsi="宋体" w:cs="宋体"/>
          <w:b/>
          <w:bCs/>
          <w:color w:val="auto"/>
          <w:sz w:val="30"/>
          <w:szCs w:val="30"/>
          <w:highlight w:val="none"/>
          <w:lang w:eastAsia="zh-CN"/>
        </w:rPr>
        <w:t>萧开采（2023）104号</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pStyle w:val="83"/>
        <w:rPr>
          <w:rFonts w:cs="宋体"/>
          <w:color w:val="auto"/>
          <w:highlight w:val="none"/>
        </w:rPr>
      </w:pPr>
    </w:p>
    <w:p>
      <w:pPr>
        <w:pStyle w:val="80"/>
        <w:ind w:firstLine="0"/>
        <w:rPr>
          <w:color w:val="auto"/>
          <w:highlight w:val="none"/>
          <w:lang w:eastAsia="zh-CN"/>
        </w:rPr>
      </w:pPr>
    </w:p>
    <w:p>
      <w:pPr>
        <w:spacing w:line="360" w:lineRule="auto"/>
        <w:ind w:firstLine="1125" w:firstLineChars="400"/>
        <w:rPr>
          <w:rFonts w:hint="eastAsia" w:ascii="宋体" w:hAnsi="宋体" w:eastAsia="宋体" w:cs="宋体"/>
          <w:b/>
          <w:color w:val="auto"/>
          <w:spacing w:val="-20"/>
          <w:sz w:val="32"/>
          <w:szCs w:val="30"/>
          <w:highlight w:val="none"/>
          <w:lang w:eastAsia="zh-CN"/>
        </w:rPr>
      </w:pPr>
      <w:r>
        <w:rPr>
          <w:rFonts w:hint="eastAsia" w:ascii="宋体" w:hAnsi="宋体" w:cs="宋体"/>
          <w:b/>
          <w:color w:val="auto"/>
          <w:spacing w:val="-20"/>
          <w:sz w:val="32"/>
          <w:szCs w:val="30"/>
          <w:highlight w:val="none"/>
        </w:rPr>
        <w:t>交易发起人：</w:t>
      </w:r>
      <w:r>
        <w:rPr>
          <w:rFonts w:hint="eastAsia" w:ascii="宋体" w:hAnsi="宋体" w:cs="宋体"/>
          <w:b/>
          <w:color w:val="auto"/>
          <w:spacing w:val="-20"/>
          <w:sz w:val="32"/>
          <w:szCs w:val="30"/>
          <w:highlight w:val="none"/>
          <w:lang w:eastAsia="zh-CN"/>
        </w:rPr>
        <w:t>杭州萧山经济技术开发区国有资产经营有限公司</w:t>
      </w:r>
    </w:p>
    <w:p>
      <w:pPr>
        <w:spacing w:line="360" w:lineRule="auto"/>
        <w:ind w:left="0" w:leftChars="0" w:firstLine="421" w:firstLineChars="131"/>
        <w:jc w:val="center"/>
        <w:rPr>
          <w:rFonts w:ascii="宋体" w:hAnsi="宋体" w:cs="宋体"/>
          <w:b/>
          <w:color w:val="auto"/>
          <w:sz w:val="32"/>
          <w:szCs w:val="32"/>
          <w:highlight w:val="none"/>
        </w:rPr>
      </w:pPr>
      <w:r>
        <w:rPr>
          <w:rFonts w:hint="eastAsia" w:ascii="宋体" w:hAnsi="宋体" w:cs="宋体"/>
          <w:b/>
          <w:color w:val="auto"/>
          <w:sz w:val="32"/>
          <w:szCs w:val="30"/>
          <w:highlight w:val="none"/>
        </w:rPr>
        <w:t>代理机构：杭州博望建设工程招标投标代理有限公司</w:t>
      </w:r>
    </w:p>
    <w:p>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二〇二三年十一月</w:t>
      </w:r>
      <w:r>
        <w:rPr>
          <w:rFonts w:hint="eastAsia" w:ascii="宋体" w:hAnsi="宋体" w:cs="宋体"/>
          <w:b/>
          <w:color w:val="auto"/>
          <w:sz w:val="32"/>
          <w:szCs w:val="32"/>
          <w:highlight w:val="none"/>
          <w:lang w:val="en-US" w:eastAsia="zh-CN"/>
        </w:rPr>
        <w:t>二十</w:t>
      </w:r>
      <w:r>
        <w:rPr>
          <w:rFonts w:hint="eastAsia" w:ascii="宋体" w:hAnsi="宋体" w:cs="宋体"/>
          <w:b/>
          <w:color w:val="auto"/>
          <w:sz w:val="32"/>
          <w:szCs w:val="32"/>
          <w:highlight w:val="none"/>
        </w:rPr>
        <w:t>日</w:t>
      </w:r>
    </w:p>
    <w:p>
      <w:pPr>
        <w:pStyle w:val="24"/>
        <w:rPr>
          <w:rFonts w:hAnsi="宋体" w:cs="宋体"/>
          <w:color w:val="auto"/>
          <w:highlight w:val="none"/>
        </w:rPr>
      </w:pPr>
    </w:p>
    <w:p>
      <w:pPr>
        <w:pStyle w:val="25"/>
        <w:rPr>
          <w:rFonts w:hAnsi="宋体" w:cs="宋体"/>
          <w:color w:val="auto"/>
          <w:highlight w:val="none"/>
        </w:rPr>
      </w:pPr>
    </w:p>
    <w:p>
      <w:pPr>
        <w:pStyle w:val="53"/>
        <w:rPr>
          <w:rFonts w:ascii="宋体" w:hAnsi="宋体" w:cs="宋体"/>
          <w:color w:val="auto"/>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交易公告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响应人须知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交易需求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交易办法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07423"/>
      <w:bookmarkEnd w:id="3"/>
      <w:bookmarkStart w:id="4" w:name="_Hlt74729822"/>
      <w:bookmarkEnd w:id="4"/>
      <w:bookmarkStart w:id="5" w:name="_Hlt74728647"/>
      <w:bookmarkEnd w:id="5"/>
      <w:bookmarkStart w:id="6" w:name="_Hlt74649545"/>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交易公告</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一、基本情况</w:t>
      </w:r>
    </w:p>
    <w:p>
      <w:pPr>
        <w:spacing w:line="360" w:lineRule="auto"/>
        <w:ind w:firstLine="482" w:firstLineChars="200"/>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交易编号：</w:t>
      </w:r>
      <w:r>
        <w:rPr>
          <w:rFonts w:hint="eastAsia" w:ascii="宋体" w:hAnsi="宋体" w:cs="宋体"/>
          <w:bCs/>
          <w:color w:val="auto"/>
          <w:sz w:val="24"/>
          <w:highlight w:val="none"/>
          <w:lang w:eastAsia="zh-CN"/>
        </w:rPr>
        <w:t>萧开采（2023）104号</w:t>
      </w:r>
    </w:p>
    <w:p>
      <w:pPr>
        <w:spacing w:line="360" w:lineRule="auto"/>
        <w:ind w:firstLine="482" w:firstLineChars="200"/>
        <w:rPr>
          <w:rFonts w:hint="eastAsia" w:ascii="宋体" w:hAnsi="宋体" w:eastAsia="宋体" w:cs="宋体"/>
          <w:bCs/>
          <w:color w:val="auto"/>
          <w:sz w:val="24"/>
          <w:highlight w:val="none"/>
          <w:lang w:eastAsia="zh-CN"/>
        </w:rPr>
      </w:pPr>
      <w:r>
        <w:rPr>
          <w:rFonts w:hint="eastAsia" w:ascii="宋体" w:hAnsi="宋体" w:cs="宋体"/>
          <w:b/>
          <w:color w:val="auto"/>
          <w:sz w:val="24"/>
          <w:highlight w:val="none"/>
        </w:rPr>
        <w:t>交易名称：</w:t>
      </w:r>
      <w:r>
        <w:rPr>
          <w:rFonts w:hint="eastAsia" w:ascii="宋体" w:hAnsi="宋体" w:cs="宋体"/>
          <w:bCs/>
          <w:color w:val="auto"/>
          <w:sz w:val="24"/>
          <w:highlight w:val="none"/>
          <w:lang w:eastAsia="zh-CN"/>
        </w:rPr>
        <w:t>市北区块C-09-01地块人才公寓数字微控采购项目</w:t>
      </w:r>
    </w:p>
    <w:p>
      <w:pPr>
        <w:spacing w:line="360" w:lineRule="auto"/>
        <w:ind w:firstLine="482" w:firstLineChars="200"/>
        <w:rPr>
          <w:rFonts w:ascii="宋体" w:hAnsi="宋体" w:cs="宋体"/>
          <w:color w:val="auto"/>
          <w:sz w:val="24"/>
          <w:szCs w:val="28"/>
          <w:highlight w:val="none"/>
        </w:rPr>
      </w:pPr>
      <w:r>
        <w:rPr>
          <w:rFonts w:hint="eastAsia" w:ascii="宋体" w:hAnsi="宋体" w:cs="宋体"/>
          <w:b/>
          <w:color w:val="auto"/>
          <w:sz w:val="24"/>
          <w:highlight w:val="none"/>
        </w:rPr>
        <w:t>预算金额(元）：</w:t>
      </w:r>
      <w:r>
        <w:rPr>
          <w:rFonts w:hint="eastAsia" w:ascii="宋体" w:hAnsi="宋体" w:cs="宋体"/>
          <w:color w:val="auto"/>
          <w:sz w:val="24"/>
          <w:szCs w:val="28"/>
          <w:highlight w:val="none"/>
          <w:lang w:val="en-US" w:eastAsia="zh-CN"/>
        </w:rPr>
        <w:t>890</w:t>
      </w:r>
      <w:r>
        <w:rPr>
          <w:rFonts w:hint="eastAsia" w:ascii="宋体" w:hAnsi="宋体" w:cs="宋体"/>
          <w:color w:val="auto"/>
          <w:sz w:val="24"/>
          <w:szCs w:val="28"/>
          <w:highlight w:val="none"/>
        </w:rPr>
        <w:t>000.00</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szCs w:val="28"/>
          <w:highlight w:val="none"/>
          <w:lang w:val="en-US" w:eastAsia="zh-CN"/>
        </w:rPr>
        <w:t>890</w:t>
      </w:r>
      <w:r>
        <w:rPr>
          <w:rFonts w:hint="eastAsia" w:ascii="宋体" w:hAnsi="宋体" w:cs="宋体"/>
          <w:color w:val="auto"/>
          <w:sz w:val="24"/>
          <w:szCs w:val="28"/>
          <w:highlight w:val="none"/>
        </w:rPr>
        <w:t>000.00</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交易需求：</w:t>
      </w:r>
      <w:r>
        <w:rPr>
          <w:rFonts w:hint="eastAsia" w:ascii="宋体" w:hAnsi="宋体" w:cs="宋体"/>
          <w:bCs/>
          <w:color w:val="auto"/>
          <w:sz w:val="24"/>
          <w:highlight w:val="none"/>
          <w:lang w:eastAsia="zh-CN"/>
        </w:rPr>
        <w:t>市北区块C-09-01地块人才公寓数字微控采购项目</w:t>
      </w:r>
      <w:r>
        <w:rPr>
          <w:rFonts w:hint="eastAsia" w:hAnsi="宋体" w:cs="宋体"/>
          <w:bCs/>
          <w:color w:val="auto"/>
          <w:sz w:val="24"/>
          <w:highlight w:val="none"/>
        </w:rPr>
        <w:t>，</w:t>
      </w:r>
      <w:r>
        <w:rPr>
          <w:rFonts w:hint="eastAsia" w:hAnsi="宋体" w:cs="宋体"/>
          <w:color w:val="auto"/>
          <w:sz w:val="24"/>
          <w:highlight w:val="none"/>
        </w:rPr>
        <w:t>详见交易需求。</w:t>
      </w:r>
    </w:p>
    <w:p>
      <w:pPr>
        <w:pStyle w:val="16"/>
        <w:spacing w:line="360" w:lineRule="auto"/>
        <w:ind w:firstLine="482" w:firstLineChars="200"/>
        <w:rPr>
          <w:rFonts w:hAnsi="宋体" w:cs="宋体"/>
          <w:color w:val="auto"/>
          <w:highlight w:val="none"/>
        </w:rPr>
      </w:pPr>
      <w:r>
        <w:rPr>
          <w:rFonts w:hint="eastAsia" w:hAnsi="宋体" w:cs="宋体"/>
          <w:b/>
          <w:color w:val="auto"/>
          <w:sz w:val="24"/>
          <w:szCs w:val="18"/>
          <w:highlight w:val="none"/>
        </w:rPr>
        <w:t>合同履约期限：</w:t>
      </w:r>
      <w:r>
        <w:rPr>
          <w:rFonts w:hint="eastAsia" w:hAnsi="宋体" w:cs="宋体"/>
          <w:color w:val="auto"/>
          <w:sz w:val="24"/>
          <w:szCs w:val="28"/>
          <w:highlight w:val="none"/>
        </w:rPr>
        <w:t>详见公开竞争文件</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本项目接受联合体投标：</w:t>
      </w:r>
      <w:r>
        <w:rPr>
          <w:rFonts w:hint="eastAsia" w:ascii="宋体" w:hAnsi="宋体" w:cs="宋体"/>
          <w:bCs/>
          <w:color w:val="auto"/>
          <w:sz w:val="24"/>
          <w:highlight w:val="none"/>
        </w:rPr>
        <w:t>（  ）是；（√）否。</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pPr>
        <w:pStyle w:val="25"/>
        <w:ind w:firstLine="480" w:firstLineChars="200"/>
        <w:rPr>
          <w:rFonts w:hAnsi="宋体" w:cs="宋体"/>
          <w:color w:val="auto"/>
          <w:highlight w:val="none"/>
          <w:lang w:val="en-US"/>
        </w:rPr>
      </w:pPr>
      <w:r>
        <w:rPr>
          <w:rFonts w:hint="eastAsia" w:hAnsi="宋体" w:cs="宋体"/>
          <w:color w:val="auto"/>
          <w:highlight w:val="none"/>
        </w:rPr>
        <w:t>7、本项目的特定资格要求：无</w:t>
      </w:r>
      <w:r>
        <w:rPr>
          <w:rFonts w:hint="eastAsia" w:hAnsi="宋体" w:cs="宋体"/>
          <w:color w:val="auto"/>
          <w:highlight w:val="none"/>
          <w:lang w:val="en-US"/>
        </w:rPr>
        <w:t>；</w:t>
      </w:r>
    </w:p>
    <w:p>
      <w:pPr>
        <w:pStyle w:val="25"/>
        <w:ind w:firstLine="480" w:firstLineChars="200"/>
        <w:rPr>
          <w:rFonts w:hAnsi="宋体" w:cs="宋体"/>
          <w:color w:val="auto"/>
          <w:highlight w:val="none"/>
          <w:lang w:val="en-US"/>
        </w:rPr>
      </w:pPr>
      <w:r>
        <w:rPr>
          <w:rFonts w:hint="eastAsia" w:hAnsi="宋体" w:cs="宋体"/>
          <w:color w:val="auto"/>
          <w:highlight w:val="none"/>
          <w:lang w:val="en-US"/>
        </w:rPr>
        <w:t>8、</w:t>
      </w:r>
      <w:r>
        <w:rPr>
          <w:rFonts w:hint="eastAsia" w:hAnsi="宋体" w:cs="宋体"/>
          <w:color w:val="auto"/>
          <w:highlight w:val="none"/>
        </w:rPr>
        <w:t>本项目不接受联合体参与（潜在响应人能独立完成本项目）。</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三、获取公开竞争文件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2023年11月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w:t>
      </w:r>
      <w:r>
        <w:rPr>
          <w:rFonts w:hint="eastAsia" w:ascii="宋体" w:hAnsi="宋体" w:cs="宋体"/>
          <w:color w:val="auto"/>
          <w:sz w:val="24"/>
          <w:highlight w:val="none"/>
        </w:rPr>
        <w:t>，每天上午00:00至12:00 ，下午12:00至23:59（北京时间，线上获取法定节假日均可）</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响应人登录政采云平台https://www.zcygov.cn/在线申请获取公开竞争文件（进入“项目采购”应用，在获取采购文件菜单中选择项目，申请获取公开竞争文件）。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四、提交响应文件截止时间、交易时间和地点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提交响应文件截止时间：</w:t>
      </w:r>
      <w:r>
        <w:rPr>
          <w:rFonts w:hint="eastAsia" w:ascii="宋体" w:hAnsi="宋体" w:cs="宋体"/>
          <w:color w:val="auto"/>
          <w:sz w:val="24"/>
          <w:highlight w:val="none"/>
          <w:u w:val="single"/>
        </w:rPr>
        <w:t>2023年11月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交易时间：</w:t>
      </w:r>
      <w:r>
        <w:rPr>
          <w:rFonts w:hint="eastAsia" w:ascii="宋体" w:hAnsi="宋体" w:cs="宋体"/>
          <w:color w:val="auto"/>
          <w:sz w:val="24"/>
          <w:highlight w:val="none"/>
          <w:u w:val="single"/>
        </w:rPr>
        <w:t>2023年11月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w:t>
      </w:r>
      <w:bookmarkStart w:id="383" w:name="_GoBack"/>
      <w:bookmarkEnd w:id="383"/>
      <w:r>
        <w:rPr>
          <w:rFonts w:hint="eastAsia" w:ascii="宋体" w:hAnsi="宋体" w:cs="宋体"/>
          <w:color w:val="auto"/>
          <w:sz w:val="24"/>
          <w:highlight w:val="none"/>
          <w:u w:val="single"/>
        </w:rPr>
        <w:t>0分</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五、其他补充事宜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电子招投标的说明：①电子招投标：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公开竞争文件的获取：使用账号登录或者使用CA登录政采云平台；进入“项目采购”应用，在获取采购文件菜单中选择项目，获取公开竞争文件；④响应文件的制作：在“政采云电子交易客户端”中完成“填写基本信息”“导入响应文件”“标书关联”“标书检查”“电子签名”“生成电子标书”等操作；⑤交易发起人、代理机构将依托政采云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政府采购云平台；⑨响应文件的解密：响应人按照平台提示和公开竞争文件的规定在半小时内完成在线解密。通过“政府采购云平台”上传递交的响应文件无法按时解密，视为响应文件撤回；⑩具体操作指南：详见政采云平台“服务中心-帮助文档-项目采购-操作流程-电子招投标-政府采购项目电子交易管理操作指南-供应商”。</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六、对本次交易提出异议、投诉，请按以下方式联系</w:t>
      </w:r>
    </w:p>
    <w:p>
      <w:pPr>
        <w:widowControl/>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1、交易发起人信息</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杭州萧山经济技术开发区国有资产经营有限公司</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bCs/>
          <w:color w:val="auto"/>
          <w:sz w:val="24"/>
          <w:highlight w:val="none"/>
        </w:rPr>
        <w:t>杭州市萧山区市心北路99号</w:t>
      </w:r>
    </w:p>
    <w:p>
      <w:pPr>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李水江</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 xml:space="preserve">18358143293 </w:t>
      </w:r>
    </w:p>
    <w:p>
      <w:pPr>
        <w:spacing w:line="360" w:lineRule="auto"/>
        <w:ind w:firstLine="480" w:firstLineChars="200"/>
        <w:jc w:val="left"/>
        <w:rPr>
          <w:rFonts w:hint="default" w:ascii="宋体" w:hAnsi="宋体" w:eastAsia="宋体" w:cs="宋体"/>
          <w:color w:val="auto"/>
          <w:sz w:val="24"/>
          <w:highlight w:val="none"/>
          <w:lang w:val="en-US" w:eastAsia="zh-CN"/>
        </w:rPr>
      </w:pPr>
    </w:p>
    <w:p>
      <w:pPr>
        <w:spacing w:line="360" w:lineRule="auto"/>
        <w:ind w:firstLine="480" w:firstLineChars="200"/>
        <w:jc w:val="left"/>
        <w:rPr>
          <w:rFonts w:ascii="宋体" w:hAnsi="宋体" w:eastAsia="仿宋" w:cs="宋体"/>
          <w:color w:val="auto"/>
          <w:sz w:val="24"/>
          <w:szCs w:val="28"/>
          <w:highlight w:val="none"/>
        </w:rPr>
      </w:pPr>
    </w:p>
    <w:p>
      <w:pPr>
        <w:spacing w:line="360" w:lineRule="auto"/>
        <w:ind w:firstLine="480" w:firstLineChars="200"/>
        <w:jc w:val="left"/>
        <w:rPr>
          <w:rFonts w:ascii="宋体" w:hAnsi="宋体" w:cs="宋体"/>
          <w:color w:val="auto"/>
          <w:sz w:val="24"/>
          <w:szCs w:val="28"/>
          <w:highlight w:val="none"/>
        </w:rPr>
      </w:pPr>
      <w:bookmarkStart w:id="10" w:name="_Toc28359009"/>
      <w:bookmarkStart w:id="11" w:name="_Toc28359086"/>
      <w:r>
        <w:rPr>
          <w:rFonts w:hint="eastAsia" w:ascii="宋体" w:hAnsi="宋体" w:cs="宋体"/>
          <w:color w:val="auto"/>
          <w:sz w:val="24"/>
          <w:szCs w:val="28"/>
          <w:highlight w:val="none"/>
        </w:rPr>
        <w:t>2</w:t>
      </w:r>
      <w:bookmarkEnd w:id="10"/>
      <w:bookmarkEnd w:id="11"/>
      <w:r>
        <w:rPr>
          <w:rFonts w:hint="eastAsia" w:ascii="宋体" w:hAnsi="宋体" w:cs="宋体"/>
          <w:color w:val="auto"/>
          <w:sz w:val="24"/>
          <w:szCs w:val="28"/>
          <w:highlight w:val="none"/>
        </w:rPr>
        <w:t>、代理机构信息</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名称：杭州博望建设工程招标投标代理有限公司</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地址：杭州市萧山区金城路433号天汇园一幢A座5楼</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项目联系人（询问）：高华萍</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项目联系方式（询问）：0571-83881218</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3.监督管理部门：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名称：开发区财政局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地址：杭州市萧山区市心北路99号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联系人：倪女士</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监督投诉电话：0571-82838922</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pStyle w:val="4"/>
        <w:rPr>
          <w:color w:val="auto"/>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响应人须知</w:t>
      </w:r>
      <w:bookmarkEnd w:id="8"/>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A货物类</w:t>
            </w:r>
            <w:r>
              <w:rPr>
                <w:rFonts w:hint="eastAsia" w:ascii="宋体" w:hAnsi="宋体" w:cs="宋体"/>
                <w:color w:val="auto"/>
                <w:sz w:val="24"/>
                <w:highlight w:val="none"/>
              </w:rPr>
              <w:t>。</w:t>
            </w:r>
          </w:p>
          <w:p>
            <w:pPr>
              <w:rPr>
                <w:rFonts w:ascii="宋体" w:hAnsi="宋体" w:cs="宋体"/>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w:t>
            </w:r>
            <w:r>
              <w:rPr>
                <w:rFonts w:hint="eastAsia" w:ascii="宋体" w:hAnsi="宋体" w:cs="宋体"/>
                <w:color w:val="auto"/>
                <w:kern w:val="0"/>
                <w:sz w:val="24"/>
                <w:highlight w:val="none"/>
              </w:rPr>
              <w:t>B服务类</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highlight w:val="none"/>
              </w:rPr>
            </w:pPr>
            <w:r>
              <w:rPr>
                <w:rFonts w:hint="eastAsia" w:ascii="宋体" w:hAnsi="宋体" w:cs="宋体"/>
                <w:bCs/>
                <w:color w:val="auto"/>
                <w:sz w:val="24"/>
                <w:highlight w:val="none"/>
              </w:rPr>
              <w:t>（  ）</w:t>
            </w:r>
            <w:r>
              <w:rPr>
                <w:rFonts w:hint="eastAsia" w:ascii="宋体" w:hAnsi="宋体" w:cs="宋体"/>
                <w:color w:val="auto"/>
                <w:kern w:val="0"/>
                <w:sz w:val="24"/>
                <w:highlight w:val="none"/>
              </w:rPr>
              <w:t>A适用</w:t>
            </w:r>
            <w:r>
              <w:rPr>
                <w:rFonts w:hint="eastAsia" w:ascii="宋体" w:hAnsi="宋体" w:cs="宋体"/>
                <w:color w:val="auto"/>
                <w:sz w:val="24"/>
                <w:highlight w:val="none"/>
              </w:rPr>
              <w:t>。</w:t>
            </w:r>
          </w:p>
          <w:p>
            <w:pPr>
              <w:rPr>
                <w:rFonts w:ascii="宋体" w:hAnsi="宋体" w:cs="宋体"/>
                <w:color w:val="auto"/>
                <w:kern w:val="0"/>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B不适用</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highlight w:val="none"/>
              </w:rPr>
            </w:pPr>
            <w:r>
              <w:rPr>
                <w:rFonts w:hint="eastAsia" w:ascii="宋体" w:hAnsi="宋体" w:cs="宋体"/>
                <w:bCs/>
                <w:color w:val="auto"/>
                <w:sz w:val="24"/>
                <w:highlight w:val="none"/>
              </w:rPr>
              <w:t>（√）</w:t>
            </w:r>
            <w:r>
              <w:rPr>
                <w:rFonts w:hint="eastAsia" w:ascii="宋体" w:hAnsi="宋体" w:cs="宋体"/>
                <w:color w:val="auto"/>
                <w:sz w:val="24"/>
                <w:szCs w:val="32"/>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kern w:val="0"/>
                <w:sz w:val="24"/>
                <w:highlight w:val="none"/>
              </w:rPr>
              <w:t>B</w:t>
            </w:r>
            <w:r>
              <w:rPr>
                <w:rFonts w:hint="eastAsia" w:ascii="宋体" w:hAnsi="宋体" w:cs="宋体"/>
                <w:bCs/>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color w:val="auto"/>
                <w:sz w:val="24"/>
                <w:szCs w:val="20"/>
                <w:highlight w:val="none"/>
              </w:rPr>
            </w:pPr>
            <w:r>
              <w:rPr>
                <w:rFonts w:hint="eastAsia" w:ascii="宋体" w:hAnsi="宋体" w:cs="宋体"/>
                <w:bCs/>
                <w:color w:val="auto"/>
                <w:sz w:val="24"/>
                <w:highlight w:val="none"/>
              </w:rPr>
              <w:t>（√）</w:t>
            </w:r>
            <w:r>
              <w:rPr>
                <w:rFonts w:hint="eastAsia" w:ascii="宋体" w:hAnsi="宋体" w:cs="宋体"/>
                <w:bCs/>
                <w:color w:val="auto"/>
                <w:kern w:val="0"/>
                <w:sz w:val="24"/>
                <w:highlight w:val="none"/>
              </w:rPr>
              <w:t>A</w:t>
            </w:r>
            <w:r>
              <w:rPr>
                <w:rFonts w:hint="eastAsia" w:ascii="宋体" w:hAnsi="宋体" w:cs="宋体"/>
                <w:bCs/>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color w:val="auto"/>
                <w:sz w:val="24"/>
                <w:highlight w:val="none"/>
              </w:rPr>
            </w:pPr>
            <w:r>
              <w:rPr>
                <w:rFonts w:hint="eastAsia" w:ascii="宋体" w:hAnsi="宋体" w:cs="宋体"/>
                <w:bCs/>
                <w:color w:val="auto"/>
                <w:sz w:val="24"/>
                <w:highlight w:val="none"/>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color w:val="auto"/>
                <w:highlight w:val="none"/>
              </w:rPr>
            </w:pPr>
            <w:r>
              <w:rPr>
                <w:rFonts w:hint="eastAsia"/>
                <w:b/>
                <w:bCs/>
                <w:color w:val="auto"/>
                <w:highlight w:val="none"/>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（√）A不组织。</w:t>
            </w:r>
          </w:p>
          <w:p>
            <w:pPr>
              <w:snapToGrid w:val="0"/>
              <w:spacing w:line="400" w:lineRule="exact"/>
              <w:rPr>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tcBorders>
              <w:top w:val="single" w:color="000000" w:sz="8" w:space="0"/>
              <w:left w:val="single" w:color="auto" w:sz="4"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highlight w:val="none"/>
              </w:rPr>
            </w:pPr>
            <w:r>
              <w:rPr>
                <w:rFonts w:hint="eastAsia" w:ascii="宋体" w:hAnsi="宋体" w:cs="宋体"/>
                <w:color w:val="auto"/>
                <w:sz w:val="24"/>
                <w:highlight w:val="none"/>
              </w:rPr>
              <w:t>（1）资格证明文件：见公开竞争文件第二部分10.1。</w:t>
            </w:r>
          </w:p>
          <w:p>
            <w:pPr>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响应人未提供有效的资格证明文件的，视为响应人不具备公开竞争文件中规定的资格要求，交易无效。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auto" w:sz="4" w:space="0"/>
              <w:right w:val="single" w:color="000000" w:sz="8" w:space="0"/>
            </w:tcBorders>
            <w:vAlign w:val="center"/>
          </w:tcPr>
          <w:p>
            <w:pPr>
              <w:snapToGrid w:val="0"/>
              <w:jc w:val="center"/>
              <w:rPr>
                <w:rFonts w:ascii="宋体" w:hAnsi="宋体" w:cs="宋体"/>
                <w:bCs/>
                <w:color w:val="auto"/>
                <w:sz w:val="24"/>
                <w:highlight w:val="none"/>
              </w:rPr>
            </w:pPr>
            <w:r>
              <w:rPr>
                <w:rFonts w:hint="eastAsia" w:ascii="宋体" w:hAnsi="宋体" w:cs="宋体"/>
                <w:b/>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rPr>
              <w:t>交易一览表（报价表）是报价的唯一载体</w:t>
            </w:r>
            <w:r>
              <w:rPr>
                <w:rFonts w:hint="eastAsia" w:ascii="宋体" w:hAnsi="宋体" w:cs="宋体"/>
                <w:bCs/>
                <w:color w:val="auto"/>
                <w:kern w:val="0"/>
                <w:sz w:val="24"/>
                <w:highlight w:val="none"/>
                <w:lang w:val="zh-CN"/>
              </w:rPr>
              <w:t>。响应文件中价格全部采用人民币报价。公开竞争文件未列明，而响应人认为必需的费用也需列入报价。</w:t>
            </w:r>
          </w:p>
          <w:p>
            <w:pPr>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交易报价出现下列情形的，交易无效：</w:t>
            </w:r>
          </w:p>
          <w:p>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响应文件出现不是唯一的、有选择性交易报价的；</w:t>
            </w:r>
          </w:p>
          <w:p>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交易报价超过公开竞争文件中规定的预算金额或者最高限价的；</w:t>
            </w:r>
          </w:p>
          <w:p>
            <w:pPr>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pPr>
              <w:ind w:firstLine="480" w:firstLineChars="200"/>
              <w:rPr>
                <w:rFonts w:ascii="宋体" w:hAnsi="宋体" w:cs="宋体"/>
                <w:color w:val="auto"/>
                <w:kern w:val="0"/>
                <w:sz w:val="24"/>
                <w:highlight w:val="none"/>
                <w:lang w:val="zh-CN"/>
              </w:rPr>
            </w:pPr>
            <w:r>
              <w:rPr>
                <w:rFonts w:hint="eastAsia" w:ascii="宋体" w:hAnsi="宋体" w:cs="宋体"/>
                <w:bCs/>
                <w:color w:val="auto"/>
                <w:kern w:val="0"/>
                <w:sz w:val="24"/>
                <w:highlight w:val="none"/>
              </w:rPr>
              <w:t>响应人对根据修正原则修正后的报价不确认的。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5"/>
              <w:ind w:hanging="4"/>
              <w:rPr>
                <w:rFonts w:hAnsi="宋体" w:cs="宋体"/>
                <w:color w:val="auto"/>
                <w:kern w:val="28"/>
                <w:sz w:val="24"/>
                <w:szCs w:val="24"/>
                <w:highlight w:val="none"/>
              </w:rPr>
            </w:pPr>
            <w:r>
              <w:rPr>
                <w:rFonts w:hint="eastAsia" w:hAnsi="宋体" w:cs="宋体"/>
                <w:color w:val="auto"/>
                <w:kern w:val="28"/>
                <w:sz w:val="24"/>
                <w:szCs w:val="24"/>
                <w:highlight w:val="none"/>
              </w:rPr>
              <w:t>备份文件是否收取：不收取。</w:t>
            </w:r>
          </w:p>
          <w:p>
            <w:pPr>
              <w:pStyle w:val="35"/>
              <w:ind w:hanging="4"/>
              <w:rPr>
                <w:rFonts w:hAnsi="宋体" w:cs="宋体"/>
                <w:color w:val="auto"/>
                <w:kern w:val="28"/>
                <w:sz w:val="24"/>
                <w:szCs w:val="24"/>
                <w:highlight w:val="none"/>
              </w:rPr>
            </w:pPr>
            <w:r>
              <w:rPr>
                <w:rFonts w:hint="eastAsia" w:hAnsi="宋体" w:cs="宋体"/>
                <w:b/>
                <w:color w:val="auto"/>
                <w:sz w:val="24"/>
                <w:highlight w:val="none"/>
              </w:rPr>
              <w:t>成交单位在成交后提供纸质响应文件一正二副。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代理机构代理费用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bCs/>
                <w:color w:val="auto"/>
                <w:kern w:val="0"/>
                <w:sz w:val="24"/>
                <w:highlight w:val="none"/>
              </w:rPr>
            </w:pPr>
            <w:r>
              <w:rPr>
                <w:rFonts w:hint="eastAsia" w:ascii="宋体" w:hAnsi="宋体" w:cs="宋体"/>
                <w:bCs/>
                <w:color w:val="auto"/>
                <w:kern w:val="0"/>
                <w:sz w:val="24"/>
                <w:highlight w:val="none"/>
                <w:lang w:val="zh-CN"/>
              </w:rPr>
              <w:t>本项目代理服务费由</w:t>
            </w:r>
            <w:r>
              <w:rPr>
                <w:rFonts w:hint="eastAsia" w:ascii="宋体" w:hAnsi="宋体" w:cs="宋体"/>
                <w:bCs/>
                <w:color w:val="auto"/>
                <w:kern w:val="0"/>
                <w:sz w:val="24"/>
                <w:highlight w:val="none"/>
              </w:rPr>
              <w:t>交易发起人</w:t>
            </w:r>
            <w:r>
              <w:rPr>
                <w:rFonts w:hint="eastAsia" w:ascii="宋体" w:hAnsi="宋体" w:cs="宋体"/>
                <w:bCs/>
                <w:color w:val="auto"/>
                <w:kern w:val="0"/>
                <w:sz w:val="24"/>
                <w:highlight w:val="none"/>
                <w:lang w:val="zh-CN"/>
              </w:rPr>
              <w:t>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
                <w:color w:val="auto"/>
                <w:sz w:val="24"/>
                <w:highlight w:val="none"/>
              </w:rPr>
            </w:pPr>
            <w:r>
              <w:rPr>
                <w:rFonts w:hint="eastAsia" w:ascii="宋体" w:hAnsi="宋体" w:cs="宋体"/>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履约保证金：不收取。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Cs/>
                <w:color w:val="auto"/>
                <w:sz w:val="24"/>
                <w:highlight w:val="none"/>
              </w:rPr>
            </w:pPr>
            <w:r>
              <w:rPr>
                <w:rFonts w:hint="eastAsia" w:ascii="宋体" w:hAnsi="宋体" w:cs="宋体"/>
                <w:bCs/>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本项目由交易发起人进行资格文件及信用信息查询。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2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Cs/>
                <w:color w:val="auto"/>
                <w:sz w:val="24"/>
                <w:highlight w:val="none"/>
              </w:rPr>
            </w:pPr>
            <w:r>
              <w:rPr>
                <w:rFonts w:hint="eastAsia" w:ascii="宋体" w:hAnsi="宋体" w:cs="宋体"/>
                <w:bCs/>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500" w:lineRule="exact"/>
              <w:rPr>
                <w:rFonts w:ascii="宋体" w:hAnsi="宋体" w:cs="宋体"/>
                <w:color w:val="auto"/>
                <w:sz w:val="24"/>
                <w:highlight w:val="none"/>
              </w:rPr>
            </w:pPr>
            <w:r>
              <w:rPr>
                <w:rFonts w:hint="eastAsia" w:ascii="宋体" w:hAnsi="宋体" w:cs="宋体"/>
                <w:color w:val="auto"/>
                <w:sz w:val="24"/>
                <w:highlight w:val="none"/>
              </w:rPr>
              <w:t>代理机构异议接收人：</w:t>
            </w:r>
            <w:r>
              <w:rPr>
                <w:rFonts w:hint="eastAsia" w:ascii="宋体" w:hAnsi="宋体" w:cs="宋体"/>
                <w:color w:val="auto"/>
                <w:sz w:val="24"/>
                <w:highlight w:val="none"/>
                <w:u w:val="single"/>
              </w:rPr>
              <w:t>范梦迪</w:t>
            </w:r>
            <w:r>
              <w:rPr>
                <w:rFonts w:hint="eastAsia" w:ascii="宋体" w:hAnsi="宋体" w:cs="宋体"/>
                <w:color w:val="auto"/>
                <w:sz w:val="24"/>
                <w:highlight w:val="none"/>
              </w:rPr>
              <w:t xml:space="preserve"> 联系方式：</w:t>
            </w:r>
            <w:r>
              <w:rPr>
                <w:rFonts w:hint="eastAsia" w:ascii="宋体" w:hAnsi="宋体" w:cs="宋体"/>
                <w:color w:val="auto"/>
                <w:sz w:val="24"/>
                <w:highlight w:val="none"/>
                <w:u w:val="single"/>
              </w:rPr>
              <w:t>0571-83881208</w:t>
            </w:r>
          </w:p>
          <w:p>
            <w:pPr>
              <w:snapToGrid w:val="0"/>
              <w:spacing w:line="500" w:lineRule="exact"/>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杭州市萧山区金城路433号天汇园一幢A座5楼</w:t>
            </w:r>
          </w:p>
          <w:p>
            <w:pPr>
              <w:snapToGrid w:val="0"/>
              <w:spacing w:line="500" w:lineRule="exact"/>
              <w:rPr>
                <w:rFonts w:ascii="宋体" w:hAnsi="宋体" w:cs="宋体"/>
                <w:color w:val="auto"/>
                <w:sz w:val="24"/>
                <w:highlight w:val="none"/>
              </w:rPr>
            </w:pPr>
            <w:r>
              <w:rPr>
                <w:rFonts w:hint="eastAsia" w:ascii="宋体" w:hAnsi="宋体" w:cs="宋体"/>
                <w:color w:val="auto"/>
                <w:sz w:val="24"/>
                <w:highlight w:val="none"/>
              </w:rPr>
              <w:t>邮箱：</w:t>
            </w:r>
            <w:r>
              <w:rPr>
                <w:color w:val="auto"/>
                <w:highlight w:val="none"/>
              </w:rPr>
              <w:fldChar w:fldCharType="begin"/>
            </w:r>
            <w:r>
              <w:rPr>
                <w:color w:val="auto"/>
                <w:highlight w:val="none"/>
              </w:rPr>
              <w:instrText xml:space="preserve"> HYPERLINK "mailto:382733636@qq.com" </w:instrText>
            </w:r>
            <w:r>
              <w:rPr>
                <w:color w:val="auto"/>
                <w:highlight w:val="none"/>
              </w:rPr>
              <w:fldChar w:fldCharType="separate"/>
            </w:r>
            <w:r>
              <w:rPr>
                <w:rFonts w:hint="eastAsia" w:ascii="仿宋" w:hAnsi="仿宋" w:eastAsia="仿宋" w:cs="仿宋"/>
                <w:color w:val="auto"/>
                <w:sz w:val="24"/>
                <w:highlight w:val="none"/>
                <w:u w:val="single"/>
              </w:rPr>
              <w:t>492477800@qq.com</w:t>
            </w:r>
            <w:r>
              <w:rPr>
                <w:rFonts w:hint="eastAsia" w:ascii="仿宋" w:hAnsi="仿宋" w:eastAsia="仿宋" w:cs="仿宋"/>
                <w:color w:val="auto"/>
                <w:sz w:val="24"/>
                <w:highlight w:val="none"/>
                <w:u w:val="single"/>
              </w:rPr>
              <w:fldChar w:fldCharType="end"/>
            </w:r>
          </w:p>
          <w:p>
            <w:pPr>
              <w:snapToGrid w:val="0"/>
              <w:spacing w:line="400" w:lineRule="exact"/>
              <w:rPr>
                <w:rFonts w:ascii="宋体" w:hAnsi="宋体" w:cs="宋体"/>
                <w:b/>
                <w:color w:val="auto"/>
                <w:sz w:val="24"/>
                <w:highlight w:val="none"/>
              </w:rPr>
            </w:pPr>
            <w:r>
              <w:rPr>
                <w:rFonts w:hint="eastAsia" w:ascii="宋体" w:hAnsi="宋体" w:cs="宋体"/>
                <w:b/>
                <w:color w:val="auto"/>
                <w:sz w:val="24"/>
                <w:highlight w:val="none"/>
              </w:rPr>
              <w:t>如通过邮箱方式发送异议，须提交符合法规及公开竞争文件要求的异议文件（参考附件2），盖章扫描后发送，异议的受理按答复主体划分以交易发起人或代理机构邮箱回复确认受理为准。</w:t>
            </w:r>
          </w:p>
          <w:p>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本项目涉及资格条件、交易需求、评分办法及交易过程中有关现场考察或开标前答疑会事项由交易发起人进行答复。</w:t>
            </w:r>
          </w:p>
          <w:p>
            <w:pPr>
              <w:pStyle w:val="35"/>
              <w:spacing w:line="400" w:lineRule="exact"/>
              <w:ind w:hanging="4"/>
              <w:rPr>
                <w:rFonts w:hAnsi="宋体" w:cs="宋体"/>
                <w:color w:val="auto"/>
                <w:sz w:val="24"/>
                <w:highlight w:val="none"/>
              </w:rPr>
            </w:pPr>
            <w:r>
              <w:rPr>
                <w:rFonts w:hint="eastAsia" w:hAnsi="宋体" w:cs="宋体"/>
                <w:color w:val="auto"/>
                <w:sz w:val="24"/>
                <w:highlight w:val="none"/>
              </w:rPr>
              <w:t>涉及流程组织等相关事项，由代理机构进行答复。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snapToGrid w:val="0"/>
                <w:color w:val="auto"/>
                <w:kern w:val="28"/>
                <w:sz w:val="24"/>
                <w:highlight w:val="none"/>
              </w:rPr>
            </w:pPr>
            <w:r>
              <w:rPr>
                <w:rFonts w:hint="eastAsia" w:ascii="宋体" w:hAnsi="宋体" w:cs="宋体"/>
                <w:b/>
                <w:color w:val="auto"/>
                <w:sz w:val="24"/>
                <w:highlight w:val="none"/>
              </w:rPr>
              <w:t>本项目通用总则条款与前附表等专用特别规定有冲突之处，以专用条款（特别规定）为准。</w:t>
            </w:r>
          </w:p>
        </w:tc>
      </w:tr>
    </w:tbl>
    <w:p>
      <w:pPr>
        <w:snapToGrid w:val="0"/>
        <w:spacing w:line="360" w:lineRule="auto"/>
        <w:jc w:val="center"/>
        <w:rPr>
          <w:rFonts w:ascii="宋体" w:hAnsi="宋体" w:cs="宋体"/>
          <w:b/>
          <w:color w:val="auto"/>
          <w:sz w:val="32"/>
          <w:szCs w:val="20"/>
          <w:highlight w:val="none"/>
        </w:rPr>
      </w:pPr>
    </w:p>
    <w:bookmarkEnd w:id="9"/>
    <w:p>
      <w:pPr>
        <w:rPr>
          <w:rFonts w:ascii="宋体" w:hAnsi="宋体" w:cs="宋体"/>
          <w:b/>
          <w:color w:val="auto"/>
          <w:sz w:val="32"/>
          <w:szCs w:val="20"/>
          <w:highlight w:val="none"/>
        </w:rPr>
      </w:pPr>
      <w:bookmarkStart w:id="12" w:name="_Toc164416483"/>
      <w:bookmarkStart w:id="13" w:name="第三部分"/>
      <w:r>
        <w:rPr>
          <w:rFonts w:hint="eastAsia" w:ascii="宋体" w:hAnsi="宋体" w:cs="宋体"/>
          <w:b/>
          <w:color w:val="auto"/>
          <w:sz w:val="32"/>
          <w:szCs w:val="20"/>
          <w:highlight w:val="none"/>
        </w:rPr>
        <w:br w:type="page"/>
      </w: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460" w:lineRule="exact"/>
        <w:jc w:val="left"/>
        <w:outlineLvl w:val="1"/>
        <w:rPr>
          <w:rFonts w:ascii="宋体" w:hAnsi="宋体" w:cs="宋体"/>
          <w:b/>
          <w:color w:val="auto"/>
          <w:sz w:val="24"/>
          <w:highlight w:val="none"/>
        </w:rPr>
      </w:pPr>
      <w:r>
        <w:rPr>
          <w:rFonts w:hint="eastAsia" w:ascii="宋体" w:hAnsi="宋体" w:cs="宋体"/>
          <w:b/>
          <w:color w:val="auto"/>
          <w:sz w:val="24"/>
          <w:highlight w:val="none"/>
        </w:rPr>
        <w:t>1.适用范围</w:t>
      </w:r>
    </w:p>
    <w:p>
      <w:pPr>
        <w:snapToGrid w:val="0"/>
        <w:spacing w:line="460" w:lineRule="exact"/>
        <w:ind w:firstLine="420" w:firstLineChars="175"/>
        <w:jc w:val="left"/>
        <w:rPr>
          <w:rFonts w:ascii="宋体" w:hAnsi="宋体" w:cs="宋体"/>
          <w:color w:val="auto"/>
          <w:sz w:val="24"/>
          <w:highlight w:val="none"/>
        </w:rPr>
      </w:pPr>
      <w:r>
        <w:rPr>
          <w:rFonts w:hint="eastAsia" w:ascii="宋体" w:hAnsi="宋体" w:cs="宋体"/>
          <w:color w:val="auto"/>
          <w:sz w:val="24"/>
          <w:highlight w:val="none"/>
        </w:rPr>
        <w:t>本公开竞争文件适用于该项目的交易、响应、评审、资格审查及信用信息查询、评审、定标、合同、验收等行为（法律、法规另有规定的，从其规定）。</w:t>
      </w:r>
    </w:p>
    <w:p>
      <w:pPr>
        <w:adjustRightInd/>
        <w:spacing w:line="460" w:lineRule="exact"/>
        <w:outlineLvl w:val="0"/>
        <w:rPr>
          <w:rFonts w:ascii="宋体" w:hAnsi="宋体" w:cs="宋体"/>
          <w:b/>
          <w:color w:val="auto"/>
          <w:sz w:val="24"/>
          <w:highlight w:val="none"/>
        </w:rPr>
      </w:pPr>
      <w:r>
        <w:rPr>
          <w:rFonts w:hint="eastAsia" w:ascii="宋体" w:hAnsi="宋体" w:cs="宋体"/>
          <w:b/>
          <w:color w:val="auto"/>
          <w:sz w:val="24"/>
          <w:highlight w:val="none"/>
        </w:rPr>
        <w:t>2.定义</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2.1“交易发起人”系指交易公告中载明的本项目的交易发起人。</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2.2“代理机构”系指交易公告中载明的本项目的代理机构。</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2.3“响应人”系指是指响应招标、参加投标竞争的法人、其他组织或者自然人。</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2.4“负责人”系指法人企业的法定负责人，或其他组织为法律、行政法规规定代表单位行使职权的主要负责人，或自然人本人。</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pPr>
        <w:spacing w:line="460" w:lineRule="exact"/>
        <w:ind w:firstLine="420" w:firstLineChars="175"/>
        <w:jc w:val="left"/>
        <w:rPr>
          <w:rFonts w:ascii="宋体" w:hAnsi="宋体" w:cs="宋体"/>
          <w:color w:val="auto"/>
          <w:sz w:val="24"/>
          <w:highlight w:val="none"/>
        </w:rPr>
      </w:pPr>
      <w:r>
        <w:rPr>
          <w:rFonts w:hint="eastAsia" w:ascii="宋体" w:hAnsi="宋体" w:cs="宋体"/>
          <w:color w:val="auto"/>
          <w:sz w:val="24"/>
          <w:highlight w:val="none"/>
        </w:rPr>
        <w:t>2.6“电子交易平台”是指本项目交易活动所依托的政府采购云平台（https://www.zcygov.cn/）。</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2.7“▲” 系指实质性要求条款，“（</w:t>
      </w:r>
      <w:r>
        <w:rPr>
          <w:rFonts w:hint="eastAsia" w:ascii="宋体" w:hAnsi="宋体" w:cs="宋体"/>
          <w:bCs/>
          <w:color w:val="auto"/>
          <w:sz w:val="24"/>
          <w:highlight w:val="none"/>
        </w:rPr>
        <w:t>√</w:t>
      </w:r>
      <w:r>
        <w:rPr>
          <w:rFonts w:hint="eastAsia" w:ascii="宋体" w:hAnsi="宋体" w:cs="宋体"/>
          <w:color w:val="auto"/>
          <w:sz w:val="24"/>
          <w:highlight w:val="none"/>
        </w:rPr>
        <w:t>）” 系指适用本项目的要求，“（  ）”系指不适用本项目的要求。</w:t>
      </w:r>
    </w:p>
    <w:p>
      <w:pPr>
        <w:spacing w:line="460" w:lineRule="exact"/>
        <w:rPr>
          <w:rFonts w:ascii="宋体" w:hAnsi="宋体" w:cs="宋体"/>
          <w:b/>
          <w:color w:val="auto"/>
          <w:sz w:val="24"/>
          <w:highlight w:val="none"/>
        </w:rPr>
      </w:pPr>
      <w:r>
        <w:rPr>
          <w:rFonts w:hint="eastAsia" w:ascii="宋体" w:hAnsi="宋体" w:cs="宋体"/>
          <w:b/>
          <w:color w:val="auto"/>
          <w:sz w:val="24"/>
          <w:highlight w:val="none"/>
        </w:rPr>
        <w:t>3.异议、投诉</w:t>
      </w:r>
    </w:p>
    <w:p>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.1响应人异议</w:t>
      </w:r>
    </w:p>
    <w:p>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响应人对</w:t>
      </w:r>
      <w:r>
        <w:rPr>
          <w:rFonts w:hint="eastAsia" w:ascii="宋体" w:hAnsi="宋体" w:cs="宋体"/>
          <w:color w:val="auto"/>
          <w:kern w:val="0"/>
          <w:sz w:val="24"/>
          <w:highlight w:val="none"/>
        </w:rPr>
        <w:t>交易</w:t>
      </w:r>
      <w:r>
        <w:rPr>
          <w:rFonts w:hint="eastAsia" w:ascii="宋体" w:hAnsi="宋体" w:cs="宋体"/>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.2响应人异议</w:t>
      </w:r>
    </w:p>
    <w:p>
      <w:pPr>
        <w:pStyle w:val="35"/>
        <w:spacing w:line="460" w:lineRule="exact"/>
        <w:ind w:firstLine="420" w:firstLineChars="175"/>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.1提出</w:t>
      </w:r>
      <w:r>
        <w:rPr>
          <w:rFonts w:hint="eastAsia" w:hAnsi="宋体" w:cs="宋体"/>
          <w:color w:val="auto"/>
          <w:kern w:val="0"/>
          <w:sz w:val="24"/>
          <w:highlight w:val="none"/>
          <w:lang w:val="zh-CN"/>
        </w:rPr>
        <w:t>异议</w:t>
      </w:r>
      <w:r>
        <w:rPr>
          <w:rFonts w:hint="eastAsia" w:hAnsi="宋体" w:cs="宋体"/>
          <w:color w:val="auto"/>
          <w:sz w:val="24"/>
          <w:highlight w:val="none"/>
        </w:rPr>
        <w:t>的响应人应当是参与所质</w:t>
      </w:r>
      <w:r>
        <w:rPr>
          <w:rFonts w:hint="eastAsia" w:hAnsi="宋体" w:cs="宋体"/>
          <w:color w:val="auto"/>
          <w:kern w:val="0"/>
          <w:sz w:val="24"/>
          <w:highlight w:val="none"/>
          <w:lang w:val="zh-CN"/>
        </w:rPr>
        <w:t>异议</w:t>
      </w:r>
      <w:r>
        <w:rPr>
          <w:rFonts w:hint="eastAsia" w:hAnsi="宋体" w:cs="宋体"/>
          <w:color w:val="auto"/>
          <w:sz w:val="24"/>
          <w:highlight w:val="none"/>
        </w:rPr>
        <w:t>项目交易活动的响应人。潜在响应人已依法获取其可</w:t>
      </w:r>
      <w:r>
        <w:rPr>
          <w:rFonts w:hint="eastAsia" w:hAnsi="宋体" w:cs="宋体"/>
          <w:color w:val="auto"/>
          <w:kern w:val="0"/>
          <w:sz w:val="24"/>
          <w:highlight w:val="none"/>
          <w:lang w:val="zh-CN"/>
        </w:rPr>
        <w:t>异议</w:t>
      </w:r>
      <w:r>
        <w:rPr>
          <w:rFonts w:hint="eastAsia" w:hAnsi="宋体" w:cs="宋体"/>
          <w:color w:val="auto"/>
          <w:sz w:val="24"/>
          <w:highlight w:val="none"/>
        </w:rPr>
        <w:t>的公开竞争文件的，可以对该文件提出</w:t>
      </w:r>
      <w:r>
        <w:rPr>
          <w:rFonts w:hint="eastAsia" w:hAnsi="宋体" w:cs="宋体"/>
          <w:color w:val="auto"/>
          <w:kern w:val="0"/>
          <w:sz w:val="24"/>
          <w:highlight w:val="none"/>
          <w:lang w:val="zh-CN"/>
        </w:rPr>
        <w:t>异议</w:t>
      </w:r>
      <w:r>
        <w:rPr>
          <w:rFonts w:hint="eastAsia" w:hAnsi="宋体" w:cs="宋体"/>
          <w:color w:val="auto"/>
          <w:sz w:val="24"/>
          <w:highlight w:val="none"/>
        </w:rPr>
        <w:t>。</w:t>
      </w:r>
    </w:p>
    <w:p>
      <w:pPr>
        <w:pStyle w:val="35"/>
        <w:spacing w:line="460" w:lineRule="exact"/>
        <w:ind w:firstLine="420" w:firstLineChars="175"/>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hAnsi="宋体" w:cs="宋体"/>
          <w:color w:val="auto"/>
          <w:kern w:val="0"/>
          <w:sz w:val="24"/>
          <w:highlight w:val="none"/>
          <w:lang w:val="zh-CN"/>
        </w:rPr>
        <w:t>异议</w:t>
      </w:r>
      <w:r>
        <w:rPr>
          <w:rFonts w:hint="eastAsia" w:hAnsi="宋体" w:cs="宋体"/>
          <w:color w:val="auto"/>
          <w:sz w:val="24"/>
          <w:highlight w:val="none"/>
        </w:rPr>
        <w:t>，否则，交易发起人或者代理机构不予受理：</w:t>
      </w:r>
    </w:p>
    <w:p>
      <w:pPr>
        <w:pStyle w:val="35"/>
        <w:spacing w:line="460" w:lineRule="exact"/>
        <w:ind w:firstLine="420" w:firstLineChars="175"/>
        <w:rPr>
          <w:rFonts w:hAnsi="宋体" w:cs="宋体"/>
          <w:color w:val="auto"/>
          <w:sz w:val="24"/>
          <w:highlight w:val="none"/>
        </w:rPr>
      </w:pPr>
      <w:r>
        <w:rPr>
          <w:rFonts w:hint="eastAsia" w:hAnsi="宋体" w:cs="宋体"/>
          <w:color w:val="auto"/>
          <w:sz w:val="24"/>
          <w:highlight w:val="none"/>
        </w:rPr>
        <w:t>3.2.2.1对交易过程提出</w:t>
      </w:r>
      <w:r>
        <w:rPr>
          <w:rFonts w:hint="eastAsia" w:hAnsi="宋体" w:cs="宋体"/>
          <w:color w:val="auto"/>
          <w:kern w:val="0"/>
          <w:sz w:val="24"/>
          <w:highlight w:val="none"/>
          <w:lang w:val="zh-CN"/>
        </w:rPr>
        <w:t>异议</w:t>
      </w:r>
      <w:r>
        <w:rPr>
          <w:rFonts w:hint="eastAsia" w:hAnsi="宋体" w:cs="宋体"/>
          <w:color w:val="auto"/>
          <w:sz w:val="24"/>
          <w:highlight w:val="none"/>
        </w:rPr>
        <w:t>的，</w:t>
      </w:r>
      <w:r>
        <w:rPr>
          <w:rFonts w:hint="eastAsia" w:hAnsi="宋体" w:cs="宋体"/>
          <w:color w:val="auto"/>
          <w:kern w:val="0"/>
          <w:sz w:val="24"/>
          <w:highlight w:val="none"/>
          <w:lang w:val="zh-CN"/>
        </w:rPr>
        <w:t>异议</w:t>
      </w:r>
      <w:r>
        <w:rPr>
          <w:rFonts w:hint="eastAsia" w:hAnsi="宋体" w:cs="宋体"/>
          <w:color w:val="auto"/>
          <w:sz w:val="24"/>
          <w:highlight w:val="none"/>
        </w:rPr>
        <w:t>期限为各交易程序环节结束之日起计算。对同一交易程序环节的</w:t>
      </w:r>
      <w:r>
        <w:rPr>
          <w:rFonts w:hint="eastAsia" w:hAnsi="宋体" w:cs="宋体"/>
          <w:color w:val="auto"/>
          <w:kern w:val="0"/>
          <w:sz w:val="24"/>
          <w:highlight w:val="none"/>
          <w:lang w:val="zh-CN"/>
        </w:rPr>
        <w:t>异议</w:t>
      </w:r>
      <w:r>
        <w:rPr>
          <w:rFonts w:hint="eastAsia" w:hAnsi="宋体" w:cs="宋体"/>
          <w:color w:val="auto"/>
          <w:sz w:val="24"/>
          <w:highlight w:val="none"/>
        </w:rPr>
        <w:t>，响应人须一次性提出。</w:t>
      </w:r>
    </w:p>
    <w:p>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w:t>
      </w:r>
      <w:r>
        <w:rPr>
          <w:rFonts w:hint="eastAsia" w:hAnsi="宋体" w:cs="宋体"/>
          <w:color w:val="auto"/>
          <w:sz w:val="24"/>
          <w:highlight w:val="none"/>
        </w:rPr>
        <w:t>响应人提出</w:t>
      </w:r>
      <w:r>
        <w:rPr>
          <w:rFonts w:hint="eastAsia" w:hAnsi="宋体" w:cs="宋体"/>
          <w:color w:val="auto"/>
          <w:kern w:val="0"/>
          <w:sz w:val="24"/>
          <w:highlight w:val="none"/>
          <w:lang w:val="zh-CN"/>
        </w:rPr>
        <w:t>异议</w:t>
      </w:r>
      <w:r>
        <w:rPr>
          <w:rFonts w:hint="eastAsia" w:hAnsi="宋体" w:cs="宋体"/>
          <w:color w:val="auto"/>
          <w:sz w:val="24"/>
          <w:highlight w:val="none"/>
        </w:rPr>
        <w:t>应当提交</w:t>
      </w:r>
      <w:r>
        <w:rPr>
          <w:rFonts w:hint="eastAsia" w:hAnsi="宋体" w:cs="宋体"/>
          <w:color w:val="auto"/>
          <w:kern w:val="0"/>
          <w:sz w:val="24"/>
          <w:highlight w:val="none"/>
          <w:lang w:val="zh-CN"/>
        </w:rPr>
        <w:t>异议</w:t>
      </w:r>
      <w:r>
        <w:rPr>
          <w:rFonts w:hint="eastAsia" w:hAnsi="宋体" w:cs="宋体"/>
          <w:color w:val="auto"/>
          <w:sz w:val="24"/>
          <w:highlight w:val="none"/>
        </w:rPr>
        <w:t>函和必要的证明材料。</w:t>
      </w:r>
      <w:r>
        <w:rPr>
          <w:rFonts w:hint="eastAsia" w:hAnsi="宋体" w:cs="宋体"/>
          <w:color w:val="auto"/>
          <w:kern w:val="0"/>
          <w:sz w:val="24"/>
          <w:highlight w:val="none"/>
          <w:lang w:val="zh-CN"/>
        </w:rPr>
        <w:t>异议</w:t>
      </w:r>
      <w:r>
        <w:rPr>
          <w:rFonts w:hint="eastAsia" w:hAnsi="宋体" w:cs="宋体"/>
          <w:color w:val="auto"/>
          <w:sz w:val="24"/>
          <w:highlight w:val="none"/>
        </w:rPr>
        <w:t>函应当包括下列内容：</w:t>
      </w:r>
    </w:p>
    <w:p>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.2.3.1响应人的姓名或者名称、地址、邮编、联系人及联系电话；</w:t>
      </w:r>
    </w:p>
    <w:p>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.2.3.2异议项目的名称、编号；</w:t>
      </w:r>
    </w:p>
    <w:p>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.2.3.3具体、明确的异议事项和与异议事项相关的请求；</w:t>
      </w:r>
    </w:p>
    <w:p>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.2.3.4事实依据；</w:t>
      </w:r>
    </w:p>
    <w:p>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.2.3.5必要的法律依据；</w:t>
      </w:r>
    </w:p>
    <w:p>
      <w:pPr>
        <w:pStyle w:val="35"/>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.2.3.6提出异议的日期。</w:t>
      </w:r>
    </w:p>
    <w:p>
      <w:pPr>
        <w:pStyle w:val="892"/>
        <w:shd w:val="clear" w:color="auto" w:fill="FFFFFF"/>
        <w:snapToGrid w:val="0"/>
        <w:spacing w:after="240" w:afterAutospacing="0" w:line="460" w:lineRule="exact"/>
        <w:ind w:firstLine="420" w:firstLineChars="175"/>
        <w:contextualSpacing/>
        <w:rPr>
          <w:color w:val="auto"/>
          <w:highlight w:val="none"/>
        </w:rPr>
      </w:pPr>
      <w:r>
        <w:rPr>
          <w:rFonts w:hint="eastAsia"/>
          <w:color w:val="auto"/>
          <w:highlight w:val="none"/>
        </w:rPr>
        <w:t>响应人提交的</w:t>
      </w:r>
      <w:r>
        <w:rPr>
          <w:rFonts w:hint="eastAsia"/>
          <w:color w:val="auto"/>
          <w:highlight w:val="none"/>
          <w:lang w:val="zh-CN"/>
        </w:rPr>
        <w:t>异议</w:t>
      </w:r>
      <w:r>
        <w:rPr>
          <w:rFonts w:hint="eastAsia"/>
          <w:color w:val="auto"/>
          <w:highlight w:val="none"/>
        </w:rPr>
        <w:t>函需一式三份。响应人为自然人的，应当由本人签字；响应人为法人或者其他组织的，应当由法定代表人、主要负责人，或者其授权代表签字或者盖章，并加盖公章。</w:t>
      </w:r>
    </w:p>
    <w:p>
      <w:pPr>
        <w:pStyle w:val="892"/>
        <w:shd w:val="clear" w:color="auto" w:fill="FFFFFF"/>
        <w:snapToGrid w:val="0"/>
        <w:spacing w:after="240" w:afterAutospacing="0" w:line="460" w:lineRule="exact"/>
        <w:ind w:firstLine="420" w:firstLineChars="175"/>
        <w:contextualSpacing/>
        <w:rPr>
          <w:color w:val="auto"/>
          <w:highlight w:val="none"/>
        </w:rPr>
      </w:pPr>
      <w:r>
        <w:rPr>
          <w:rFonts w:hint="eastAsia"/>
          <w:color w:val="auto"/>
          <w:highlight w:val="none"/>
          <w:lang w:val="zh-CN"/>
        </w:rPr>
        <w:t>异议</w:t>
      </w:r>
      <w:r>
        <w:rPr>
          <w:rFonts w:hint="eastAsia"/>
          <w:color w:val="auto"/>
          <w:highlight w:val="none"/>
        </w:rPr>
        <w:t>函范本及制作说明详见附件1。</w:t>
      </w:r>
    </w:p>
    <w:p>
      <w:pPr>
        <w:pStyle w:val="892"/>
        <w:shd w:val="clear" w:color="auto" w:fill="FFFFFF"/>
        <w:snapToGrid w:val="0"/>
        <w:spacing w:after="240" w:afterAutospacing="0" w:line="460" w:lineRule="exact"/>
        <w:ind w:firstLine="420" w:firstLineChars="175"/>
        <w:contextualSpacing/>
        <w:rPr>
          <w:color w:val="auto"/>
          <w:highlight w:val="none"/>
        </w:rPr>
      </w:pPr>
      <w:r>
        <w:rPr>
          <w:rFonts w:hint="eastAsia"/>
          <w:color w:val="auto"/>
          <w:highlight w:val="none"/>
        </w:rPr>
        <w:t>3</w:t>
      </w:r>
      <w:r>
        <w:rPr>
          <w:rFonts w:hint="eastAsia"/>
          <w:color w:val="auto"/>
          <w:highlight w:val="none"/>
          <w:lang w:val="zh-CN"/>
        </w:rPr>
        <w:t>.2</w:t>
      </w:r>
      <w:r>
        <w:rPr>
          <w:rFonts w:hint="eastAsia"/>
          <w:color w:val="auto"/>
          <w:highlight w:val="none"/>
        </w:rPr>
        <w:t>.4交易发起人或者代理机构应当在收到响应人的书面异议后3日内作出答复，并以书面形式通知异议响应人和其他与异议处理结果有利害关系的交易当事人，但答复的内容不得涉及商业秘密。</w:t>
      </w:r>
    </w:p>
    <w:p>
      <w:pPr>
        <w:pStyle w:val="892"/>
        <w:shd w:val="clear" w:color="auto" w:fill="FFFFFF"/>
        <w:snapToGrid w:val="0"/>
        <w:spacing w:after="240" w:afterAutospacing="0" w:line="460" w:lineRule="exact"/>
        <w:ind w:firstLine="420" w:firstLineChars="175"/>
        <w:contextualSpacing/>
        <w:rPr>
          <w:color w:val="auto"/>
          <w:highlight w:val="none"/>
        </w:rPr>
      </w:pPr>
      <w:r>
        <w:rPr>
          <w:rFonts w:hint="eastAsia"/>
          <w:color w:val="auto"/>
          <w:highlight w:val="none"/>
        </w:rPr>
        <w:t>3</w:t>
      </w:r>
      <w:r>
        <w:rPr>
          <w:rFonts w:hint="eastAsia"/>
          <w:color w:val="auto"/>
          <w:highlight w:val="none"/>
          <w:lang w:val="zh-CN"/>
        </w:rPr>
        <w:t>.2</w:t>
      </w:r>
      <w:r>
        <w:rPr>
          <w:rFonts w:hint="eastAsia"/>
          <w:color w:val="auto"/>
          <w:highlight w:val="none"/>
        </w:rPr>
        <w:t>.5询问或者异议事项可能影响交易结果的，交易发起人应当暂停签订合同，已经签订合同的，应当中止履行合同。</w:t>
      </w:r>
    </w:p>
    <w:p>
      <w:pPr>
        <w:pStyle w:val="892"/>
        <w:shd w:val="clear" w:color="auto" w:fill="FFFFFF"/>
        <w:snapToGrid w:val="0"/>
        <w:spacing w:after="240" w:afterAutospacing="0" w:line="460" w:lineRule="exact"/>
        <w:ind w:firstLine="420" w:firstLineChars="175"/>
        <w:contextualSpacing/>
        <w:rPr>
          <w:color w:val="auto"/>
          <w:highlight w:val="none"/>
          <w:lang w:val="zh-CN"/>
        </w:rPr>
      </w:pPr>
      <w:r>
        <w:rPr>
          <w:rFonts w:hint="eastAsia"/>
          <w:color w:val="auto"/>
          <w:highlight w:val="none"/>
        </w:rPr>
        <w:t>3</w:t>
      </w:r>
      <w:r>
        <w:rPr>
          <w:rFonts w:hint="eastAsia"/>
          <w:color w:val="auto"/>
          <w:highlight w:val="none"/>
          <w:lang w:val="zh-CN"/>
        </w:rPr>
        <w:t>.3响应人投诉</w:t>
      </w:r>
    </w:p>
    <w:p>
      <w:pPr>
        <w:pStyle w:val="892"/>
        <w:shd w:val="clear" w:color="auto" w:fill="FFFFFF"/>
        <w:snapToGrid w:val="0"/>
        <w:spacing w:after="240" w:afterAutospacing="0" w:line="460" w:lineRule="exact"/>
        <w:ind w:firstLine="420" w:firstLineChars="175"/>
        <w:contextualSpacing/>
        <w:rPr>
          <w:color w:val="auto"/>
          <w:highlight w:val="none"/>
        </w:rPr>
      </w:pPr>
      <w:r>
        <w:rPr>
          <w:rFonts w:hint="eastAsia"/>
          <w:color w:val="auto"/>
          <w:highlight w:val="none"/>
        </w:rPr>
        <w:t>3.3.1</w:t>
      </w:r>
      <w:r>
        <w:rPr>
          <w:rFonts w:hint="eastAsia"/>
          <w:color w:val="auto"/>
          <w:highlight w:val="none"/>
          <w:lang w:val="zh-CN"/>
        </w:rPr>
        <w:t>异议</w:t>
      </w:r>
      <w:r>
        <w:rPr>
          <w:rFonts w:hint="eastAsia"/>
          <w:color w:val="auto"/>
          <w:highlight w:val="none"/>
        </w:rPr>
        <w:t>响应人对交易发起人、代理机构的答复不满意或者交易发起人、代理机构未在规定的时间内作出答复的，可以在答复期满后10日内向基层监督机构部门提出投诉。</w:t>
      </w:r>
    </w:p>
    <w:p>
      <w:pPr>
        <w:pStyle w:val="892"/>
        <w:shd w:val="clear" w:color="auto" w:fill="FFFFFF"/>
        <w:snapToGrid w:val="0"/>
        <w:spacing w:after="240" w:afterAutospacing="0" w:line="460" w:lineRule="exact"/>
        <w:ind w:firstLine="420" w:firstLineChars="175"/>
        <w:contextualSpacing/>
        <w:rPr>
          <w:color w:val="auto"/>
          <w:highlight w:val="none"/>
        </w:rPr>
      </w:pPr>
      <w:r>
        <w:rPr>
          <w:rFonts w:hint="eastAsia"/>
          <w:color w:val="auto"/>
          <w:highlight w:val="none"/>
        </w:rPr>
        <w:t>3.3.</w:t>
      </w:r>
      <w:r>
        <w:rPr>
          <w:rFonts w:hint="eastAsia"/>
          <w:color w:val="auto"/>
          <w:highlight w:val="none"/>
          <w:lang w:val="zh-CN"/>
        </w:rPr>
        <w:t>2</w:t>
      </w:r>
      <w:r>
        <w:rPr>
          <w:rFonts w:hint="eastAsia"/>
          <w:color w:val="auto"/>
          <w:highlight w:val="none"/>
        </w:rPr>
        <w:t>响应人投诉的事项不得超出已</w:t>
      </w:r>
      <w:r>
        <w:rPr>
          <w:rFonts w:hint="eastAsia"/>
          <w:color w:val="auto"/>
          <w:highlight w:val="none"/>
          <w:lang w:val="zh-CN"/>
        </w:rPr>
        <w:t>异议</w:t>
      </w:r>
      <w:r>
        <w:rPr>
          <w:rFonts w:hint="eastAsia"/>
          <w:color w:val="auto"/>
          <w:highlight w:val="none"/>
        </w:rPr>
        <w:t>事项的范围，基于</w:t>
      </w:r>
      <w:r>
        <w:rPr>
          <w:rFonts w:hint="eastAsia"/>
          <w:color w:val="auto"/>
          <w:highlight w:val="none"/>
          <w:lang w:val="zh-CN"/>
        </w:rPr>
        <w:t>异议</w:t>
      </w:r>
      <w:r>
        <w:rPr>
          <w:rFonts w:hint="eastAsia"/>
          <w:color w:val="auto"/>
          <w:highlight w:val="none"/>
        </w:rPr>
        <w:t>答复内容提出的投诉事项除外。</w:t>
      </w:r>
    </w:p>
    <w:p>
      <w:pPr>
        <w:pStyle w:val="892"/>
        <w:shd w:val="clear" w:color="auto" w:fill="FFFFFF"/>
        <w:snapToGrid w:val="0"/>
        <w:spacing w:after="240" w:afterAutospacing="0" w:line="460" w:lineRule="exact"/>
        <w:ind w:firstLine="420" w:firstLineChars="175"/>
        <w:contextualSpacing/>
        <w:rPr>
          <w:color w:val="auto"/>
          <w:highlight w:val="none"/>
        </w:rPr>
      </w:pPr>
      <w:r>
        <w:rPr>
          <w:rFonts w:hint="eastAsia"/>
          <w:color w:val="auto"/>
          <w:highlight w:val="none"/>
        </w:rPr>
        <w:t>3.3.3响应人投诉应当有明确的请求和必要的证明材料。</w:t>
      </w:r>
    </w:p>
    <w:p>
      <w:pPr>
        <w:pStyle w:val="892"/>
        <w:shd w:val="clear" w:color="auto" w:fill="FFFFFF"/>
        <w:snapToGrid w:val="0"/>
        <w:spacing w:after="240" w:afterAutospacing="0" w:line="460" w:lineRule="exact"/>
        <w:ind w:firstLine="420" w:firstLineChars="175"/>
        <w:contextualSpacing/>
        <w:rPr>
          <w:color w:val="auto"/>
          <w:highlight w:val="none"/>
        </w:rPr>
      </w:pPr>
      <w:r>
        <w:rPr>
          <w:rFonts w:hint="eastAsia"/>
          <w:color w:val="auto"/>
          <w:highlight w:val="none"/>
        </w:rPr>
        <w:t>3.3.4以联合体形式参加交易活动的，其投诉应当由组成联合体的所有响应人共同提出。</w:t>
      </w:r>
    </w:p>
    <w:p>
      <w:pPr>
        <w:pStyle w:val="892"/>
        <w:shd w:val="clear" w:color="auto" w:fill="FFFFFF"/>
        <w:snapToGrid w:val="0"/>
        <w:spacing w:after="240" w:afterAutospacing="0" w:line="460" w:lineRule="exact"/>
        <w:ind w:firstLine="420" w:firstLineChars="175"/>
        <w:contextualSpacing/>
        <w:rPr>
          <w:color w:val="auto"/>
          <w:highlight w:val="none"/>
        </w:rPr>
      </w:pPr>
      <w:r>
        <w:rPr>
          <w:rFonts w:hint="eastAsia"/>
          <w:color w:val="auto"/>
          <w:highlight w:val="none"/>
        </w:rPr>
        <w:t>投诉书范本及制作说明详见附件2。</w:t>
      </w:r>
    </w:p>
    <w:p>
      <w:pPr>
        <w:pStyle w:val="135"/>
        <w:snapToGrid w:val="0"/>
        <w:spacing w:before="0" w:line="460" w:lineRule="exact"/>
        <w:ind w:firstLine="360"/>
        <w:rPr>
          <w:rFonts w:ascii="宋体" w:hAnsi="宋体" w:cs="宋体"/>
          <w:color w:val="auto"/>
          <w:sz w:val="18"/>
          <w:szCs w:val="18"/>
          <w:highlight w:val="none"/>
        </w:rPr>
      </w:pPr>
    </w:p>
    <w:p>
      <w:pPr>
        <w:adjustRightInd/>
        <w:spacing w:line="460" w:lineRule="exact"/>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二、公开竞争文件的构成、澄清、修改</w:t>
      </w:r>
    </w:p>
    <w:p>
      <w:pPr>
        <w:pStyle w:val="35"/>
        <w:spacing w:line="460" w:lineRule="exact"/>
        <w:rPr>
          <w:rFonts w:hAnsi="宋体" w:cs="宋体"/>
          <w:b/>
          <w:color w:val="auto"/>
          <w:sz w:val="24"/>
          <w:szCs w:val="24"/>
          <w:highlight w:val="none"/>
        </w:rPr>
      </w:pPr>
      <w:r>
        <w:rPr>
          <w:rFonts w:hint="eastAsia" w:hAnsi="宋体" w:cs="宋体"/>
          <w:b/>
          <w:color w:val="auto"/>
          <w:sz w:val="24"/>
          <w:szCs w:val="24"/>
          <w:highlight w:val="none"/>
        </w:rPr>
        <w:t>4．公开竞争文件的构成</w:t>
      </w:r>
    </w:p>
    <w:p>
      <w:pPr>
        <w:pStyle w:val="35"/>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4.1公开竞争文件包括下列文件及附件：</w:t>
      </w:r>
    </w:p>
    <w:p>
      <w:pPr>
        <w:pStyle w:val="35"/>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4.1.1交易公告；</w:t>
      </w:r>
    </w:p>
    <w:p>
      <w:pPr>
        <w:pStyle w:val="35"/>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4.1.2响应人须知；</w:t>
      </w:r>
    </w:p>
    <w:p>
      <w:pPr>
        <w:pStyle w:val="35"/>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4.1.3交易需求；</w:t>
      </w:r>
    </w:p>
    <w:p>
      <w:pPr>
        <w:pStyle w:val="35"/>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4.1.4交易办法；</w:t>
      </w:r>
    </w:p>
    <w:p>
      <w:pPr>
        <w:pStyle w:val="35"/>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4.1.5拟签订的合同文本；</w:t>
      </w:r>
    </w:p>
    <w:p>
      <w:pPr>
        <w:pStyle w:val="35"/>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highlight w:val="none"/>
        </w:rPr>
        <w:t>4.1.6</w:t>
      </w:r>
      <w:r>
        <w:rPr>
          <w:rFonts w:hint="eastAsia" w:hAnsi="宋体" w:cs="宋体"/>
          <w:color w:val="auto"/>
          <w:sz w:val="24"/>
          <w:szCs w:val="24"/>
          <w:highlight w:val="none"/>
        </w:rPr>
        <w:t>应提交的有关格式范例。</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4.2与本项目有关的</w:t>
      </w:r>
      <w:r>
        <w:rPr>
          <w:rFonts w:hint="eastAsia" w:ascii="宋体" w:hAnsi="宋体" w:cs="宋体"/>
          <w:bCs/>
          <w:color w:val="auto"/>
          <w:sz w:val="24"/>
          <w:highlight w:val="none"/>
        </w:rPr>
        <w:t>澄清或者修改的内容为公开竞争文件的组成部分</w:t>
      </w:r>
      <w:r>
        <w:rPr>
          <w:rFonts w:hint="eastAsia" w:ascii="宋体" w:hAnsi="宋体" w:cs="宋体"/>
          <w:color w:val="auto"/>
          <w:sz w:val="24"/>
          <w:highlight w:val="none"/>
        </w:rPr>
        <w:t>。</w:t>
      </w:r>
    </w:p>
    <w:p>
      <w:pPr>
        <w:pStyle w:val="35"/>
        <w:spacing w:line="460" w:lineRule="exact"/>
        <w:rPr>
          <w:rFonts w:hAnsi="宋体" w:cs="宋体"/>
          <w:b/>
          <w:color w:val="auto"/>
          <w:sz w:val="24"/>
          <w:szCs w:val="24"/>
          <w:highlight w:val="none"/>
        </w:rPr>
      </w:pPr>
      <w:r>
        <w:rPr>
          <w:rFonts w:hint="eastAsia" w:hAnsi="宋体" w:cs="宋体"/>
          <w:b/>
          <w:color w:val="auto"/>
          <w:sz w:val="24"/>
          <w:szCs w:val="24"/>
          <w:highlight w:val="none"/>
        </w:rPr>
        <w:t>5.公开竞争文件的澄清、修改</w:t>
      </w:r>
    </w:p>
    <w:p>
      <w:pPr>
        <w:pStyle w:val="135"/>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5.1已获取公开竞争文件的潜在响应人，若有问题需要澄清，应于响应截止时间前，以书面形式向代理机构提出。</w:t>
      </w:r>
    </w:p>
    <w:p>
      <w:pPr>
        <w:pStyle w:val="135"/>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pPr>
        <w:adjustRightInd/>
        <w:spacing w:line="460" w:lineRule="exact"/>
        <w:jc w:val="center"/>
        <w:outlineLvl w:val="0"/>
        <w:rPr>
          <w:rFonts w:ascii="宋体" w:hAnsi="宋体" w:cs="宋体"/>
          <w:b/>
          <w:color w:val="auto"/>
          <w:sz w:val="30"/>
          <w:szCs w:val="20"/>
          <w:highlight w:val="none"/>
        </w:rPr>
      </w:pPr>
    </w:p>
    <w:p>
      <w:pPr>
        <w:adjustRightInd/>
        <w:spacing w:line="460" w:lineRule="exact"/>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三、响应</w:t>
      </w:r>
    </w:p>
    <w:p>
      <w:pPr>
        <w:pStyle w:val="35"/>
        <w:spacing w:line="460" w:lineRule="exact"/>
        <w:rPr>
          <w:rFonts w:hAnsi="宋体" w:cs="宋体"/>
          <w:b/>
          <w:color w:val="auto"/>
          <w:sz w:val="24"/>
          <w:szCs w:val="24"/>
          <w:highlight w:val="none"/>
        </w:rPr>
      </w:pPr>
      <w:r>
        <w:rPr>
          <w:rFonts w:hint="eastAsia" w:hAnsi="宋体" w:cs="宋体"/>
          <w:b/>
          <w:color w:val="auto"/>
          <w:sz w:val="24"/>
          <w:szCs w:val="24"/>
          <w:highlight w:val="none"/>
        </w:rPr>
        <w:t>6.公开竞争文件的获取</w:t>
      </w:r>
    </w:p>
    <w:p>
      <w:pPr>
        <w:spacing w:line="460" w:lineRule="exact"/>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详见交易公告中获取公开竞争文件的时间期限、地点、方式及公开竞争文件售价。</w:t>
      </w:r>
    </w:p>
    <w:p>
      <w:pPr>
        <w:pStyle w:val="35"/>
        <w:spacing w:line="460" w:lineRule="exact"/>
        <w:rPr>
          <w:rFonts w:hAnsi="宋体" w:cs="宋体"/>
          <w:b/>
          <w:color w:val="auto"/>
          <w:sz w:val="24"/>
          <w:szCs w:val="24"/>
          <w:highlight w:val="none"/>
        </w:rPr>
      </w:pPr>
      <w:r>
        <w:rPr>
          <w:rFonts w:hint="eastAsia" w:hAnsi="宋体" w:cs="宋体"/>
          <w:b/>
          <w:color w:val="auto"/>
          <w:sz w:val="24"/>
          <w:szCs w:val="24"/>
          <w:highlight w:val="none"/>
        </w:rPr>
        <w:t>7.交易前答疑会或现场考察</w:t>
      </w:r>
    </w:p>
    <w:p>
      <w:pPr>
        <w:pStyle w:val="35"/>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交易发起人组织潜在响应人现场考察或者召开交易前答疑会的，潜在响应人按第二部分响应人须知前附表的规定参加现场考察或者开标前答疑会。</w:t>
      </w:r>
    </w:p>
    <w:p>
      <w:pPr>
        <w:pStyle w:val="35"/>
        <w:spacing w:line="460" w:lineRule="exact"/>
        <w:rPr>
          <w:rFonts w:hAnsi="宋体" w:cs="宋体"/>
          <w:b/>
          <w:color w:val="auto"/>
          <w:szCs w:val="24"/>
          <w:highlight w:val="none"/>
        </w:rPr>
      </w:pPr>
      <w:r>
        <w:rPr>
          <w:rFonts w:hint="eastAsia" w:hAnsi="宋体" w:cs="宋体"/>
          <w:b/>
          <w:color w:val="auto"/>
          <w:kern w:val="28"/>
          <w:sz w:val="24"/>
          <w:szCs w:val="24"/>
          <w:highlight w:val="none"/>
        </w:rPr>
        <w:t>8.交易保证金</w:t>
      </w:r>
    </w:p>
    <w:p>
      <w:pPr>
        <w:pStyle w:val="16"/>
        <w:spacing w:line="460" w:lineRule="exact"/>
        <w:ind w:firstLine="470" w:firstLineChars="196"/>
        <w:rPr>
          <w:rFonts w:hAnsi="宋体" w:cs="宋体"/>
          <w:color w:val="auto"/>
          <w:sz w:val="24"/>
          <w:highlight w:val="none"/>
        </w:rPr>
      </w:pPr>
      <w:r>
        <w:rPr>
          <w:rFonts w:hint="eastAsia" w:hAnsi="宋体" w:cs="宋体"/>
          <w:color w:val="auto"/>
          <w:sz w:val="24"/>
          <w:highlight w:val="none"/>
        </w:rPr>
        <w:t>本项目不需缴纳交易保证金。</w:t>
      </w:r>
    </w:p>
    <w:p>
      <w:pPr>
        <w:pStyle w:val="35"/>
        <w:spacing w:line="460" w:lineRule="exact"/>
        <w:rPr>
          <w:rFonts w:hAnsi="宋体" w:cs="宋体"/>
          <w:b/>
          <w:color w:val="auto"/>
          <w:sz w:val="24"/>
          <w:szCs w:val="24"/>
          <w:highlight w:val="none"/>
        </w:rPr>
      </w:pPr>
      <w:r>
        <w:rPr>
          <w:rFonts w:hint="eastAsia" w:hAnsi="宋体" w:cs="宋体"/>
          <w:b/>
          <w:color w:val="auto"/>
          <w:sz w:val="24"/>
          <w:szCs w:val="24"/>
          <w:highlight w:val="none"/>
        </w:rPr>
        <w:t>9.响应文件的语言</w:t>
      </w:r>
    </w:p>
    <w:p>
      <w:pPr>
        <w:autoSpaceDE w:val="0"/>
        <w:autoSpaceDN w:val="0"/>
        <w:spacing w:line="4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响应文件及响应人与交易有关的来往通知、函件和文件均应使用中文。</w:t>
      </w:r>
    </w:p>
    <w:p>
      <w:pPr>
        <w:pStyle w:val="35"/>
        <w:spacing w:line="460" w:lineRule="exact"/>
        <w:rPr>
          <w:rFonts w:hAnsi="宋体" w:cs="宋体"/>
          <w:b/>
          <w:color w:val="auto"/>
          <w:sz w:val="24"/>
          <w:szCs w:val="24"/>
          <w:highlight w:val="none"/>
        </w:rPr>
      </w:pPr>
      <w:r>
        <w:rPr>
          <w:rFonts w:hint="eastAsia" w:hAnsi="宋体" w:cs="宋体"/>
          <w:b/>
          <w:color w:val="auto"/>
          <w:sz w:val="24"/>
          <w:szCs w:val="24"/>
          <w:highlight w:val="none"/>
        </w:rPr>
        <w:t>10.响应文件的组成</w:t>
      </w:r>
    </w:p>
    <w:p>
      <w:pPr>
        <w:snapToGrid w:val="0"/>
        <w:spacing w:line="46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10.1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10.1.1符合参加交易活动应当具备的一般条件的承诺函；</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10.1.2本项目的特定资格要求：无。</w:t>
      </w:r>
    </w:p>
    <w:p>
      <w:pPr>
        <w:snapToGrid w:val="0"/>
        <w:spacing w:line="460" w:lineRule="exact"/>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0</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10.2.1交易函；</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10.2.2授权委托书或法定代表人（单位负责人、自然人本人）身份证明；</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10.2.3营业执照；</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10.2.4符合性审查资料；</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10.2.5评审标准相应的商务技术资料；</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10.2.6商务技术偏离表；</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10.2.7</w:t>
      </w:r>
      <w:r>
        <w:rPr>
          <w:rFonts w:hint="eastAsia" w:ascii="宋体" w:hAnsi="宋体" w:cs="宋体"/>
          <w:color w:val="auto"/>
          <w:sz w:val="24"/>
          <w:highlight w:val="none"/>
          <w:lang w:val="zh-CN"/>
        </w:rPr>
        <w:t>响应人廉洁自律承诺书。</w:t>
      </w:r>
    </w:p>
    <w:p>
      <w:pPr>
        <w:snapToGrid w:val="0"/>
        <w:spacing w:line="460" w:lineRule="exact"/>
        <w:ind w:firstLine="482" w:firstLineChars="200"/>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w:t>
      </w:r>
      <w:r>
        <w:rPr>
          <w:rFonts w:hint="eastAsia" w:ascii="宋体" w:hAnsi="宋体" w:cs="宋体"/>
          <w:b/>
          <w:bCs/>
          <w:color w:val="auto"/>
          <w:kern w:val="0"/>
          <w:sz w:val="24"/>
          <w:highlight w:val="none"/>
        </w:rPr>
        <w:t>0</w:t>
      </w:r>
      <w:r>
        <w:rPr>
          <w:rFonts w:hint="eastAsia" w:ascii="宋体" w:hAnsi="宋体" w:cs="宋体"/>
          <w:b/>
          <w:bCs/>
          <w:color w:val="auto"/>
          <w:kern w:val="0"/>
          <w:sz w:val="24"/>
          <w:highlight w:val="none"/>
          <w:lang w:val="zh-CN"/>
        </w:rPr>
        <w:t>.</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10.3.1交易一览表（报价表）。</w:t>
      </w:r>
    </w:p>
    <w:p>
      <w:pPr>
        <w:spacing w:line="460" w:lineRule="exact"/>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响应文件含有交易发起人不能接受的附加条件的，交易无效；</w:t>
      </w:r>
    </w:p>
    <w:p>
      <w:pPr>
        <w:spacing w:line="460" w:lineRule="exact"/>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响应人提供虚假材料投标的，交易无效。</w:t>
      </w:r>
    </w:p>
    <w:p>
      <w:pPr>
        <w:pStyle w:val="135"/>
        <w:snapToGrid w:val="0"/>
        <w:spacing w:before="0" w:line="460" w:lineRule="exact"/>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11</w:t>
      </w:r>
      <w:r>
        <w:rPr>
          <w:rFonts w:hint="eastAsia" w:ascii="宋体" w:hAnsi="宋体" w:cs="宋体"/>
          <w:b/>
          <w:color w:val="auto"/>
          <w:kern w:val="0"/>
          <w:szCs w:val="24"/>
          <w:highlight w:val="none"/>
          <w:lang w:val="zh-CN"/>
        </w:rPr>
        <w:t>.</w:t>
      </w:r>
      <w:r>
        <w:rPr>
          <w:rFonts w:hint="eastAsia" w:ascii="宋体" w:hAnsi="宋体" w:cs="宋体"/>
          <w:b/>
          <w:color w:val="auto"/>
          <w:szCs w:val="24"/>
          <w:highlight w:val="none"/>
        </w:rPr>
        <w:t>响应文件的编制</w:t>
      </w:r>
    </w:p>
    <w:p>
      <w:pPr>
        <w:spacing w:line="460" w:lineRule="exact"/>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pPr>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.2响应人进行电子投标应安装客户端软件—“政采云电子交易客户端”，并按照公开竞争文件和电子交易平台的要求编制并加密响应文件。响应人未按规定加密的响应文件，电子交易平台将拒收并提示。</w:t>
      </w:r>
    </w:p>
    <w:p>
      <w:pPr>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pPr>
        <w:snapToGrid w:val="0"/>
        <w:spacing w:line="460" w:lineRule="exact"/>
        <w:rPr>
          <w:rFonts w:ascii="宋体" w:hAnsi="宋体" w:cs="宋体"/>
          <w:b/>
          <w:color w:val="auto"/>
          <w:sz w:val="24"/>
          <w:highlight w:val="none"/>
        </w:rPr>
      </w:pPr>
      <w:r>
        <w:rPr>
          <w:rFonts w:hint="eastAsia" w:ascii="宋体" w:hAnsi="宋体" w:cs="宋体"/>
          <w:b/>
          <w:color w:val="auto"/>
          <w:sz w:val="24"/>
          <w:highlight w:val="none"/>
        </w:rPr>
        <w:t>12.响应文件的签署、盖章</w:t>
      </w:r>
    </w:p>
    <w:p>
      <w:pPr>
        <w:pStyle w:val="135"/>
        <w:snapToGrid w:val="0"/>
        <w:spacing w:before="0" w:line="460" w:lineRule="exact"/>
        <w:ind w:firstLine="480"/>
        <w:rPr>
          <w:rFonts w:ascii="宋体" w:hAnsi="宋体" w:cs="宋体"/>
          <w:b/>
          <w:color w:val="auto"/>
          <w:highlight w:val="none"/>
        </w:rPr>
      </w:pPr>
      <w:r>
        <w:rPr>
          <w:rFonts w:hint="eastAsia" w:ascii="宋体" w:hAnsi="宋体" w:cs="宋体"/>
          <w:color w:val="auto"/>
          <w:szCs w:val="24"/>
          <w:highlight w:val="none"/>
        </w:rPr>
        <w:t>12.1响应文件按照公开竞争文件第六部分格式要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▲响应人的响应文件未按照公开竞争文件要求签署、盖章的，其交易无效</w:t>
      </w:r>
      <w:r>
        <w:rPr>
          <w:rFonts w:hint="eastAsia" w:ascii="宋体" w:hAnsi="宋体" w:cs="宋体"/>
          <w:color w:val="auto"/>
          <w:szCs w:val="24"/>
          <w:highlight w:val="none"/>
        </w:rPr>
        <w:t>。</w:t>
      </w:r>
    </w:p>
    <w:p>
      <w:pPr>
        <w:pStyle w:val="135"/>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12.2为确保网上操作合法、有效和安全，响应人应当在响应截止时间前完成在“政府采购云平台”的身份认证，确保在电子投标过程中能够对相关数据电文进行加密和使用电子签名。</w:t>
      </w:r>
    </w:p>
    <w:p>
      <w:pPr>
        <w:pStyle w:val="135"/>
        <w:snapToGrid w:val="0"/>
        <w:spacing w:before="0" w:line="460" w:lineRule="exact"/>
        <w:ind w:firstLine="480"/>
        <w:rPr>
          <w:rFonts w:ascii="宋体" w:hAnsi="宋体" w:cs="宋体"/>
          <w:color w:val="auto"/>
          <w:szCs w:val="24"/>
          <w:highlight w:val="none"/>
        </w:rPr>
      </w:pPr>
      <w:r>
        <w:rPr>
          <w:rFonts w:hint="eastAsia" w:ascii="宋体" w:hAnsi="宋体" w:cs="宋体"/>
          <w:color w:val="auto"/>
          <w:highlight w:val="none"/>
        </w:rPr>
        <w:t>12.3公开竞争文件对响应文件签署、盖章的要求适用于电子签名。</w:t>
      </w:r>
    </w:p>
    <w:p>
      <w:pPr>
        <w:pStyle w:val="135"/>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13.响应文件的提交、补充、修改、撤回</w:t>
      </w:r>
    </w:p>
    <w:p>
      <w:pPr>
        <w:pStyle w:val="135"/>
        <w:spacing w:line="460" w:lineRule="exact"/>
        <w:ind w:firstLine="480"/>
        <w:rPr>
          <w:rFonts w:ascii="宋体" w:hAnsi="宋体" w:cs="宋体"/>
          <w:color w:val="auto"/>
          <w:szCs w:val="24"/>
          <w:highlight w:val="none"/>
        </w:rPr>
      </w:pPr>
      <w:r>
        <w:rPr>
          <w:rFonts w:hint="eastAsia" w:ascii="宋体" w:hAnsi="宋体" w:cs="宋体"/>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pPr>
        <w:pStyle w:val="135"/>
        <w:spacing w:before="0" w:line="460" w:lineRule="exact"/>
        <w:ind w:firstLine="480"/>
        <w:rPr>
          <w:rFonts w:ascii="宋体" w:hAnsi="宋体" w:cs="宋体"/>
          <w:color w:val="auto"/>
          <w:szCs w:val="24"/>
          <w:highlight w:val="none"/>
        </w:rPr>
      </w:pPr>
      <w:r>
        <w:rPr>
          <w:rFonts w:hint="eastAsia" w:ascii="宋体" w:hAnsi="宋体" w:cs="宋体"/>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pPr>
        <w:pStyle w:val="135"/>
        <w:spacing w:before="0" w:line="460" w:lineRule="exact"/>
        <w:ind w:firstLine="480"/>
        <w:rPr>
          <w:rFonts w:ascii="宋体" w:hAnsi="宋体" w:cs="宋体"/>
          <w:color w:val="auto"/>
          <w:szCs w:val="24"/>
          <w:highlight w:val="none"/>
        </w:rPr>
      </w:pPr>
      <w:r>
        <w:rPr>
          <w:rFonts w:hint="eastAsia" w:ascii="宋体" w:hAnsi="宋体" w:cs="宋体"/>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pPr>
        <w:pStyle w:val="35"/>
        <w:numPr>
          <w:ilvl w:val="0"/>
          <w:numId w:val="1"/>
        </w:numPr>
        <w:spacing w:line="460" w:lineRule="exact"/>
        <w:rPr>
          <w:rFonts w:hAnsi="宋体" w:cs="宋体"/>
          <w:b/>
          <w:color w:val="auto"/>
          <w:sz w:val="24"/>
          <w:szCs w:val="24"/>
          <w:highlight w:val="none"/>
        </w:rPr>
      </w:pPr>
      <w:r>
        <w:rPr>
          <w:rFonts w:hint="eastAsia" w:hAnsi="宋体" w:cs="宋体"/>
          <w:b/>
          <w:color w:val="auto"/>
          <w:sz w:val="24"/>
          <w:szCs w:val="24"/>
          <w:highlight w:val="none"/>
        </w:rPr>
        <w:t>备份响应文件</w:t>
      </w:r>
    </w:p>
    <w:p>
      <w:pPr>
        <w:pStyle w:val="35"/>
        <w:spacing w:line="460" w:lineRule="exact"/>
        <w:ind w:firstLine="480" w:firstLineChars="200"/>
        <w:rPr>
          <w:rFonts w:hAnsi="宋体" w:cs="宋体"/>
          <w:b/>
          <w:color w:val="auto"/>
          <w:sz w:val="24"/>
          <w:szCs w:val="24"/>
          <w:highlight w:val="none"/>
        </w:rPr>
      </w:pPr>
      <w:r>
        <w:rPr>
          <w:rFonts w:hint="eastAsia" w:hAnsi="宋体" w:cs="宋体"/>
          <w:color w:val="auto"/>
          <w:kern w:val="28"/>
          <w:sz w:val="24"/>
          <w:szCs w:val="24"/>
          <w:highlight w:val="none"/>
        </w:rPr>
        <w:t>不收取备份响应文件。</w:t>
      </w:r>
    </w:p>
    <w:p>
      <w:pPr>
        <w:pStyle w:val="135"/>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15.响应文件的无效处理</w:t>
      </w:r>
    </w:p>
    <w:p>
      <w:pPr>
        <w:pStyle w:val="26"/>
        <w:spacing w:line="460" w:lineRule="exact"/>
        <w:rPr>
          <w:rFonts w:cs="宋体"/>
          <w:color w:val="auto"/>
          <w:szCs w:val="21"/>
          <w:highlight w:val="none"/>
        </w:rPr>
      </w:pPr>
      <w:r>
        <w:rPr>
          <w:rFonts w:hint="eastAsia" w:cs="宋体"/>
          <w:color w:val="auto"/>
          <w:szCs w:val="21"/>
          <w:highlight w:val="none"/>
        </w:rPr>
        <w:t>有公开竞争文件第四部分</w:t>
      </w:r>
      <w:r>
        <w:rPr>
          <w:rFonts w:hint="eastAsia" w:cs="宋体"/>
          <w:color w:val="auto"/>
          <w:highlight w:val="none"/>
        </w:rPr>
        <w:t>4.2规定</w:t>
      </w:r>
      <w:r>
        <w:rPr>
          <w:rFonts w:hint="eastAsia" w:cs="宋体"/>
          <w:color w:val="auto"/>
          <w:szCs w:val="21"/>
          <w:highlight w:val="none"/>
        </w:rPr>
        <w:t>的情形之一的，交易无效：</w:t>
      </w:r>
    </w:p>
    <w:p>
      <w:pPr>
        <w:pStyle w:val="135"/>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16.交易有效期</w:t>
      </w:r>
    </w:p>
    <w:p>
      <w:pPr>
        <w:spacing w:line="460" w:lineRule="exact"/>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16.1交易有效期为从提交响应文件的截止之日起90天。▲</w:t>
      </w:r>
      <w:r>
        <w:rPr>
          <w:rFonts w:hint="eastAsia" w:ascii="宋体" w:hAnsi="宋体" w:cs="宋体"/>
          <w:b/>
          <w:color w:val="auto"/>
          <w:sz w:val="24"/>
          <w:szCs w:val="20"/>
          <w:highlight w:val="none"/>
        </w:rPr>
        <w:t>响应人的响应文件中承</w:t>
      </w:r>
      <w:r>
        <w:rPr>
          <w:rFonts w:hint="eastAsia" w:ascii="宋体" w:hAnsi="宋体" w:cs="宋体"/>
          <w:b/>
          <w:color w:val="auto"/>
          <w:sz w:val="24"/>
          <w:szCs w:val="21"/>
          <w:highlight w:val="none"/>
        </w:rPr>
        <w:t>诺的交易有效期少于公开竞争文件中载明的交易有效期的，交易无效。</w:t>
      </w:r>
    </w:p>
    <w:p>
      <w:pPr>
        <w:pStyle w:val="135"/>
        <w:spacing w:before="0" w:line="460" w:lineRule="exact"/>
        <w:ind w:firstLine="480"/>
        <w:rPr>
          <w:rFonts w:ascii="宋体" w:hAnsi="宋体" w:cs="宋体"/>
          <w:color w:val="auto"/>
          <w:highlight w:val="none"/>
        </w:rPr>
      </w:pPr>
      <w:r>
        <w:rPr>
          <w:rFonts w:hint="eastAsia" w:ascii="宋体" w:hAnsi="宋体" w:cs="宋体"/>
          <w:color w:val="auto"/>
          <w:highlight w:val="none"/>
        </w:rPr>
        <w:t>16.2响应文件合格投递后，自投标截止日期起，在交易有效期内有效。</w:t>
      </w:r>
    </w:p>
    <w:p>
      <w:pPr>
        <w:pStyle w:val="135"/>
        <w:spacing w:before="0" w:line="460" w:lineRule="exact"/>
        <w:ind w:firstLine="480"/>
        <w:rPr>
          <w:rFonts w:ascii="宋体" w:hAnsi="宋体" w:cs="宋体"/>
          <w:color w:val="auto"/>
          <w:highlight w:val="none"/>
        </w:rPr>
      </w:pPr>
      <w:r>
        <w:rPr>
          <w:rFonts w:hint="eastAsia" w:ascii="宋体" w:hAnsi="宋体" w:cs="宋体"/>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pPr>
        <w:pStyle w:val="135"/>
        <w:spacing w:before="0" w:line="460" w:lineRule="exact"/>
        <w:ind w:firstLine="643"/>
        <w:rPr>
          <w:rFonts w:ascii="宋体" w:hAnsi="宋体" w:cs="宋体"/>
          <w:b/>
          <w:color w:val="auto"/>
          <w:sz w:val="32"/>
          <w:highlight w:val="none"/>
        </w:rPr>
      </w:pPr>
    </w:p>
    <w:p>
      <w:pPr>
        <w:pStyle w:val="135"/>
        <w:spacing w:before="0" w:line="460" w:lineRule="exact"/>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四、交易、资格审查</w:t>
      </w:r>
    </w:p>
    <w:p>
      <w:pPr>
        <w:pStyle w:val="560"/>
        <w:spacing w:before="0" w:line="460" w:lineRule="exact"/>
        <w:ind w:left="0" w:firstLine="0"/>
        <w:contextualSpacing/>
        <w:rPr>
          <w:rFonts w:ascii="宋体" w:hAnsi="宋体" w:cs="宋体"/>
          <w:b/>
          <w:color w:val="auto"/>
          <w:kern w:val="2"/>
          <w:sz w:val="24"/>
          <w:szCs w:val="24"/>
          <w:highlight w:val="none"/>
        </w:rPr>
      </w:pPr>
      <w:r>
        <w:rPr>
          <w:rFonts w:hint="eastAsia" w:ascii="宋体" w:hAnsi="宋体" w:cs="宋体"/>
          <w:b/>
          <w:color w:val="auto"/>
          <w:kern w:val="2"/>
          <w:sz w:val="24"/>
          <w:szCs w:val="24"/>
          <w:highlight w:val="none"/>
        </w:rPr>
        <w:t xml:space="preserve">17.交易 </w:t>
      </w:r>
    </w:p>
    <w:p>
      <w:pPr>
        <w:pStyle w:val="560"/>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17.1代理机构按照公开竞争文件规定的时间通过电子交易平台组织开标，所有响应人均应当准时在线参加。响应人不足3家的，不得开标。</w:t>
      </w:r>
    </w:p>
    <w:p>
      <w:pPr>
        <w:pStyle w:val="560"/>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pPr>
        <w:pStyle w:val="560"/>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17.3响应文件未按时解密，视为响应文件撤回。</w:t>
      </w:r>
    </w:p>
    <w:p>
      <w:pPr>
        <w:pStyle w:val="26"/>
        <w:spacing w:line="460" w:lineRule="exact"/>
        <w:ind w:left="479" w:hanging="479" w:hangingChars="199"/>
        <w:rPr>
          <w:rFonts w:cs="宋体"/>
          <w:b/>
          <w:color w:val="auto"/>
          <w:highlight w:val="none"/>
        </w:rPr>
      </w:pPr>
      <w:r>
        <w:rPr>
          <w:rFonts w:hint="eastAsia" w:cs="宋体"/>
          <w:b/>
          <w:color w:val="auto"/>
          <w:highlight w:val="none"/>
        </w:rPr>
        <w:t>18、资格审查</w:t>
      </w:r>
    </w:p>
    <w:p>
      <w:pPr>
        <w:pStyle w:val="135"/>
        <w:spacing w:before="0" w:line="46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18.1交易后，交易发起人或代理机构将依法对响应人的资格进行审查。</w:t>
      </w:r>
    </w:p>
    <w:p>
      <w:pPr>
        <w:snapToGrid w:val="0"/>
        <w:spacing w:line="46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18.2</w:t>
      </w:r>
      <w:r>
        <w:rPr>
          <w:rFonts w:hint="eastAsia" w:ascii="宋体" w:hAnsi="宋体" w:cs="宋体"/>
          <w:color w:val="auto"/>
          <w:sz w:val="24"/>
          <w:highlight w:val="none"/>
        </w:rPr>
        <w:t>交易发起人或代理机构依据法律法规和公开竞争文件的规定，对响应人的基本资格条件、特定资格条件进行审查。</w:t>
      </w:r>
    </w:p>
    <w:p>
      <w:pPr>
        <w:pStyle w:val="135"/>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18.3响应人未按照公开竞争文件要求提供与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响应人不具备公开竞争文件中规定的资格要求，其交易无效。</w:t>
      </w:r>
    </w:p>
    <w:p>
      <w:pPr>
        <w:pStyle w:val="135"/>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4对未通过资格审查的响应人，交易发起人或代理机构告知其未通过的原因。</w:t>
      </w:r>
    </w:p>
    <w:p>
      <w:pPr>
        <w:pStyle w:val="135"/>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5合格响应人不足3家的，不再评标。</w:t>
      </w:r>
    </w:p>
    <w:p>
      <w:pPr>
        <w:pStyle w:val="135"/>
        <w:spacing w:before="0" w:line="460" w:lineRule="exact"/>
        <w:ind w:firstLine="0" w:firstLineChars="0"/>
        <w:rPr>
          <w:rFonts w:ascii="宋体" w:hAnsi="宋体" w:cs="宋体"/>
          <w:color w:val="auto"/>
          <w:kern w:val="0"/>
          <w:szCs w:val="24"/>
          <w:highlight w:val="none"/>
        </w:rPr>
      </w:pPr>
    </w:p>
    <w:p>
      <w:pPr>
        <w:snapToGrid w:val="0"/>
        <w:spacing w:line="46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五、评审</w:t>
      </w:r>
    </w:p>
    <w:p>
      <w:pPr>
        <w:spacing w:line="460" w:lineRule="exact"/>
        <w:rPr>
          <w:rFonts w:ascii="宋体" w:hAnsi="宋体" w:cs="宋体"/>
          <w:color w:val="auto"/>
          <w:sz w:val="24"/>
          <w:highlight w:val="none"/>
        </w:rPr>
      </w:pPr>
      <w:bookmarkStart w:id="14" w:name="_Toc91899903"/>
      <w:r>
        <w:rPr>
          <w:rFonts w:hint="eastAsia" w:ascii="宋体" w:hAnsi="宋体" w:cs="宋体"/>
          <w:b/>
          <w:color w:val="auto"/>
          <w:sz w:val="24"/>
          <w:highlight w:val="none"/>
        </w:rPr>
        <w:t>19.</w:t>
      </w:r>
      <w:r>
        <w:rPr>
          <w:rFonts w:hint="eastAsia" w:ascii="宋体" w:hAnsi="宋体" w:cs="宋体"/>
          <w:color w:val="auto"/>
          <w:sz w:val="24"/>
          <w:highlight w:val="none"/>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pPr>
        <w:spacing w:line="460" w:lineRule="exact"/>
        <w:rPr>
          <w:rFonts w:ascii="宋体" w:hAnsi="宋体" w:cs="宋体"/>
          <w:b/>
          <w:color w:val="auto"/>
          <w:sz w:val="24"/>
          <w:highlight w:val="none"/>
        </w:rPr>
      </w:pPr>
      <w:r>
        <w:rPr>
          <w:rFonts w:hint="eastAsia" w:ascii="宋体" w:hAnsi="宋体" w:cs="宋体"/>
          <w:b/>
          <w:color w:val="auto"/>
          <w:sz w:val="24"/>
          <w:highlight w:val="none"/>
        </w:rPr>
        <w:t>详见公开竞争文件第四部分交易办法。</w:t>
      </w:r>
    </w:p>
    <w:p>
      <w:pPr>
        <w:spacing w:line="460" w:lineRule="exact"/>
        <w:rPr>
          <w:rFonts w:ascii="宋体" w:hAnsi="宋体" w:cs="宋体"/>
          <w:b/>
          <w:color w:val="auto"/>
          <w:sz w:val="24"/>
          <w:highlight w:val="none"/>
        </w:rPr>
      </w:pPr>
    </w:p>
    <w:p>
      <w:pPr>
        <w:snapToGrid w:val="0"/>
        <w:spacing w:line="46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六、定标</w:t>
      </w:r>
    </w:p>
    <w:p>
      <w:pPr>
        <w:pStyle w:val="26"/>
        <w:spacing w:line="460" w:lineRule="exact"/>
        <w:ind w:left="479" w:hanging="479" w:hangingChars="199"/>
        <w:rPr>
          <w:rFonts w:cs="宋体"/>
          <w:b/>
          <w:color w:val="auto"/>
          <w:highlight w:val="none"/>
        </w:rPr>
      </w:pPr>
      <w:r>
        <w:rPr>
          <w:rFonts w:hint="eastAsia" w:cs="宋体"/>
          <w:b/>
          <w:color w:val="auto"/>
          <w:highlight w:val="none"/>
        </w:rPr>
        <w:t>20.确定成交响应人</w:t>
      </w:r>
    </w:p>
    <w:p>
      <w:pPr>
        <w:pStyle w:val="135"/>
        <w:snapToGrid w:val="0"/>
        <w:spacing w:before="0" w:line="460" w:lineRule="exact"/>
        <w:ind w:firstLine="480"/>
        <w:rPr>
          <w:rFonts w:ascii="宋体" w:hAnsi="宋体" w:cs="宋体"/>
          <w:b/>
          <w:color w:val="auto"/>
          <w:szCs w:val="24"/>
          <w:highlight w:val="none"/>
        </w:rPr>
      </w:pPr>
      <w:r>
        <w:rPr>
          <w:rFonts w:hint="eastAsia" w:ascii="宋体" w:hAnsi="宋体" w:cs="宋体"/>
          <w:color w:val="auto"/>
          <w:szCs w:val="24"/>
          <w:highlight w:val="none"/>
        </w:rPr>
        <w:t>交易发起人将自收到评审报告之日起5个工作日内通过电子交易平台在评审报告推荐的成交候选人中按顺序确定成交响应人。</w:t>
      </w:r>
    </w:p>
    <w:p>
      <w:pPr>
        <w:pStyle w:val="135"/>
        <w:snapToGrid w:val="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21.成交通知与成交结果公告</w:t>
      </w:r>
    </w:p>
    <w:p>
      <w:pPr>
        <w:widowControl/>
        <w:shd w:val="clear" w:color="auto" w:fill="FFFFFF"/>
        <w:spacing w:line="460" w:lineRule="exact"/>
        <w:ind w:firstLine="480"/>
        <w:jc w:val="left"/>
        <w:rPr>
          <w:rFonts w:ascii="宋体" w:hAnsi="宋体" w:cs="宋体"/>
          <w:color w:val="auto"/>
          <w:sz w:val="24"/>
          <w:highlight w:val="none"/>
        </w:rPr>
      </w:pPr>
      <w:r>
        <w:rPr>
          <w:rFonts w:hint="eastAsia" w:ascii="宋体" w:hAnsi="宋体" w:cs="宋体"/>
          <w:color w:val="auto"/>
          <w:sz w:val="24"/>
          <w:highlight w:val="none"/>
        </w:rPr>
        <w:t>21.1自成交人确定之日起3天内，代理机构通过电子交易平台向成交人发出成交通知书，同时编制发布成交结果公告。代理机构也可以以纸质形式进行成交通知。</w:t>
      </w:r>
    </w:p>
    <w:p>
      <w:pPr>
        <w:widowControl/>
        <w:shd w:val="clear" w:color="auto" w:fill="FFFFFF"/>
        <w:spacing w:line="460" w:lineRule="exact"/>
        <w:ind w:firstLine="480"/>
        <w:jc w:val="left"/>
        <w:rPr>
          <w:rFonts w:ascii="宋体" w:hAnsi="宋体" w:cs="宋体"/>
          <w:color w:val="auto"/>
          <w:sz w:val="24"/>
          <w:highlight w:val="none"/>
        </w:rPr>
      </w:pPr>
      <w:r>
        <w:rPr>
          <w:rFonts w:hint="eastAsia" w:ascii="宋体" w:hAnsi="宋体" w:cs="宋体"/>
          <w:color w:val="auto"/>
          <w:sz w:val="24"/>
          <w:highlight w:val="none"/>
        </w:rPr>
        <w:t>21.2成交结果公告内容包括交易发起人及其委托的代理机构的名称、地址、联系方式，项目名称和交易编号，成交人名称、地址和成交金额。</w:t>
      </w:r>
    </w:p>
    <w:p>
      <w:pPr>
        <w:snapToGrid w:val="0"/>
        <w:spacing w:line="460" w:lineRule="exact"/>
        <w:ind w:left="120" w:leftChars="57" w:firstLine="482" w:firstLineChars="150"/>
        <w:jc w:val="center"/>
        <w:rPr>
          <w:rFonts w:ascii="宋体" w:hAnsi="宋体" w:cs="宋体"/>
          <w:b/>
          <w:color w:val="auto"/>
          <w:sz w:val="32"/>
          <w:highlight w:val="none"/>
        </w:rPr>
      </w:pPr>
    </w:p>
    <w:p>
      <w:pPr>
        <w:snapToGrid w:val="0"/>
        <w:spacing w:line="460" w:lineRule="exact"/>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6"/>
        <w:spacing w:line="460" w:lineRule="exact"/>
        <w:ind w:left="479" w:hanging="479" w:hangingChars="199"/>
        <w:rPr>
          <w:rFonts w:cs="宋体"/>
          <w:b/>
          <w:color w:val="auto"/>
          <w:highlight w:val="none"/>
        </w:rPr>
      </w:pPr>
      <w:r>
        <w:rPr>
          <w:rFonts w:hint="eastAsia" w:cs="宋体"/>
          <w:b/>
          <w:color w:val="auto"/>
          <w:highlight w:val="none"/>
        </w:rPr>
        <w:t>22.</w:t>
      </w:r>
      <w:r>
        <w:rPr>
          <w:rFonts w:hint="eastAsia" w:cs="宋体"/>
          <w:color w:val="auto"/>
          <w:highlight w:val="none"/>
        </w:rPr>
        <w:t>合同主要条款详见第五部分拟签订的合同文本。</w:t>
      </w:r>
    </w:p>
    <w:p>
      <w:pPr>
        <w:pStyle w:val="26"/>
        <w:spacing w:line="460" w:lineRule="exact"/>
        <w:ind w:left="479" w:hanging="479" w:hangingChars="199"/>
        <w:rPr>
          <w:rFonts w:cs="宋体"/>
          <w:b/>
          <w:color w:val="auto"/>
          <w:highlight w:val="none"/>
        </w:rPr>
      </w:pPr>
      <w:r>
        <w:rPr>
          <w:rFonts w:hint="eastAsia" w:cs="宋体"/>
          <w:b/>
          <w:color w:val="auto"/>
          <w:highlight w:val="none"/>
        </w:rPr>
        <w:t>23.合同的签订</w:t>
      </w:r>
    </w:p>
    <w:p>
      <w:pPr>
        <w:widowControl/>
        <w:shd w:val="clear" w:color="auto" w:fill="FFFFFF"/>
        <w:spacing w:line="460" w:lineRule="exact"/>
        <w:ind w:firstLine="480"/>
        <w:jc w:val="left"/>
        <w:rPr>
          <w:rFonts w:ascii="宋体" w:hAnsi="宋体" w:cs="宋体"/>
          <w:color w:val="auto"/>
          <w:kern w:val="0"/>
          <w:sz w:val="24"/>
          <w:highlight w:val="none"/>
        </w:rPr>
      </w:pPr>
      <w:r>
        <w:rPr>
          <w:rFonts w:hint="eastAsia" w:ascii="宋体" w:hAnsi="宋体" w:cs="宋体"/>
          <w:color w:val="auto"/>
          <w:sz w:val="24"/>
          <w:highlight w:val="none"/>
        </w:rPr>
        <w:t>23.1</w:t>
      </w:r>
      <w:r>
        <w:rPr>
          <w:rFonts w:hint="eastAsia" w:ascii="宋体" w:hAnsi="宋体" w:cs="宋体"/>
          <w:color w:val="auto"/>
          <w:kern w:val="0"/>
          <w:sz w:val="24"/>
          <w:highlight w:val="none"/>
        </w:rPr>
        <w:t xml:space="preserve"> 交易发起人与成交人应当通过电子交易平台在成交通知书发出之日起三十日内，按照公开竞争文件确定的事项签订书面合同。</w:t>
      </w:r>
    </w:p>
    <w:p>
      <w:pPr>
        <w:pStyle w:val="135"/>
        <w:snapToGrid w:val="0"/>
        <w:spacing w:before="0" w:line="460" w:lineRule="exact"/>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3</w:t>
      </w:r>
      <w:r>
        <w:rPr>
          <w:rFonts w:hint="eastAsia" w:ascii="宋体" w:hAnsi="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pPr>
        <w:pStyle w:val="135"/>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23.3如签订合同并生效后，响应人无故拒绝或延期，除按照合同条款处理外，列入不良行为记录一次，并给予通报。</w:t>
      </w:r>
    </w:p>
    <w:p>
      <w:pPr>
        <w:pStyle w:val="135"/>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23.4成交响应人拒绝与交易发起人签订合同的，交易发起人可以按照评审报告推荐的</w:t>
      </w:r>
      <w:r>
        <w:rPr>
          <w:rFonts w:hint="eastAsia" w:ascii="宋体" w:hAnsi="宋体" w:cs="宋体"/>
          <w:color w:val="auto"/>
          <w:kern w:val="0"/>
          <w:highlight w:val="none"/>
        </w:rPr>
        <w:t>成交</w:t>
      </w:r>
      <w:r>
        <w:rPr>
          <w:rFonts w:hint="eastAsia" w:ascii="宋体" w:hAnsi="宋体" w:cs="宋体"/>
          <w:color w:val="auto"/>
          <w:highlight w:val="none"/>
        </w:rPr>
        <w:t>或者成交候选人名单排序，确定下一候选人为成交响应人，也可以重新开展交易活动。</w:t>
      </w:r>
    </w:p>
    <w:p>
      <w:pPr>
        <w:pStyle w:val="135"/>
        <w:snapToGrid w:val="0"/>
        <w:spacing w:before="0" w:after="120" w:line="460" w:lineRule="exact"/>
        <w:ind w:firstLine="480"/>
        <w:rPr>
          <w:rFonts w:ascii="宋体" w:hAnsi="宋体" w:cs="宋体"/>
          <w:color w:val="auto"/>
          <w:highlight w:val="none"/>
        </w:rPr>
      </w:pPr>
      <w:r>
        <w:rPr>
          <w:rFonts w:hint="eastAsia" w:ascii="宋体" w:hAnsi="宋体" w:cs="宋体"/>
          <w:color w:val="auto"/>
          <w:highlight w:val="none"/>
        </w:rPr>
        <w:t>23.5书面合同由交易发起人与成交响应人根据公开竞争文件、响应文件等内容签订合同。</w:t>
      </w:r>
    </w:p>
    <w:p>
      <w:pPr>
        <w:pStyle w:val="26"/>
        <w:spacing w:line="460" w:lineRule="exact"/>
        <w:ind w:left="479" w:hanging="479" w:hangingChars="199"/>
        <w:rPr>
          <w:rFonts w:cs="宋体"/>
          <w:b/>
          <w:color w:val="auto"/>
          <w:highlight w:val="none"/>
        </w:rPr>
      </w:pPr>
      <w:r>
        <w:rPr>
          <w:rFonts w:hint="eastAsia" w:cs="宋体"/>
          <w:b/>
          <w:color w:val="auto"/>
          <w:highlight w:val="none"/>
        </w:rPr>
        <w:t>24.履约保证金：</w:t>
      </w:r>
      <w:r>
        <w:rPr>
          <w:rFonts w:hint="eastAsia" w:cs="宋体"/>
          <w:bCs/>
          <w:color w:val="auto"/>
          <w:highlight w:val="none"/>
        </w:rPr>
        <w:t>不收取。</w:t>
      </w:r>
    </w:p>
    <w:p>
      <w:pPr>
        <w:snapToGrid w:val="0"/>
        <w:spacing w:line="460" w:lineRule="exact"/>
        <w:ind w:firstLine="3357" w:firstLineChars="1045"/>
        <w:rPr>
          <w:rFonts w:ascii="宋体" w:hAnsi="宋体" w:cs="宋体"/>
          <w:b/>
          <w:color w:val="auto"/>
          <w:sz w:val="32"/>
          <w:highlight w:val="none"/>
        </w:rPr>
      </w:pPr>
    </w:p>
    <w:p>
      <w:pPr>
        <w:snapToGrid w:val="0"/>
        <w:spacing w:line="460" w:lineRule="exact"/>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5"/>
        <w:snapToGrid w:val="0"/>
        <w:spacing w:before="0" w:line="460" w:lineRule="exact"/>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color w:val="auto"/>
          <w:szCs w:val="24"/>
          <w:highlight w:val="none"/>
        </w:rPr>
        <w:t>5.电子交易活动的中止。</w:t>
      </w:r>
      <w:r>
        <w:rPr>
          <w:rFonts w:hint="eastAsia" w:ascii="宋体" w:hAnsi="宋体" w:cs="宋体"/>
          <w:bCs/>
          <w:color w:val="auto"/>
          <w:szCs w:val="24"/>
          <w:highlight w:val="none"/>
        </w:rPr>
        <w:t>交易</w:t>
      </w:r>
      <w:r>
        <w:rPr>
          <w:rFonts w:hint="eastAsia" w:ascii="宋体" w:hAnsi="宋体" w:cs="宋体"/>
          <w:color w:val="auto"/>
          <w:highlight w:val="none"/>
        </w:rPr>
        <w:t>过程中出现以下情形，导致电子交易平台无法正常运行，或者无法保证电子交易的公平、公正和安全时，代理机构可中止电子交易活动：</w:t>
      </w:r>
    </w:p>
    <w:p>
      <w:pPr>
        <w:pStyle w:val="135"/>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 xml:space="preserve">25.1电子交易平台发生故障而无法登录访问的； </w:t>
      </w:r>
    </w:p>
    <w:p>
      <w:pPr>
        <w:pStyle w:val="135"/>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25.2电子交易平台应用或数据库出现错误，不能进行正常操作的；</w:t>
      </w:r>
    </w:p>
    <w:p>
      <w:pPr>
        <w:pStyle w:val="135"/>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25.3电子交易平台发现严重安全漏洞，有潜在泄密危险的；</w:t>
      </w:r>
    </w:p>
    <w:p>
      <w:pPr>
        <w:pStyle w:val="135"/>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 xml:space="preserve">25.4病毒发作导致不能进行正常操作的； </w:t>
      </w:r>
    </w:p>
    <w:p>
      <w:pPr>
        <w:pStyle w:val="135"/>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25.5其他无法保证电子交易的公平、公正和安全的情况。</w:t>
      </w:r>
    </w:p>
    <w:p>
      <w:pPr>
        <w:pStyle w:val="135"/>
        <w:snapToGrid w:val="0"/>
        <w:spacing w:before="0" w:line="460" w:lineRule="exact"/>
        <w:ind w:firstLine="0" w:firstLineChars="0"/>
        <w:rPr>
          <w:rFonts w:ascii="宋体" w:hAnsi="宋体" w:cs="宋体"/>
          <w:color w:val="auto"/>
          <w:highlight w:val="none"/>
        </w:rPr>
      </w:pPr>
      <w:r>
        <w:rPr>
          <w:rFonts w:hint="eastAsia" w:ascii="宋体" w:hAnsi="宋体" w:cs="宋体"/>
          <w:b/>
          <w:bCs/>
          <w:color w:val="auto"/>
          <w:highlight w:val="none"/>
        </w:rPr>
        <w:t>26.</w:t>
      </w:r>
      <w:r>
        <w:rPr>
          <w:rFonts w:hint="eastAsia" w:ascii="宋体" w:hAnsi="宋体" w:cs="宋体"/>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pPr>
        <w:snapToGrid w:val="0"/>
        <w:spacing w:line="460" w:lineRule="exact"/>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6"/>
        <w:spacing w:line="460" w:lineRule="exact"/>
        <w:ind w:firstLine="0" w:firstLineChars="0"/>
        <w:rPr>
          <w:rFonts w:cs="宋体"/>
          <w:b/>
          <w:color w:val="auto"/>
          <w:highlight w:val="none"/>
        </w:rPr>
      </w:pPr>
      <w:r>
        <w:rPr>
          <w:rFonts w:hint="eastAsia" w:cs="宋体"/>
          <w:b/>
          <w:color w:val="auto"/>
          <w:highlight w:val="none"/>
        </w:rPr>
        <w:t>27.验收</w:t>
      </w:r>
    </w:p>
    <w:p>
      <w:pPr>
        <w:tabs>
          <w:tab w:val="left" w:pos="0"/>
        </w:tabs>
        <w:spacing w:line="46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27.1交易发起人应当组织对响应人履约的验收。</w:t>
      </w:r>
    </w:p>
    <w:bookmarkEnd w:id="12"/>
    <w:bookmarkEnd w:id="13"/>
    <w:bookmarkEnd w:id="14"/>
    <w:p>
      <w:pPr>
        <w:rPr>
          <w:rFonts w:ascii="宋体" w:hAnsi="宋体" w:cs="宋体"/>
          <w:b/>
          <w:color w:val="auto"/>
          <w:sz w:val="36"/>
          <w:szCs w:val="36"/>
          <w:highlight w:val="none"/>
        </w:rPr>
      </w:pPr>
      <w:bookmarkStart w:id="15" w:name="第四部分"/>
      <w:r>
        <w:rPr>
          <w:rFonts w:hint="eastAsia" w:ascii="宋体" w:hAnsi="宋体" w:cs="宋体"/>
          <w:b/>
          <w:color w:val="auto"/>
          <w:sz w:val="36"/>
          <w:szCs w:val="36"/>
          <w:highlight w:val="none"/>
        </w:rPr>
        <w:br w:type="page"/>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第三部分   交易需求</w:t>
      </w: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属于实质性要求条款的，请用符号“▲”标明，否则属于非实质性要求。</w:t>
      </w:r>
    </w:p>
    <w:p>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一、交易一览表</w:t>
      </w:r>
    </w:p>
    <w:p>
      <w:pPr>
        <w:spacing w:after="120"/>
        <w:ind w:firstLine="480" w:firstLineChars="200"/>
        <w:rPr>
          <w:rFonts w:ascii="宋体" w:hAnsi="宋体" w:cs="宋体"/>
          <w:color w:val="auto"/>
          <w:highlight w:val="none"/>
        </w:rPr>
      </w:pPr>
      <w:r>
        <w:rPr>
          <w:rFonts w:hint="eastAsia" w:ascii="宋体" w:hAnsi="宋体" w:cs="宋体"/>
          <w:color w:val="auto"/>
          <w:sz w:val="24"/>
          <w:highlight w:val="none"/>
        </w:rPr>
        <w:t>标项：1</w:t>
      </w:r>
    </w:p>
    <w:tbl>
      <w:tblPr>
        <w:tblStyle w:val="63"/>
        <w:tblW w:w="9027" w:type="dxa"/>
        <w:jc w:val="center"/>
        <w:tblLayout w:type="fixed"/>
        <w:tblCellMar>
          <w:top w:w="0" w:type="dxa"/>
          <w:left w:w="0" w:type="dxa"/>
          <w:bottom w:w="0" w:type="dxa"/>
          <w:right w:w="0" w:type="dxa"/>
        </w:tblCellMar>
      </w:tblPr>
      <w:tblGrid>
        <w:gridCol w:w="624"/>
        <w:gridCol w:w="4123"/>
        <w:gridCol w:w="1814"/>
        <w:gridCol w:w="800"/>
        <w:gridCol w:w="733"/>
        <w:gridCol w:w="933"/>
      </w:tblGrid>
      <w:tr>
        <w:tblPrEx>
          <w:tblCellMar>
            <w:top w:w="0" w:type="dxa"/>
            <w:left w:w="0" w:type="dxa"/>
            <w:bottom w:w="0" w:type="dxa"/>
            <w:right w:w="0" w:type="dxa"/>
          </w:tblCellMar>
        </w:tblPrEx>
        <w:trPr>
          <w:cantSplit/>
          <w:trHeight w:val="528" w:hRule="atLeast"/>
          <w:jc w:val="center"/>
        </w:trPr>
        <w:tc>
          <w:tcPr>
            <w:tcW w:w="62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412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名称</w:t>
            </w:r>
          </w:p>
        </w:tc>
        <w:tc>
          <w:tcPr>
            <w:tcW w:w="181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具体服务要求</w:t>
            </w:r>
          </w:p>
        </w:tc>
        <w:tc>
          <w:tcPr>
            <w:tcW w:w="8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单位</w:t>
            </w:r>
          </w:p>
        </w:tc>
        <w:tc>
          <w:tcPr>
            <w:tcW w:w="73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数量</w:t>
            </w:r>
          </w:p>
        </w:tc>
        <w:tc>
          <w:tcPr>
            <w:tcW w:w="933"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CellMar>
            <w:top w:w="0" w:type="dxa"/>
            <w:left w:w="0" w:type="dxa"/>
            <w:bottom w:w="0" w:type="dxa"/>
            <w:right w:w="0" w:type="dxa"/>
          </w:tblCellMar>
        </w:tblPrEx>
        <w:trPr>
          <w:cantSplit/>
          <w:trHeight w:val="814" w:hRule="atLeast"/>
          <w:jc w:val="center"/>
        </w:trPr>
        <w:tc>
          <w:tcPr>
            <w:tcW w:w="62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12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lang w:eastAsia="zh-CN"/>
              </w:rPr>
              <w:t>市北区块C-09-01地块人才公寓数字微控采购项目</w:t>
            </w:r>
          </w:p>
        </w:tc>
        <w:tc>
          <w:tcPr>
            <w:tcW w:w="181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详见交易需求</w:t>
            </w:r>
          </w:p>
        </w:tc>
        <w:tc>
          <w:tcPr>
            <w:tcW w:w="8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批</w:t>
            </w:r>
          </w:p>
        </w:tc>
        <w:tc>
          <w:tcPr>
            <w:tcW w:w="73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933" w:type="dxa"/>
            <w:tcBorders>
              <w:top w:val="single" w:color="auto" w:sz="4" w:space="0"/>
              <w:left w:val="nil"/>
              <w:bottom w:val="single" w:color="auto" w:sz="4" w:space="0"/>
              <w:right w:val="single" w:color="auto" w:sz="4" w:space="0"/>
            </w:tcBorders>
            <w:vAlign w:val="center"/>
          </w:tcPr>
          <w:p>
            <w:pPr>
              <w:rPr>
                <w:rFonts w:ascii="宋体" w:hAnsi="宋体" w:cs="宋体"/>
                <w:color w:val="auto"/>
                <w:sz w:val="24"/>
                <w:highlight w:val="none"/>
              </w:rPr>
            </w:pPr>
          </w:p>
        </w:tc>
      </w:tr>
    </w:tbl>
    <w:p>
      <w:pPr>
        <w:spacing w:line="360" w:lineRule="auto"/>
        <w:ind w:firstLine="482" w:firstLineChars="200"/>
        <w:rPr>
          <w:rFonts w:ascii="宋体" w:hAnsi="宋体" w:cs="宋体"/>
          <w:b/>
          <w:color w:val="auto"/>
          <w:sz w:val="24"/>
          <w:highlight w:val="none"/>
        </w:rPr>
      </w:pPr>
    </w:p>
    <w:p>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二、交易需求</w:t>
      </w:r>
    </w:p>
    <w:p>
      <w:pPr>
        <w:spacing w:line="360" w:lineRule="auto"/>
        <w:jc w:val="both"/>
        <w:outlineLvl w:val="0"/>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一</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技术需求</w:t>
      </w:r>
    </w:p>
    <w:p>
      <w:pPr>
        <w:spacing w:line="360" w:lineRule="auto"/>
        <w:jc w:val="both"/>
        <w:outlineLvl w:val="0"/>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1、设备清单</w:t>
      </w:r>
    </w:p>
    <w:tbl>
      <w:tblPr>
        <w:tblStyle w:val="63"/>
        <w:tblW w:w="0" w:type="auto"/>
        <w:jc w:val="center"/>
        <w:tblLayout w:type="fixed"/>
        <w:tblCellMar>
          <w:top w:w="0" w:type="dxa"/>
          <w:left w:w="0" w:type="dxa"/>
          <w:bottom w:w="0" w:type="dxa"/>
          <w:right w:w="0" w:type="dxa"/>
        </w:tblCellMar>
      </w:tblPr>
      <w:tblGrid>
        <w:gridCol w:w="1017"/>
        <w:gridCol w:w="2557"/>
        <w:gridCol w:w="1862"/>
        <w:gridCol w:w="1004"/>
        <w:gridCol w:w="988"/>
        <w:gridCol w:w="909"/>
      </w:tblGrid>
      <w:tr>
        <w:tblPrEx>
          <w:tblCellMar>
            <w:top w:w="0" w:type="dxa"/>
            <w:left w:w="0" w:type="dxa"/>
            <w:bottom w:w="0" w:type="dxa"/>
            <w:right w:w="0" w:type="dxa"/>
          </w:tblCellMar>
        </w:tblPrEx>
        <w:trPr>
          <w:cantSplit/>
          <w:trHeight w:val="577" w:hRule="atLeast"/>
          <w:jc w:val="center"/>
        </w:trPr>
        <w:tc>
          <w:tcPr>
            <w:tcW w:w="10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val="0"/>
              <w:jc w:val="center"/>
              <w:rPr>
                <w:rFonts w:ascii="宋体" w:hAnsi="宋体" w:cs="仿宋"/>
                <w:b/>
                <w:color w:val="auto"/>
                <w:kern w:val="0"/>
                <w:sz w:val="24"/>
                <w:szCs w:val="24"/>
                <w:highlight w:val="none"/>
              </w:rPr>
            </w:pPr>
            <w:r>
              <w:rPr>
                <w:rFonts w:hint="eastAsia" w:ascii="宋体" w:hAnsi="宋体" w:cs="仿宋"/>
                <w:b/>
                <w:color w:val="auto"/>
                <w:kern w:val="0"/>
                <w:sz w:val="24"/>
                <w:szCs w:val="24"/>
                <w:highlight w:val="none"/>
              </w:rPr>
              <w:t>序号</w:t>
            </w:r>
          </w:p>
        </w:tc>
        <w:tc>
          <w:tcPr>
            <w:tcW w:w="255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napToGrid w:val="0"/>
              <w:jc w:val="center"/>
              <w:rPr>
                <w:rFonts w:ascii="宋体" w:hAnsi="宋体" w:cs="仿宋"/>
                <w:b/>
                <w:color w:val="auto"/>
                <w:kern w:val="0"/>
                <w:sz w:val="24"/>
                <w:szCs w:val="24"/>
                <w:highlight w:val="none"/>
              </w:rPr>
            </w:pPr>
            <w:r>
              <w:rPr>
                <w:rFonts w:hint="eastAsia" w:ascii="宋体" w:hAnsi="宋体" w:cs="仿宋"/>
                <w:b/>
                <w:color w:val="auto"/>
                <w:kern w:val="0"/>
                <w:sz w:val="24"/>
                <w:szCs w:val="24"/>
                <w:highlight w:val="none"/>
              </w:rPr>
              <w:t>产品名称</w:t>
            </w:r>
          </w:p>
        </w:tc>
        <w:tc>
          <w:tcPr>
            <w:tcW w:w="186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napToGrid w:val="0"/>
              <w:jc w:val="center"/>
              <w:rPr>
                <w:rFonts w:ascii="宋体" w:hAnsi="宋体" w:cs="仿宋"/>
                <w:b/>
                <w:color w:val="auto"/>
                <w:kern w:val="0"/>
                <w:sz w:val="24"/>
                <w:szCs w:val="24"/>
                <w:highlight w:val="none"/>
              </w:rPr>
            </w:pPr>
            <w:r>
              <w:rPr>
                <w:rFonts w:hint="eastAsia" w:ascii="宋体" w:hAnsi="宋体" w:cs="仿宋"/>
                <w:b/>
                <w:color w:val="auto"/>
                <w:kern w:val="0"/>
                <w:sz w:val="24"/>
                <w:szCs w:val="24"/>
                <w:highlight w:val="none"/>
              </w:rPr>
              <w:t>参考型号</w:t>
            </w:r>
          </w:p>
        </w:tc>
        <w:tc>
          <w:tcPr>
            <w:tcW w:w="10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napToGrid w:val="0"/>
              <w:jc w:val="center"/>
              <w:rPr>
                <w:rFonts w:ascii="宋体" w:hAnsi="宋体" w:cs="仿宋"/>
                <w:b/>
                <w:color w:val="auto"/>
                <w:kern w:val="0"/>
                <w:sz w:val="24"/>
                <w:szCs w:val="24"/>
                <w:highlight w:val="none"/>
              </w:rPr>
            </w:pPr>
            <w:r>
              <w:rPr>
                <w:rFonts w:hint="eastAsia" w:ascii="宋体" w:hAnsi="宋体" w:cs="仿宋"/>
                <w:b/>
                <w:color w:val="auto"/>
                <w:kern w:val="0"/>
                <w:sz w:val="24"/>
                <w:szCs w:val="24"/>
                <w:highlight w:val="none"/>
              </w:rPr>
              <w:t>数量</w:t>
            </w:r>
          </w:p>
        </w:tc>
        <w:tc>
          <w:tcPr>
            <w:tcW w:w="98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napToGrid w:val="0"/>
              <w:jc w:val="center"/>
              <w:rPr>
                <w:rFonts w:ascii="宋体" w:hAnsi="宋体" w:cs="仿宋"/>
                <w:b/>
                <w:color w:val="auto"/>
                <w:kern w:val="0"/>
                <w:sz w:val="24"/>
                <w:szCs w:val="24"/>
                <w:highlight w:val="none"/>
              </w:rPr>
            </w:pPr>
            <w:r>
              <w:rPr>
                <w:rFonts w:hint="eastAsia" w:ascii="宋体" w:hAnsi="宋体" w:cs="仿宋"/>
                <w:b/>
                <w:color w:val="auto"/>
                <w:kern w:val="0"/>
                <w:sz w:val="24"/>
                <w:szCs w:val="24"/>
                <w:highlight w:val="none"/>
              </w:rPr>
              <w:t>单位</w:t>
            </w:r>
          </w:p>
        </w:tc>
        <w:tc>
          <w:tcPr>
            <w:tcW w:w="909" w:type="dxa"/>
            <w:tcBorders>
              <w:top w:val="single" w:color="auto" w:sz="4" w:space="0"/>
              <w:left w:val="nil"/>
              <w:bottom w:val="single" w:color="auto" w:sz="4" w:space="0"/>
              <w:right w:val="single" w:color="auto" w:sz="4" w:space="0"/>
            </w:tcBorders>
            <w:noWrap w:val="0"/>
            <w:vAlign w:val="center"/>
          </w:tcPr>
          <w:p>
            <w:pPr>
              <w:snapToGrid w:val="0"/>
              <w:jc w:val="center"/>
              <w:rPr>
                <w:rFonts w:ascii="宋体" w:hAnsi="宋体" w:cs="仿宋"/>
                <w:b/>
                <w:color w:val="auto"/>
                <w:kern w:val="0"/>
                <w:sz w:val="24"/>
                <w:szCs w:val="24"/>
                <w:highlight w:val="none"/>
              </w:rPr>
            </w:pPr>
            <w:r>
              <w:rPr>
                <w:rFonts w:hint="eastAsia" w:ascii="宋体" w:hAnsi="宋体" w:cs="仿宋"/>
                <w:b/>
                <w:color w:val="auto"/>
                <w:kern w:val="0"/>
                <w:sz w:val="24"/>
                <w:szCs w:val="24"/>
                <w:highlight w:val="none"/>
              </w:rPr>
              <w:t>备注</w:t>
            </w:r>
          </w:p>
        </w:tc>
      </w:tr>
      <w:tr>
        <w:tblPrEx>
          <w:tblCellMar>
            <w:top w:w="0" w:type="dxa"/>
            <w:left w:w="0" w:type="dxa"/>
            <w:bottom w:w="0" w:type="dxa"/>
            <w:right w:w="0" w:type="dxa"/>
          </w:tblCellMar>
        </w:tblPrEx>
        <w:trPr>
          <w:cantSplit/>
          <w:trHeight w:val="656" w:hRule="atLeast"/>
          <w:jc w:val="center"/>
        </w:trPr>
        <w:tc>
          <w:tcPr>
            <w:tcW w:w="10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auto"/>
                <w:position w:val="-6"/>
                <w:sz w:val="24"/>
                <w:szCs w:val="24"/>
                <w:highlight w:val="none"/>
              </w:rPr>
            </w:pPr>
            <w:r>
              <w:rPr>
                <w:rFonts w:hint="eastAsia" w:ascii="宋体" w:hAnsi="宋体" w:cs="宋体"/>
                <w:color w:val="auto"/>
                <w:position w:val="-6"/>
                <w:sz w:val="24"/>
                <w:szCs w:val="24"/>
                <w:highlight w:val="none"/>
              </w:rPr>
              <w:t>1</w:t>
            </w:r>
          </w:p>
        </w:tc>
        <w:tc>
          <w:tcPr>
            <w:tcW w:w="255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仿宋"/>
                <w:color w:val="auto"/>
                <w:kern w:val="0"/>
                <w:sz w:val="24"/>
                <w:szCs w:val="24"/>
                <w:highlight w:val="none"/>
              </w:rPr>
            </w:pPr>
            <w:r>
              <w:rPr>
                <w:rFonts w:hint="eastAsia" w:ascii="宋体" w:hAnsi="宋体" w:cs="宋体"/>
                <w:color w:val="auto"/>
                <w:sz w:val="24"/>
                <w:szCs w:val="24"/>
                <w:highlight w:val="none"/>
              </w:rPr>
              <w:t>智慧管理平台</w:t>
            </w:r>
          </w:p>
        </w:tc>
        <w:tc>
          <w:tcPr>
            <w:tcW w:w="18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仿宋"/>
                <w:color w:val="auto"/>
                <w:kern w:val="0"/>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1</w:t>
            </w:r>
          </w:p>
        </w:tc>
        <w:tc>
          <w:tcPr>
            <w:tcW w:w="9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套</w:t>
            </w:r>
          </w:p>
        </w:tc>
        <w:tc>
          <w:tcPr>
            <w:tcW w:w="9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position w:val="-6"/>
                <w:sz w:val="24"/>
                <w:szCs w:val="24"/>
                <w:highlight w:val="none"/>
              </w:rPr>
            </w:pPr>
          </w:p>
        </w:tc>
      </w:tr>
      <w:tr>
        <w:tblPrEx>
          <w:tblCellMar>
            <w:top w:w="0" w:type="dxa"/>
            <w:left w:w="0" w:type="dxa"/>
            <w:bottom w:w="0" w:type="dxa"/>
            <w:right w:w="0" w:type="dxa"/>
          </w:tblCellMar>
        </w:tblPrEx>
        <w:trPr>
          <w:cantSplit/>
          <w:trHeight w:val="615" w:hRule="atLeast"/>
          <w:jc w:val="center"/>
        </w:trPr>
        <w:tc>
          <w:tcPr>
            <w:tcW w:w="10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auto"/>
                <w:position w:val="-6"/>
                <w:sz w:val="24"/>
                <w:szCs w:val="24"/>
                <w:highlight w:val="none"/>
              </w:rPr>
            </w:pPr>
            <w:r>
              <w:rPr>
                <w:rFonts w:hint="eastAsia" w:ascii="宋体" w:hAnsi="宋体" w:cs="宋体"/>
                <w:color w:val="auto"/>
                <w:position w:val="-6"/>
                <w:sz w:val="24"/>
                <w:szCs w:val="24"/>
                <w:highlight w:val="none"/>
              </w:rPr>
              <w:t>2</w:t>
            </w:r>
          </w:p>
        </w:tc>
        <w:tc>
          <w:tcPr>
            <w:tcW w:w="255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仿宋"/>
                <w:color w:val="auto"/>
                <w:kern w:val="0"/>
                <w:sz w:val="24"/>
                <w:szCs w:val="24"/>
                <w:highlight w:val="none"/>
              </w:rPr>
            </w:pPr>
            <w:r>
              <w:rPr>
                <w:rFonts w:hint="eastAsia" w:ascii="宋体" w:hAnsi="宋体" w:cs="宋体"/>
                <w:color w:val="auto"/>
                <w:sz w:val="24"/>
                <w:szCs w:val="24"/>
                <w:highlight w:val="none"/>
              </w:rPr>
              <w:t>智慧微断</w:t>
            </w:r>
          </w:p>
        </w:tc>
        <w:tc>
          <w:tcPr>
            <w:tcW w:w="18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2P/63A</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858</w:t>
            </w:r>
          </w:p>
        </w:tc>
        <w:tc>
          <w:tcPr>
            <w:tcW w:w="9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只</w:t>
            </w:r>
          </w:p>
        </w:tc>
        <w:tc>
          <w:tcPr>
            <w:tcW w:w="9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position w:val="-6"/>
                <w:sz w:val="24"/>
                <w:szCs w:val="24"/>
                <w:highlight w:val="none"/>
              </w:rPr>
            </w:pPr>
          </w:p>
        </w:tc>
      </w:tr>
      <w:tr>
        <w:tblPrEx>
          <w:tblCellMar>
            <w:top w:w="0" w:type="dxa"/>
            <w:left w:w="0" w:type="dxa"/>
            <w:bottom w:w="0" w:type="dxa"/>
            <w:right w:w="0" w:type="dxa"/>
          </w:tblCellMar>
        </w:tblPrEx>
        <w:trPr>
          <w:cantSplit/>
          <w:trHeight w:val="615" w:hRule="atLeast"/>
          <w:jc w:val="center"/>
        </w:trPr>
        <w:tc>
          <w:tcPr>
            <w:tcW w:w="10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auto"/>
                <w:position w:val="-6"/>
                <w:sz w:val="24"/>
                <w:szCs w:val="24"/>
                <w:highlight w:val="none"/>
              </w:rPr>
            </w:pPr>
            <w:r>
              <w:rPr>
                <w:rFonts w:hint="eastAsia" w:ascii="宋体" w:hAnsi="宋体" w:cs="宋体"/>
                <w:color w:val="auto"/>
                <w:position w:val="-6"/>
                <w:sz w:val="24"/>
                <w:szCs w:val="24"/>
                <w:highlight w:val="none"/>
              </w:rPr>
              <w:t>3</w:t>
            </w:r>
          </w:p>
        </w:tc>
        <w:tc>
          <w:tcPr>
            <w:tcW w:w="255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仿宋"/>
                <w:color w:val="auto"/>
                <w:kern w:val="0"/>
                <w:sz w:val="24"/>
                <w:szCs w:val="24"/>
                <w:highlight w:val="none"/>
              </w:rPr>
            </w:pPr>
            <w:r>
              <w:rPr>
                <w:rFonts w:hint="eastAsia" w:ascii="宋体" w:hAnsi="宋体" w:cs="宋体"/>
                <w:color w:val="auto"/>
                <w:sz w:val="24"/>
                <w:szCs w:val="24"/>
                <w:highlight w:val="none"/>
              </w:rPr>
              <w:t>电源及防浪涌模组</w:t>
            </w:r>
          </w:p>
        </w:tc>
        <w:tc>
          <w:tcPr>
            <w:tcW w:w="18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仿宋"/>
                <w:color w:val="auto"/>
                <w:kern w:val="0"/>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101</w:t>
            </w:r>
          </w:p>
        </w:tc>
        <w:tc>
          <w:tcPr>
            <w:tcW w:w="9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只</w:t>
            </w:r>
          </w:p>
        </w:tc>
        <w:tc>
          <w:tcPr>
            <w:tcW w:w="9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position w:val="-6"/>
                <w:sz w:val="24"/>
                <w:szCs w:val="24"/>
                <w:highlight w:val="none"/>
              </w:rPr>
            </w:pPr>
          </w:p>
        </w:tc>
      </w:tr>
      <w:tr>
        <w:tblPrEx>
          <w:tblCellMar>
            <w:top w:w="0" w:type="dxa"/>
            <w:left w:w="0" w:type="dxa"/>
            <w:bottom w:w="0" w:type="dxa"/>
            <w:right w:w="0" w:type="dxa"/>
          </w:tblCellMar>
        </w:tblPrEx>
        <w:trPr>
          <w:cantSplit/>
          <w:trHeight w:val="615" w:hRule="atLeast"/>
          <w:jc w:val="center"/>
        </w:trPr>
        <w:tc>
          <w:tcPr>
            <w:tcW w:w="10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auto"/>
                <w:position w:val="-6"/>
                <w:sz w:val="24"/>
                <w:szCs w:val="24"/>
                <w:highlight w:val="none"/>
              </w:rPr>
            </w:pPr>
            <w:r>
              <w:rPr>
                <w:rFonts w:hint="eastAsia" w:ascii="宋体" w:hAnsi="宋体" w:cs="宋体"/>
                <w:color w:val="auto"/>
                <w:position w:val="-6"/>
                <w:sz w:val="24"/>
                <w:szCs w:val="24"/>
                <w:highlight w:val="none"/>
              </w:rPr>
              <w:t>4</w:t>
            </w:r>
          </w:p>
        </w:tc>
        <w:tc>
          <w:tcPr>
            <w:tcW w:w="255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仿宋"/>
                <w:color w:val="auto"/>
                <w:kern w:val="0"/>
                <w:sz w:val="24"/>
                <w:szCs w:val="24"/>
                <w:highlight w:val="none"/>
              </w:rPr>
            </w:pPr>
            <w:r>
              <w:rPr>
                <w:rFonts w:hint="eastAsia" w:ascii="宋体" w:hAnsi="宋体"/>
                <w:color w:val="auto"/>
                <w:sz w:val="24"/>
                <w:szCs w:val="24"/>
                <w:highlight w:val="none"/>
              </w:rPr>
              <w:t>4G通讯模块（全网通)</w:t>
            </w:r>
          </w:p>
        </w:tc>
        <w:tc>
          <w:tcPr>
            <w:tcW w:w="18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4G</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101</w:t>
            </w:r>
          </w:p>
        </w:tc>
        <w:tc>
          <w:tcPr>
            <w:tcW w:w="9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只</w:t>
            </w:r>
          </w:p>
        </w:tc>
        <w:tc>
          <w:tcPr>
            <w:tcW w:w="9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position w:val="-6"/>
                <w:sz w:val="24"/>
                <w:szCs w:val="24"/>
                <w:highlight w:val="none"/>
              </w:rPr>
            </w:pPr>
          </w:p>
        </w:tc>
      </w:tr>
      <w:tr>
        <w:tblPrEx>
          <w:tblCellMar>
            <w:top w:w="0" w:type="dxa"/>
            <w:left w:w="0" w:type="dxa"/>
            <w:bottom w:w="0" w:type="dxa"/>
            <w:right w:w="0" w:type="dxa"/>
          </w:tblCellMar>
        </w:tblPrEx>
        <w:trPr>
          <w:cantSplit/>
          <w:trHeight w:val="615" w:hRule="atLeast"/>
          <w:jc w:val="center"/>
        </w:trPr>
        <w:tc>
          <w:tcPr>
            <w:tcW w:w="10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auto"/>
                <w:position w:val="-6"/>
                <w:sz w:val="24"/>
                <w:szCs w:val="24"/>
                <w:highlight w:val="none"/>
              </w:rPr>
            </w:pPr>
            <w:r>
              <w:rPr>
                <w:rFonts w:hint="eastAsia" w:ascii="宋体" w:hAnsi="宋体" w:cs="宋体"/>
                <w:color w:val="auto"/>
                <w:position w:val="-6"/>
                <w:sz w:val="24"/>
                <w:szCs w:val="24"/>
                <w:highlight w:val="none"/>
              </w:rPr>
              <w:t>5</w:t>
            </w:r>
          </w:p>
        </w:tc>
        <w:tc>
          <w:tcPr>
            <w:tcW w:w="255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仿宋"/>
                <w:color w:val="auto"/>
                <w:kern w:val="0"/>
                <w:sz w:val="24"/>
                <w:szCs w:val="24"/>
                <w:highlight w:val="none"/>
              </w:rPr>
            </w:pPr>
            <w:r>
              <w:rPr>
                <w:rFonts w:hint="eastAsia" w:ascii="宋体" w:hAnsi="宋体" w:cs="宋体"/>
                <w:color w:val="auto"/>
                <w:sz w:val="24"/>
                <w:szCs w:val="24"/>
                <w:highlight w:val="none"/>
              </w:rPr>
              <w:t>智能电箱</w:t>
            </w:r>
          </w:p>
        </w:tc>
        <w:tc>
          <w:tcPr>
            <w:tcW w:w="18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仿宋"/>
                <w:color w:val="auto"/>
                <w:kern w:val="0"/>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1</w:t>
            </w:r>
          </w:p>
        </w:tc>
        <w:tc>
          <w:tcPr>
            <w:tcW w:w="9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 xml:space="preserve">套 </w:t>
            </w:r>
          </w:p>
        </w:tc>
        <w:tc>
          <w:tcPr>
            <w:tcW w:w="9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position w:val="-6"/>
                <w:sz w:val="24"/>
                <w:szCs w:val="24"/>
                <w:highlight w:val="none"/>
              </w:rPr>
            </w:pPr>
          </w:p>
        </w:tc>
      </w:tr>
      <w:tr>
        <w:tblPrEx>
          <w:tblCellMar>
            <w:top w:w="0" w:type="dxa"/>
            <w:left w:w="0" w:type="dxa"/>
            <w:bottom w:w="0" w:type="dxa"/>
            <w:right w:w="0" w:type="dxa"/>
          </w:tblCellMar>
        </w:tblPrEx>
        <w:trPr>
          <w:cantSplit/>
          <w:trHeight w:val="624" w:hRule="atLeast"/>
          <w:jc w:val="center"/>
        </w:trPr>
        <w:tc>
          <w:tcPr>
            <w:tcW w:w="10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auto"/>
                <w:position w:val="-6"/>
                <w:sz w:val="24"/>
                <w:szCs w:val="24"/>
                <w:highlight w:val="none"/>
              </w:rPr>
            </w:pPr>
            <w:r>
              <w:rPr>
                <w:rFonts w:hint="eastAsia" w:ascii="宋体" w:hAnsi="宋体" w:cs="宋体"/>
                <w:color w:val="auto"/>
                <w:position w:val="-6"/>
                <w:sz w:val="24"/>
                <w:szCs w:val="24"/>
                <w:highlight w:val="none"/>
              </w:rPr>
              <w:t>6</w:t>
            </w:r>
          </w:p>
        </w:tc>
        <w:tc>
          <w:tcPr>
            <w:tcW w:w="255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仿宋"/>
                <w:color w:val="auto"/>
                <w:kern w:val="0"/>
                <w:sz w:val="24"/>
                <w:szCs w:val="24"/>
                <w:highlight w:val="none"/>
              </w:rPr>
            </w:pPr>
            <w:r>
              <w:rPr>
                <w:rFonts w:hint="eastAsia" w:ascii="宋体" w:hAnsi="宋体" w:cs="宋体"/>
                <w:color w:val="auto"/>
                <w:sz w:val="24"/>
                <w:szCs w:val="24"/>
                <w:highlight w:val="none"/>
              </w:rPr>
              <w:t>系统运营支持服务费</w:t>
            </w:r>
          </w:p>
        </w:tc>
        <w:tc>
          <w:tcPr>
            <w:tcW w:w="18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仿宋"/>
                <w:color w:val="auto"/>
                <w:kern w:val="0"/>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仿宋"/>
                <w:color w:val="auto"/>
                <w:kern w:val="0"/>
                <w:sz w:val="24"/>
                <w:szCs w:val="24"/>
                <w:highlight w:val="none"/>
              </w:rPr>
            </w:pPr>
            <w:r>
              <w:rPr>
                <w:rFonts w:hint="eastAsia" w:ascii="宋体" w:hAnsi="宋体" w:cs="仿宋"/>
                <w:color w:val="auto"/>
                <w:kern w:val="0"/>
                <w:sz w:val="24"/>
                <w:szCs w:val="24"/>
                <w:highlight w:val="none"/>
              </w:rPr>
              <w:t>1</w:t>
            </w:r>
          </w:p>
        </w:tc>
        <w:tc>
          <w:tcPr>
            <w:tcW w:w="9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项</w:t>
            </w:r>
          </w:p>
        </w:tc>
        <w:tc>
          <w:tcPr>
            <w:tcW w:w="9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position w:val="-6"/>
                <w:sz w:val="24"/>
                <w:szCs w:val="24"/>
                <w:highlight w:val="none"/>
              </w:rPr>
            </w:pPr>
          </w:p>
        </w:tc>
      </w:tr>
    </w:tbl>
    <w:p>
      <w:pPr>
        <w:rPr>
          <w:rFonts w:hint="eastAsia" w:ascii="宋体" w:hAnsi="宋体"/>
          <w:b/>
          <w:color w:val="auto"/>
          <w:sz w:val="24"/>
          <w:highlight w:val="none"/>
          <w:lang w:val="en-US" w:eastAsia="zh-CN"/>
        </w:rPr>
      </w:pPr>
    </w:p>
    <w:p>
      <w:pPr>
        <w:spacing w:line="360" w:lineRule="auto"/>
        <w:rPr>
          <w:rFonts w:ascii="宋体" w:hAnsi="宋体"/>
          <w:b/>
          <w:color w:val="auto"/>
          <w:sz w:val="24"/>
          <w:highlight w:val="none"/>
        </w:rPr>
      </w:pPr>
      <w:r>
        <w:rPr>
          <w:rFonts w:hint="eastAsia" w:ascii="宋体" w:hAnsi="宋体"/>
          <w:b/>
          <w:color w:val="auto"/>
          <w:sz w:val="24"/>
          <w:highlight w:val="none"/>
          <w:lang w:val="en-US" w:eastAsia="zh-CN"/>
        </w:rPr>
        <w:t>2、</w:t>
      </w:r>
      <w:r>
        <w:rPr>
          <w:rFonts w:hint="eastAsia" w:ascii="宋体" w:hAnsi="宋体"/>
          <w:b/>
          <w:color w:val="auto"/>
          <w:sz w:val="24"/>
          <w:highlight w:val="none"/>
        </w:rPr>
        <w:t>技术需求</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6022"/>
        <w:gridCol w:w="696"/>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33" w:type="pct"/>
            <w:noWrap/>
            <w:vAlign w:val="center"/>
          </w:tcPr>
          <w:p>
            <w:pPr>
              <w:widowControl/>
              <w:jc w:val="center"/>
              <w:textAlignment w:val="center"/>
              <w:rPr>
                <w:rFonts w:hint="eastAsia" w:ascii="宋体" w:hAnsi="宋体" w:eastAsia="宋体" w:cs="宋体"/>
                <w:b/>
                <w:bCs/>
                <w:color w:val="auto"/>
                <w:sz w:val="24"/>
                <w:szCs w:val="24"/>
                <w:highlight w:val="none"/>
              </w:rPr>
            </w:pPr>
            <w:r>
              <w:rPr>
                <w:rStyle w:val="965"/>
                <w:rFonts w:hint="eastAsia" w:ascii="宋体" w:hAnsi="宋体" w:eastAsia="宋体" w:cs="宋体"/>
                <w:color w:val="auto"/>
                <w:sz w:val="24"/>
                <w:szCs w:val="24"/>
                <w:highlight w:val="none"/>
              </w:rPr>
              <w:t>序号</w:t>
            </w:r>
          </w:p>
        </w:tc>
        <w:tc>
          <w:tcPr>
            <w:tcW w:w="658" w:type="pct"/>
            <w:noWrap/>
            <w:vAlign w:val="center"/>
          </w:tcPr>
          <w:p>
            <w:pPr>
              <w:widowControl/>
              <w:jc w:val="center"/>
              <w:textAlignment w:val="center"/>
              <w:rPr>
                <w:rFonts w:hint="eastAsia" w:ascii="宋体" w:hAnsi="宋体" w:eastAsia="宋体" w:cs="宋体"/>
                <w:b/>
                <w:bCs/>
                <w:color w:val="auto"/>
                <w:sz w:val="24"/>
                <w:szCs w:val="24"/>
                <w:highlight w:val="none"/>
              </w:rPr>
            </w:pPr>
            <w:r>
              <w:rPr>
                <w:rStyle w:val="965"/>
                <w:rFonts w:hint="eastAsia" w:ascii="宋体" w:hAnsi="宋体" w:eastAsia="宋体" w:cs="宋体"/>
                <w:color w:val="auto"/>
                <w:sz w:val="24"/>
                <w:szCs w:val="24"/>
                <w:highlight w:val="none"/>
              </w:rPr>
              <w:t>设备名称</w:t>
            </w:r>
          </w:p>
        </w:tc>
        <w:tc>
          <w:tcPr>
            <w:tcW w:w="3318" w:type="pct"/>
            <w:noWrap w:val="0"/>
            <w:vAlign w:val="center"/>
          </w:tcPr>
          <w:p>
            <w:pPr>
              <w:widowControl/>
              <w:jc w:val="center"/>
              <w:textAlignment w:val="center"/>
              <w:rPr>
                <w:rFonts w:hint="eastAsia" w:ascii="宋体" w:hAnsi="宋体" w:eastAsia="宋体" w:cs="宋体"/>
                <w:b/>
                <w:bCs/>
                <w:color w:val="auto"/>
                <w:sz w:val="24"/>
                <w:szCs w:val="24"/>
                <w:highlight w:val="none"/>
              </w:rPr>
            </w:pPr>
            <w:r>
              <w:rPr>
                <w:rStyle w:val="965"/>
                <w:rFonts w:hint="eastAsia" w:ascii="宋体" w:hAnsi="宋体" w:eastAsia="宋体" w:cs="宋体"/>
                <w:color w:val="auto"/>
                <w:sz w:val="24"/>
                <w:szCs w:val="24"/>
                <w:highlight w:val="none"/>
              </w:rPr>
              <w:t>具体参数</w:t>
            </w:r>
          </w:p>
        </w:tc>
        <w:tc>
          <w:tcPr>
            <w:tcW w:w="335" w:type="pct"/>
            <w:noWrap/>
            <w:vAlign w:val="center"/>
          </w:tcPr>
          <w:p>
            <w:pPr>
              <w:widowControl/>
              <w:jc w:val="center"/>
              <w:textAlignment w:val="center"/>
              <w:rPr>
                <w:rFonts w:hint="eastAsia" w:ascii="宋体" w:hAnsi="宋体" w:eastAsia="宋体" w:cs="宋体"/>
                <w:b/>
                <w:bCs/>
                <w:color w:val="auto"/>
                <w:sz w:val="24"/>
                <w:szCs w:val="24"/>
                <w:highlight w:val="none"/>
              </w:rPr>
            </w:pPr>
            <w:r>
              <w:rPr>
                <w:rStyle w:val="965"/>
                <w:rFonts w:hint="eastAsia" w:ascii="宋体" w:hAnsi="宋体" w:eastAsia="宋体" w:cs="宋体"/>
                <w:color w:val="auto"/>
                <w:sz w:val="24"/>
                <w:szCs w:val="24"/>
                <w:highlight w:val="none"/>
              </w:rPr>
              <w:t>数量</w:t>
            </w:r>
          </w:p>
        </w:tc>
        <w:tc>
          <w:tcPr>
            <w:tcW w:w="354" w:type="pct"/>
            <w:noWrap/>
            <w:vAlign w:val="center"/>
          </w:tcPr>
          <w:p>
            <w:pPr>
              <w:widowControl/>
              <w:jc w:val="center"/>
              <w:textAlignment w:val="center"/>
              <w:rPr>
                <w:rFonts w:hint="eastAsia" w:ascii="宋体" w:hAnsi="宋体" w:eastAsia="宋体" w:cs="宋体"/>
                <w:b/>
                <w:bCs/>
                <w:color w:val="auto"/>
                <w:sz w:val="24"/>
                <w:szCs w:val="24"/>
                <w:highlight w:val="none"/>
              </w:rPr>
            </w:pPr>
            <w:r>
              <w:rPr>
                <w:rStyle w:val="965"/>
                <w:rFonts w:hint="eastAsia" w:ascii="宋体" w:hAnsi="宋体" w:eastAsia="宋体" w:cs="宋体"/>
                <w:color w:val="auto"/>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33" w:type="pct"/>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58" w:type="pct"/>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智慧管理平台</w:t>
            </w:r>
          </w:p>
        </w:tc>
        <w:tc>
          <w:tcPr>
            <w:tcW w:w="3318" w:type="pct"/>
            <w:noWrap w:val="0"/>
            <w:vAlign w:val="center"/>
          </w:tcPr>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1.支持多种客户端应用，包含Web端、手机APP（IOS、Android）。</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2.系统功能</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2.1.具备Web端的平台显示、具备实时数据查看、远程控制、报警弹窗提示、参数设置修改等；</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2.2.苹果和安卓APP，具备实时数据查看、远程控制、定时控制、功率最大设定、报警弹窗提示、电量计量及漏电自检等功能；</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2.3.并发用户数与系统性能：性能设计满足项目针对该系统在用户数，响应速度，系统在线并发等性能的需要：</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平均响应速度：全系统按照在标准软硬件环境下允许至少200用户操作，50人并发访问流量；</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业务操作交易平均响应时间小于3秒钟；</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复杂查询类平均响应时间小于5秒；</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统计分析类平均响应时间小于1分钟；</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容量和吞吐量：系统应支持每个子系统至少50用户的同时并发；</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2.4.需稳定、可靠、安全、实用。信息传递灵活快捷，人机界面友好，图表生成灵活美观，输出、输入方便，检索、查询简单快捷。</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3.安全与身份认证</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3.1.文件存取和系统功能要进行权限控制；</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3.2.提供从系统级安全到应用层安全的各级防护措施，最大限度地防止非法入侵和操作，保证数据安全；</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3.3.系统必须针对不同岗位实现相关业务内容的权限管理，包括数据的收集、修改、查询、统计等操作；</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3.4.具备用户行为的安全审计和防抵赖能力，提供帮助系统安全管理的安全报表。</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4.系统稳定性</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4.1.避免由于单点故障或系统的升级而影响整个系统的正常运行；</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4.2.支持7*24小时不间断服务。单次系统故障响应时间，严重故障不得超过1小时，一般故障不超过2小时；</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4.3.满足网络不稳定、后台压力较大等特殊情况下，保证软件正常运行。因软件系统自身原因宕机次数每年需少于2次；</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4.4.在系统发生失效的情况下，系统应容易重建规定的性能级别并恢复受直接影响的数据；</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4.5.当系统在高负荷运转或出现故障，进入异步工作模式时，必须采用可靠的机制，保证数据的零丢失。</w:t>
            </w:r>
          </w:p>
          <w:p>
            <w:pPr>
              <w:widowControl/>
              <w:textAlignment w:val="center"/>
              <w:rPr>
                <w:rFonts w:hint="eastAsia" w:ascii="宋体" w:hAnsi="宋体" w:eastAsia="宋体" w:cs="宋体"/>
                <w:color w:val="auto"/>
                <w:sz w:val="24"/>
                <w:szCs w:val="24"/>
                <w:highlight w:val="none"/>
              </w:rPr>
            </w:pPr>
            <w:r>
              <w:rPr>
                <w:rFonts w:hint="eastAsia" w:ascii="宋体" w:hAnsi="宋体" w:cs="宋体"/>
                <w:color w:val="auto"/>
                <w:kern w:val="0"/>
                <w:sz w:val="24"/>
                <w:highlight w:val="none"/>
              </w:rPr>
              <w:t>◆</w:t>
            </w:r>
            <w:r>
              <w:rPr>
                <w:rFonts w:hint="eastAsia" w:ascii="宋体" w:hAnsi="宋体" w:eastAsia="宋体" w:cs="宋体"/>
                <w:color w:val="auto"/>
                <w:sz w:val="24"/>
                <w:szCs w:val="24"/>
                <w:highlight w:val="none"/>
              </w:rPr>
              <w:t>5.须出具公安部安全与警用电子产品质量检测中心出具的软件测试报告。</w:t>
            </w:r>
          </w:p>
          <w:p>
            <w:pPr>
              <w:widowControl/>
              <w:textAlignment w:val="center"/>
              <w:rPr>
                <w:rFonts w:hint="eastAsia" w:ascii="宋体" w:hAnsi="宋体" w:eastAsia="宋体" w:cs="宋体"/>
                <w:color w:val="auto"/>
                <w:sz w:val="24"/>
                <w:szCs w:val="24"/>
                <w:highlight w:val="none"/>
              </w:rPr>
            </w:pPr>
            <w:r>
              <w:rPr>
                <w:rFonts w:hint="eastAsia" w:ascii="宋体" w:hAnsi="宋体" w:cs="宋体"/>
                <w:color w:val="auto"/>
                <w:kern w:val="0"/>
                <w:sz w:val="24"/>
                <w:highlight w:val="none"/>
              </w:rPr>
              <w:t>◆</w:t>
            </w:r>
            <w:r>
              <w:rPr>
                <w:rFonts w:hint="eastAsia" w:ascii="宋体" w:hAnsi="宋体" w:eastAsia="宋体" w:cs="宋体"/>
                <w:color w:val="auto"/>
                <w:sz w:val="24"/>
                <w:szCs w:val="24"/>
                <w:highlight w:val="none"/>
              </w:rPr>
              <w:t>6.须出具电力物联网软件著作登记证书及测试报告。</w:t>
            </w:r>
          </w:p>
        </w:tc>
        <w:tc>
          <w:tcPr>
            <w:tcW w:w="335" w:type="pct"/>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4" w:type="pct"/>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333" w:type="pct"/>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58" w:type="pct"/>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智慧微断</w:t>
            </w:r>
          </w:p>
        </w:tc>
        <w:tc>
          <w:tcPr>
            <w:tcW w:w="3318" w:type="pct"/>
            <w:noWrap w:val="0"/>
            <w:vAlign w:val="center"/>
          </w:tcPr>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1.额定电流：63A；带功率因数检测。</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2.额定电压AC230V</w:t>
            </w:r>
          </w:p>
          <w:p>
            <w:pPr>
              <w:widowControl/>
              <w:textAlignment w:val="center"/>
              <w:rPr>
                <w:rFonts w:hint="eastAsia" w:ascii="宋体" w:hAnsi="宋体" w:eastAsia="宋体" w:cs="宋体"/>
                <w:color w:val="auto"/>
                <w:sz w:val="24"/>
                <w:szCs w:val="24"/>
                <w:highlight w:val="none"/>
              </w:rPr>
            </w:pPr>
            <w:r>
              <w:rPr>
                <w:rFonts w:hint="eastAsia" w:ascii="宋体" w:hAnsi="宋体" w:cs="宋体"/>
                <w:color w:val="auto"/>
                <w:kern w:val="0"/>
                <w:sz w:val="24"/>
                <w:highlight w:val="none"/>
              </w:rPr>
              <w:t>◆</w:t>
            </w:r>
            <w:r>
              <w:rPr>
                <w:rFonts w:hint="eastAsia" w:ascii="宋体" w:hAnsi="宋体" w:eastAsia="宋体" w:cs="宋体"/>
                <w:color w:val="auto"/>
                <w:sz w:val="24"/>
                <w:szCs w:val="24"/>
                <w:highlight w:val="none"/>
              </w:rPr>
              <w:t>3.分断能力Icn：≥10000A（需出3C或CQC检测报告，须加盖</w:t>
            </w:r>
            <w:r>
              <w:rPr>
                <w:rFonts w:hint="eastAsia" w:ascii="宋体" w:hAnsi="宋体" w:cs="宋体"/>
                <w:color w:val="auto"/>
                <w:sz w:val="24"/>
                <w:szCs w:val="24"/>
                <w:highlight w:val="none"/>
                <w:lang w:eastAsia="zh-CN"/>
              </w:rPr>
              <w:t>公章</w:t>
            </w:r>
            <w:r>
              <w:rPr>
                <w:rFonts w:hint="eastAsia" w:ascii="宋体" w:hAnsi="宋体" w:eastAsia="宋体" w:cs="宋体"/>
                <w:color w:val="auto"/>
                <w:sz w:val="24"/>
                <w:szCs w:val="24"/>
                <w:highlight w:val="none"/>
              </w:rPr>
              <w:t>）</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4.电气寿命：操作循环次数20000次（每个操作循环包括一次闭合操作以及接着的一次断开操作）；</w:t>
            </w:r>
          </w:p>
          <w:p>
            <w:pPr>
              <w:widowControl/>
              <w:textAlignment w:val="center"/>
              <w:rPr>
                <w:rFonts w:hint="eastAsia" w:ascii="宋体" w:hAnsi="宋体" w:eastAsia="宋体" w:cs="宋体"/>
                <w:color w:val="auto"/>
                <w:sz w:val="24"/>
                <w:szCs w:val="24"/>
                <w:highlight w:val="none"/>
              </w:rPr>
            </w:pPr>
            <w:r>
              <w:rPr>
                <w:rFonts w:hint="eastAsia" w:ascii="宋体" w:hAnsi="宋体" w:cs="宋体"/>
                <w:color w:val="auto"/>
                <w:kern w:val="0"/>
                <w:sz w:val="24"/>
                <w:highlight w:val="none"/>
              </w:rPr>
              <w:t>◆</w:t>
            </w:r>
            <w:r>
              <w:rPr>
                <w:rFonts w:hint="eastAsia" w:ascii="宋体" w:hAnsi="宋体" w:eastAsia="宋体" w:cs="宋体"/>
                <w:color w:val="auto"/>
                <w:sz w:val="24"/>
                <w:szCs w:val="24"/>
                <w:highlight w:val="none"/>
              </w:rPr>
              <w:t>5.机械寿命：操作循环次数（每个操作循环包括一次闭合操作以及接着的一次断开操作）30000次，提供具有CNAS标识的第三方检测报告（须加盖</w:t>
            </w:r>
            <w:r>
              <w:rPr>
                <w:rFonts w:hint="eastAsia" w:ascii="宋体" w:hAnsi="宋体" w:cs="宋体"/>
                <w:color w:val="auto"/>
                <w:sz w:val="24"/>
                <w:szCs w:val="24"/>
                <w:highlight w:val="none"/>
                <w:lang w:eastAsia="zh-CN"/>
              </w:rPr>
              <w:t>公章</w:t>
            </w:r>
            <w:r>
              <w:rPr>
                <w:rFonts w:hint="eastAsia" w:ascii="宋体" w:hAnsi="宋体" w:eastAsia="宋体" w:cs="宋体"/>
                <w:color w:val="auto"/>
                <w:sz w:val="24"/>
                <w:szCs w:val="24"/>
                <w:highlight w:val="none"/>
              </w:rPr>
              <w:t>）；</w:t>
            </w:r>
          </w:p>
          <w:p>
            <w:pPr>
              <w:widowControl/>
              <w:textAlignment w:val="center"/>
              <w:rPr>
                <w:rFonts w:hint="eastAsia" w:ascii="宋体" w:hAnsi="宋体" w:eastAsia="宋体" w:cs="宋体"/>
                <w:color w:val="auto"/>
                <w:sz w:val="24"/>
                <w:szCs w:val="24"/>
                <w:highlight w:val="none"/>
              </w:rPr>
            </w:pPr>
            <w:r>
              <w:rPr>
                <w:rFonts w:hint="eastAsia" w:ascii="宋体" w:hAnsi="宋体" w:cs="宋体"/>
                <w:color w:val="auto"/>
                <w:kern w:val="0"/>
                <w:sz w:val="24"/>
                <w:highlight w:val="none"/>
              </w:rPr>
              <w:t>◆</w:t>
            </w:r>
            <w:r>
              <w:rPr>
                <w:rFonts w:hint="eastAsia" w:ascii="宋体" w:hAnsi="宋体" w:eastAsia="宋体" w:cs="宋体"/>
                <w:color w:val="auto"/>
                <w:sz w:val="24"/>
                <w:szCs w:val="24"/>
                <w:highlight w:val="none"/>
              </w:rPr>
              <w:t>6.支持电压补偿告警：设备加载电压超过或低于设定值时，设备触发补偿告警，该告警不断开断路器；提供具有CNAS标识的第三方检测报告（须加盖</w:t>
            </w:r>
            <w:r>
              <w:rPr>
                <w:rFonts w:hint="eastAsia" w:ascii="宋体" w:hAnsi="宋体" w:cs="宋体"/>
                <w:color w:val="auto"/>
                <w:sz w:val="24"/>
                <w:szCs w:val="24"/>
                <w:highlight w:val="none"/>
                <w:lang w:eastAsia="zh-CN"/>
              </w:rPr>
              <w:t>公章</w:t>
            </w:r>
            <w:r>
              <w:rPr>
                <w:rFonts w:hint="eastAsia" w:ascii="宋体" w:hAnsi="宋体" w:eastAsia="宋体" w:cs="宋体"/>
                <w:color w:val="auto"/>
                <w:sz w:val="24"/>
                <w:szCs w:val="24"/>
                <w:highlight w:val="none"/>
              </w:rPr>
              <w:t>）；</w:t>
            </w:r>
          </w:p>
          <w:p>
            <w:pPr>
              <w:widowControl/>
              <w:textAlignment w:val="center"/>
              <w:rPr>
                <w:rFonts w:hint="eastAsia" w:ascii="宋体" w:hAnsi="宋体" w:eastAsia="宋体" w:cs="宋体"/>
                <w:color w:val="auto"/>
                <w:sz w:val="24"/>
                <w:szCs w:val="24"/>
                <w:highlight w:val="none"/>
              </w:rPr>
            </w:pPr>
            <w:r>
              <w:rPr>
                <w:rFonts w:hint="eastAsia" w:ascii="宋体" w:hAnsi="宋体" w:cs="宋体"/>
                <w:color w:val="auto"/>
                <w:kern w:val="0"/>
                <w:sz w:val="24"/>
                <w:highlight w:val="none"/>
              </w:rPr>
              <w:t>◆</w:t>
            </w:r>
            <w:r>
              <w:rPr>
                <w:rFonts w:hint="eastAsia" w:ascii="宋体" w:hAnsi="宋体" w:eastAsia="宋体" w:cs="宋体"/>
                <w:color w:val="auto"/>
                <w:sz w:val="24"/>
                <w:szCs w:val="24"/>
                <w:highlight w:val="none"/>
              </w:rPr>
              <w:t>7.支持电流补偿告警：设备加载电流超过或低于设定值时，设备触发补偿告警，该告警不断开断路器；提供具有CNAS标识的第三方检测报告（须加盖</w:t>
            </w:r>
            <w:r>
              <w:rPr>
                <w:rFonts w:hint="eastAsia" w:ascii="宋体" w:hAnsi="宋体" w:cs="宋体"/>
                <w:color w:val="auto"/>
                <w:sz w:val="24"/>
                <w:szCs w:val="24"/>
                <w:highlight w:val="none"/>
                <w:lang w:eastAsia="zh-CN"/>
              </w:rPr>
              <w:t>公章</w:t>
            </w:r>
            <w:r>
              <w:rPr>
                <w:rFonts w:hint="eastAsia" w:ascii="宋体" w:hAnsi="宋体" w:eastAsia="宋体" w:cs="宋体"/>
                <w:color w:val="auto"/>
                <w:sz w:val="24"/>
                <w:szCs w:val="24"/>
                <w:highlight w:val="none"/>
              </w:rPr>
              <w:t>）；</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8.支持使能开启及关闭：设备具备安全保护功能，除国标强制要求保护外，其余保护功能均可关闭，也可设置仅报警不保护；</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9.手自一体控制：手机遥控，可以按键自动控制，也可通过手动推杆控制通断；</w:t>
            </w:r>
          </w:p>
          <w:p>
            <w:pPr>
              <w:widowControl/>
              <w:textAlignment w:val="center"/>
              <w:rPr>
                <w:rFonts w:hint="eastAsia" w:ascii="宋体" w:hAnsi="宋体" w:eastAsia="宋体" w:cs="宋体"/>
                <w:color w:val="auto"/>
                <w:sz w:val="24"/>
                <w:szCs w:val="24"/>
                <w:highlight w:val="none"/>
              </w:rPr>
            </w:pPr>
            <w:r>
              <w:rPr>
                <w:rFonts w:hint="eastAsia" w:ascii="宋体" w:hAnsi="宋体" w:cs="宋体"/>
                <w:color w:val="auto"/>
                <w:kern w:val="0"/>
                <w:sz w:val="24"/>
                <w:highlight w:val="none"/>
              </w:rPr>
              <w:t>◆</w:t>
            </w:r>
            <w:r>
              <w:rPr>
                <w:rFonts w:hint="eastAsia" w:ascii="宋体" w:hAnsi="宋体" w:eastAsia="宋体" w:cs="宋体"/>
                <w:color w:val="auto"/>
                <w:sz w:val="24"/>
                <w:szCs w:val="24"/>
                <w:highlight w:val="none"/>
              </w:rPr>
              <w:t>10.检修功能：设备在手动分闸后，无需进行“加锁”设置，设备无法通过远程控制进行合闸操作。提供具有CNAS标识的第三方检测报告（须加盖</w:t>
            </w:r>
            <w:r>
              <w:rPr>
                <w:rFonts w:hint="eastAsia" w:ascii="宋体" w:hAnsi="宋体" w:cs="宋体"/>
                <w:color w:val="auto"/>
                <w:sz w:val="24"/>
                <w:szCs w:val="24"/>
                <w:highlight w:val="none"/>
                <w:lang w:eastAsia="zh-CN"/>
              </w:rPr>
              <w:t>公章</w:t>
            </w:r>
            <w:r>
              <w:rPr>
                <w:rFonts w:hint="eastAsia" w:ascii="宋体" w:hAnsi="宋体" w:eastAsia="宋体" w:cs="宋体"/>
                <w:color w:val="auto"/>
                <w:sz w:val="24"/>
                <w:szCs w:val="24"/>
                <w:highlight w:val="none"/>
              </w:rPr>
              <w:t>）</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11.具有远程/本地断路器锁定功能：断路器无论是远程还是本地执行了断路器锁定程序，本地及远程均无法合闸；</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12.外壳防火等级：智能断路器外壳采用PA66+玻璃纤维等高规格防火阻燃材料、防火等级达到V0级；                                              </w:t>
            </w:r>
            <w:r>
              <w:rPr>
                <w:rFonts w:hint="eastAsia" w:ascii="宋体" w:hAnsi="宋体" w:cs="宋体"/>
                <w:color w:val="auto"/>
                <w:kern w:val="0"/>
                <w:sz w:val="24"/>
                <w:highlight w:val="none"/>
              </w:rPr>
              <w:t>◆</w:t>
            </w:r>
            <w:r>
              <w:rPr>
                <w:rFonts w:hint="eastAsia" w:ascii="宋体" w:hAnsi="宋体" w:eastAsia="宋体" w:cs="宋体"/>
                <w:color w:val="auto"/>
                <w:sz w:val="24"/>
                <w:szCs w:val="24"/>
                <w:highlight w:val="none"/>
              </w:rPr>
              <w:t>13.产品需提供地市级以上计量质量检测研究院出具的产品功能检测报告（须体现远程控制功能及功率限定功能）（须加盖</w:t>
            </w:r>
            <w:r>
              <w:rPr>
                <w:rFonts w:hint="eastAsia" w:ascii="宋体" w:hAnsi="宋体" w:cs="宋体"/>
                <w:color w:val="auto"/>
                <w:sz w:val="24"/>
                <w:szCs w:val="24"/>
                <w:highlight w:val="none"/>
                <w:lang w:eastAsia="zh-CN"/>
              </w:rPr>
              <w:t>公章</w:t>
            </w:r>
            <w:r>
              <w:rPr>
                <w:rFonts w:hint="eastAsia" w:ascii="宋体" w:hAnsi="宋体" w:eastAsia="宋体" w:cs="宋体"/>
                <w:color w:val="auto"/>
                <w:sz w:val="24"/>
                <w:szCs w:val="24"/>
                <w:highlight w:val="none"/>
              </w:rPr>
              <w:t>）</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14.工作环境温度：-20℃~70℃；</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15.安装地点海拔：不高于2000m；</w:t>
            </w:r>
          </w:p>
          <w:p>
            <w:pPr>
              <w:widowControl/>
              <w:textAlignment w:val="center"/>
              <w:rPr>
                <w:rFonts w:hint="eastAsia" w:ascii="宋体" w:hAnsi="宋体" w:eastAsia="宋体" w:cs="宋体"/>
                <w:color w:val="auto"/>
                <w:sz w:val="24"/>
                <w:szCs w:val="24"/>
                <w:highlight w:val="none"/>
              </w:rPr>
            </w:pPr>
            <w:r>
              <w:rPr>
                <w:rFonts w:hint="eastAsia" w:ascii="宋体" w:hAnsi="宋体" w:cs="宋体"/>
                <w:color w:val="auto"/>
                <w:kern w:val="0"/>
                <w:sz w:val="24"/>
                <w:highlight w:val="none"/>
              </w:rPr>
              <w:t>◆</w:t>
            </w:r>
            <w:r>
              <w:rPr>
                <w:rFonts w:hint="eastAsia" w:ascii="宋体" w:hAnsi="宋体" w:eastAsia="宋体" w:cs="宋体"/>
                <w:color w:val="auto"/>
                <w:sz w:val="24"/>
                <w:szCs w:val="24"/>
                <w:highlight w:val="none"/>
              </w:rPr>
              <w:t>16.产品需提供中国环境标识的产品认证证书（须加盖</w:t>
            </w:r>
            <w:r>
              <w:rPr>
                <w:rFonts w:hint="eastAsia" w:ascii="宋体" w:hAnsi="宋体" w:cs="宋体"/>
                <w:color w:val="auto"/>
                <w:sz w:val="24"/>
                <w:szCs w:val="24"/>
                <w:highlight w:val="none"/>
                <w:lang w:eastAsia="zh-CN"/>
              </w:rPr>
              <w:t>公章</w:t>
            </w:r>
            <w:r>
              <w:rPr>
                <w:rFonts w:hint="eastAsia" w:ascii="宋体" w:hAnsi="宋体" w:eastAsia="宋体" w:cs="宋体"/>
                <w:color w:val="auto"/>
                <w:sz w:val="24"/>
                <w:szCs w:val="24"/>
                <w:highlight w:val="none"/>
              </w:rPr>
              <w:t>）</w:t>
            </w:r>
          </w:p>
        </w:tc>
        <w:tc>
          <w:tcPr>
            <w:tcW w:w="335" w:type="pct"/>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858</w:t>
            </w:r>
          </w:p>
        </w:tc>
        <w:tc>
          <w:tcPr>
            <w:tcW w:w="354" w:type="pct"/>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5" w:hRule="atLeast"/>
        </w:trPr>
        <w:tc>
          <w:tcPr>
            <w:tcW w:w="333" w:type="pct"/>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58" w:type="pct"/>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电源及防浪涌模组</w:t>
            </w:r>
          </w:p>
        </w:tc>
        <w:tc>
          <w:tcPr>
            <w:tcW w:w="3318" w:type="pct"/>
            <w:noWrap w:val="0"/>
            <w:vAlign w:val="center"/>
          </w:tcPr>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1.输入电压：AC100V-250V；</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2.输入电流：100mA;</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3.额定输出电压/输出电流：DC12V/DC2A</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4.外形尺寸H*W*D：94*36*70 mm；</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5.防雷击浪涌保护最大泄放电流：20kA；</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6.工作环境温度：-20℃~70℃；</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7.安装地点海拔：不高于2000m；</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8.安装方式：导轨卡口。</w:t>
            </w:r>
          </w:p>
          <w:p>
            <w:pPr>
              <w:widowControl/>
              <w:textAlignment w:val="center"/>
              <w:rPr>
                <w:rFonts w:hint="eastAsia" w:ascii="宋体" w:hAnsi="宋体" w:eastAsia="宋体" w:cs="宋体"/>
                <w:color w:val="auto"/>
                <w:sz w:val="24"/>
                <w:szCs w:val="24"/>
                <w:highlight w:val="none"/>
              </w:rPr>
            </w:pPr>
            <w:r>
              <w:rPr>
                <w:rFonts w:hint="eastAsia" w:ascii="宋体" w:hAnsi="宋体" w:cs="宋体"/>
                <w:color w:val="auto"/>
                <w:kern w:val="0"/>
                <w:sz w:val="24"/>
                <w:highlight w:val="none"/>
              </w:rPr>
              <w:t>◆</w:t>
            </w:r>
            <w:r>
              <w:rPr>
                <w:rFonts w:hint="eastAsia" w:ascii="宋体" w:hAnsi="宋体" w:eastAsia="宋体" w:cs="宋体"/>
                <w:color w:val="auto"/>
                <w:sz w:val="24"/>
                <w:szCs w:val="24"/>
                <w:highlight w:val="none"/>
              </w:rPr>
              <w:t>9.需符合GB4943.1标准并提供具有CNAS标识的第三方质检报告（须加盖</w:t>
            </w:r>
            <w:r>
              <w:rPr>
                <w:rFonts w:hint="eastAsia" w:ascii="宋体" w:hAnsi="宋体" w:cs="宋体"/>
                <w:color w:val="auto"/>
                <w:sz w:val="24"/>
                <w:szCs w:val="24"/>
                <w:highlight w:val="none"/>
                <w:lang w:eastAsia="zh-CN"/>
              </w:rPr>
              <w:t>公章</w:t>
            </w:r>
            <w:r>
              <w:rPr>
                <w:rFonts w:hint="eastAsia" w:ascii="宋体" w:hAnsi="宋体" w:eastAsia="宋体" w:cs="宋体"/>
                <w:color w:val="auto"/>
                <w:sz w:val="24"/>
                <w:szCs w:val="24"/>
                <w:highlight w:val="none"/>
              </w:rPr>
              <w:t>）</w:t>
            </w:r>
          </w:p>
          <w:p>
            <w:pPr>
              <w:widowControl/>
              <w:textAlignment w:val="center"/>
              <w:rPr>
                <w:rFonts w:hint="eastAsia" w:ascii="宋体" w:hAnsi="宋体" w:eastAsia="宋体" w:cs="宋体"/>
                <w:color w:val="auto"/>
                <w:sz w:val="24"/>
                <w:szCs w:val="24"/>
                <w:highlight w:val="none"/>
              </w:rPr>
            </w:pPr>
            <w:r>
              <w:rPr>
                <w:rFonts w:hint="eastAsia" w:ascii="宋体" w:hAnsi="宋体" w:cs="宋体"/>
                <w:color w:val="auto"/>
                <w:kern w:val="0"/>
                <w:sz w:val="24"/>
                <w:highlight w:val="none"/>
              </w:rPr>
              <w:t>◆</w:t>
            </w:r>
            <w:r>
              <w:rPr>
                <w:rFonts w:hint="eastAsia" w:ascii="宋体" w:hAnsi="宋体" w:eastAsia="宋体" w:cs="宋体"/>
                <w:color w:val="auto"/>
                <w:sz w:val="24"/>
                <w:szCs w:val="24"/>
                <w:highlight w:val="none"/>
              </w:rPr>
              <w:t>10.需满足CQC产品认证。（须加盖</w:t>
            </w:r>
            <w:r>
              <w:rPr>
                <w:rFonts w:hint="eastAsia" w:ascii="宋体" w:hAnsi="宋体" w:cs="宋体"/>
                <w:color w:val="auto"/>
                <w:sz w:val="24"/>
                <w:szCs w:val="24"/>
                <w:highlight w:val="none"/>
                <w:lang w:eastAsia="zh-CN"/>
              </w:rPr>
              <w:t>公章</w:t>
            </w:r>
            <w:r>
              <w:rPr>
                <w:rFonts w:hint="eastAsia" w:ascii="宋体" w:hAnsi="宋体" w:eastAsia="宋体" w:cs="宋体"/>
                <w:color w:val="auto"/>
                <w:sz w:val="24"/>
                <w:szCs w:val="24"/>
                <w:highlight w:val="none"/>
              </w:rPr>
              <w:t>）</w:t>
            </w:r>
          </w:p>
        </w:tc>
        <w:tc>
          <w:tcPr>
            <w:tcW w:w="335" w:type="pct"/>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p>
        </w:tc>
        <w:tc>
          <w:tcPr>
            <w:tcW w:w="354" w:type="pct"/>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7" w:hRule="atLeast"/>
        </w:trPr>
        <w:tc>
          <w:tcPr>
            <w:tcW w:w="333" w:type="pct"/>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58" w:type="pct"/>
            <w:noWrap w:val="0"/>
            <w:vAlign w:val="center"/>
          </w:tcPr>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4G通讯模块(全网通）</w:t>
            </w:r>
          </w:p>
        </w:tc>
        <w:tc>
          <w:tcPr>
            <w:tcW w:w="3318" w:type="pct"/>
            <w:noWrap w:val="0"/>
            <w:vAlign w:val="center"/>
          </w:tcPr>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1.支持双向互联网通讯；</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2.可支持以太网、WIFI、2G、4G、NB-IoT、RS485等多种通信方式；</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3.支持向下串口通讯功能、数据计算分析存储功能；</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4.定时控制功能：内置时钟芯片，脱网状态下可保证时间的精准性，真正实现各线路定时开关变得轻松、准确；</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5.工作电压：DC12V；</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6.工作环境温度：-20℃~70℃；</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7.外形尺寸H*W*D：94*18*70 mm；</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8.安装地点海拔：不高于2000m；</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9.安装方式：导轨卡口。</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10.设备外壳材料应采用高规格防火阻燃材料、防火等级达到V0级</w:t>
            </w:r>
          </w:p>
          <w:p>
            <w:pPr>
              <w:widowControl/>
              <w:textAlignment w:val="center"/>
              <w:rPr>
                <w:rFonts w:hint="eastAsia" w:ascii="宋体" w:hAnsi="宋体" w:eastAsia="宋体" w:cs="宋体"/>
                <w:color w:val="auto"/>
                <w:sz w:val="24"/>
                <w:szCs w:val="24"/>
                <w:highlight w:val="none"/>
              </w:rPr>
            </w:pPr>
            <w:r>
              <w:rPr>
                <w:rFonts w:hint="eastAsia" w:ascii="宋体" w:hAnsi="宋体" w:cs="宋体"/>
                <w:color w:val="auto"/>
                <w:kern w:val="0"/>
                <w:sz w:val="24"/>
                <w:highlight w:val="none"/>
              </w:rPr>
              <w:t>◆</w:t>
            </w:r>
            <w:r>
              <w:rPr>
                <w:rFonts w:hint="eastAsia" w:ascii="宋体" w:hAnsi="宋体" w:eastAsia="宋体" w:cs="宋体"/>
                <w:color w:val="auto"/>
                <w:sz w:val="24"/>
                <w:szCs w:val="24"/>
                <w:highlight w:val="none"/>
              </w:rPr>
              <w:t>11.设备须提供工信部的《电信设备进网使用批文》（须加盖</w:t>
            </w:r>
            <w:r>
              <w:rPr>
                <w:rFonts w:hint="eastAsia" w:ascii="宋体" w:hAnsi="宋体" w:cs="宋体"/>
                <w:color w:val="auto"/>
                <w:sz w:val="24"/>
                <w:szCs w:val="24"/>
                <w:highlight w:val="none"/>
                <w:lang w:eastAsia="zh-CN"/>
              </w:rPr>
              <w:t>公章</w:t>
            </w:r>
            <w:r>
              <w:rPr>
                <w:rFonts w:hint="eastAsia" w:ascii="宋体" w:hAnsi="宋体" w:eastAsia="宋体" w:cs="宋体"/>
                <w:color w:val="auto"/>
                <w:sz w:val="24"/>
                <w:szCs w:val="24"/>
                <w:highlight w:val="none"/>
              </w:rPr>
              <w:t>）</w:t>
            </w:r>
          </w:p>
          <w:p>
            <w:pPr>
              <w:widowControl/>
              <w:textAlignment w:val="center"/>
              <w:rPr>
                <w:rFonts w:hint="eastAsia" w:ascii="宋体" w:hAnsi="宋体" w:eastAsia="宋体" w:cs="宋体"/>
                <w:color w:val="auto"/>
                <w:sz w:val="24"/>
                <w:szCs w:val="24"/>
                <w:highlight w:val="none"/>
              </w:rPr>
            </w:pPr>
            <w:r>
              <w:rPr>
                <w:rFonts w:hint="eastAsia" w:ascii="宋体" w:hAnsi="宋体" w:cs="宋体"/>
                <w:color w:val="auto"/>
                <w:kern w:val="0"/>
                <w:sz w:val="24"/>
                <w:highlight w:val="none"/>
              </w:rPr>
              <w:t>◆</w:t>
            </w:r>
            <w:r>
              <w:rPr>
                <w:rFonts w:hint="eastAsia" w:ascii="宋体" w:hAnsi="宋体" w:eastAsia="宋体" w:cs="宋体"/>
                <w:color w:val="auto"/>
                <w:sz w:val="24"/>
                <w:szCs w:val="24"/>
                <w:highlight w:val="none"/>
              </w:rPr>
              <w:t>12.设备须提供工信部的《无线电发射设备核准证》（须加盖</w:t>
            </w:r>
            <w:r>
              <w:rPr>
                <w:rFonts w:hint="eastAsia" w:ascii="宋体" w:hAnsi="宋体" w:cs="宋体"/>
                <w:color w:val="auto"/>
                <w:sz w:val="24"/>
                <w:szCs w:val="24"/>
                <w:highlight w:val="none"/>
                <w:lang w:eastAsia="zh-CN"/>
              </w:rPr>
              <w:t>公章</w:t>
            </w:r>
            <w:r>
              <w:rPr>
                <w:rFonts w:hint="eastAsia" w:ascii="宋体" w:hAnsi="宋体" w:eastAsia="宋体" w:cs="宋体"/>
                <w:color w:val="auto"/>
                <w:sz w:val="24"/>
                <w:szCs w:val="24"/>
                <w:highlight w:val="none"/>
              </w:rPr>
              <w:t>）</w:t>
            </w:r>
          </w:p>
          <w:p>
            <w:pPr>
              <w:widowControl/>
              <w:textAlignment w:val="center"/>
              <w:rPr>
                <w:rFonts w:hint="eastAsia" w:ascii="宋体" w:hAnsi="宋体" w:eastAsia="宋体" w:cs="宋体"/>
                <w:color w:val="auto"/>
                <w:sz w:val="24"/>
                <w:szCs w:val="24"/>
                <w:highlight w:val="none"/>
              </w:rPr>
            </w:pPr>
            <w:r>
              <w:rPr>
                <w:rFonts w:hint="eastAsia" w:ascii="宋体" w:hAnsi="宋体" w:cs="宋体"/>
                <w:color w:val="auto"/>
                <w:kern w:val="0"/>
                <w:sz w:val="24"/>
                <w:highlight w:val="none"/>
              </w:rPr>
              <w:t>◆</w:t>
            </w:r>
            <w:r>
              <w:rPr>
                <w:rFonts w:hint="eastAsia" w:ascii="宋体" w:hAnsi="宋体" w:eastAsia="宋体" w:cs="宋体"/>
                <w:color w:val="auto"/>
                <w:sz w:val="24"/>
                <w:szCs w:val="24"/>
                <w:highlight w:val="none"/>
              </w:rPr>
              <w:t>13.4G通讯模块须提供CCC认证证书（须加盖</w:t>
            </w:r>
            <w:r>
              <w:rPr>
                <w:rFonts w:hint="eastAsia" w:ascii="宋体" w:hAnsi="宋体" w:cs="宋体"/>
                <w:color w:val="auto"/>
                <w:sz w:val="24"/>
                <w:szCs w:val="24"/>
                <w:highlight w:val="none"/>
                <w:lang w:eastAsia="zh-CN"/>
              </w:rPr>
              <w:t>公章</w:t>
            </w:r>
            <w:r>
              <w:rPr>
                <w:rFonts w:hint="eastAsia" w:ascii="宋体" w:hAnsi="宋体" w:eastAsia="宋体" w:cs="宋体"/>
                <w:color w:val="auto"/>
                <w:sz w:val="24"/>
                <w:szCs w:val="24"/>
                <w:highlight w:val="none"/>
              </w:rPr>
              <w:t>）</w:t>
            </w:r>
          </w:p>
        </w:tc>
        <w:tc>
          <w:tcPr>
            <w:tcW w:w="335" w:type="pct"/>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p>
        </w:tc>
        <w:tc>
          <w:tcPr>
            <w:tcW w:w="354" w:type="pct"/>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2" w:hRule="atLeast"/>
        </w:trPr>
        <w:tc>
          <w:tcPr>
            <w:tcW w:w="333" w:type="pct"/>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58" w:type="pct"/>
            <w:noWrap w:val="0"/>
            <w:vAlign w:val="center"/>
          </w:tcPr>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智能电箱</w:t>
            </w:r>
          </w:p>
        </w:tc>
        <w:tc>
          <w:tcPr>
            <w:tcW w:w="3318" w:type="pct"/>
            <w:noWrap w:val="0"/>
            <w:vAlign w:val="center"/>
          </w:tcPr>
          <w:p>
            <w:pPr>
              <w:widowControl/>
              <w:numPr>
                <w:ilvl w:val="0"/>
                <w:numId w:val="2"/>
              </w:num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适用于室内，交流 50Hz，额定电压 220V 的建筑物及类似场所的工业、商业、民用建筑及基础设施等领域低压终端配电提供安全用电保护和用电数据监管。</w:t>
            </w:r>
          </w:p>
          <w:p>
            <w:pPr>
              <w:widowControl/>
              <w:numPr>
                <w:ilvl w:val="0"/>
                <w:numId w:val="2"/>
              </w:num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系统配置：服务器系统配置：A40I-H四核处理器，2GB内存，32G存储；人机交互系统配置：10寸1280 x 800分辨率触控屏；数据库系统配置：sqlite数据库；外接端口配置：RJ45、wifi、4G；采用一体式设计终端，实现监测及控制网内电气状况，监测设备不低于3000台，可在局域网情况下独立运行；</w:t>
            </w:r>
          </w:p>
          <w:p>
            <w:pPr>
              <w:widowControl/>
              <w:textAlignment w:val="center"/>
              <w:rPr>
                <w:rFonts w:hint="eastAsia" w:ascii="宋体" w:hAnsi="宋体" w:eastAsia="宋体" w:cs="宋体"/>
                <w:color w:val="auto"/>
                <w:sz w:val="24"/>
                <w:szCs w:val="24"/>
                <w:highlight w:val="none"/>
              </w:rPr>
            </w:pPr>
            <w:r>
              <w:rPr>
                <w:rFonts w:hint="eastAsia" w:ascii="宋体" w:hAnsi="宋体" w:cs="宋体"/>
                <w:color w:val="auto"/>
                <w:kern w:val="0"/>
                <w:sz w:val="24"/>
                <w:highlight w:val="none"/>
              </w:rPr>
              <w:t>◆</w:t>
            </w:r>
            <w:r>
              <w:rPr>
                <w:rFonts w:hint="eastAsia" w:ascii="宋体" w:hAnsi="宋体" w:eastAsia="宋体" w:cs="宋体"/>
                <w:color w:val="auto"/>
                <w:sz w:val="24"/>
                <w:szCs w:val="24"/>
                <w:highlight w:val="none"/>
              </w:rPr>
              <w:t>3.警铃报警：设备具备警铃报警功能，当用电回路出现警情时，设备可本地弹窗告警信息并发出警铃报警，同时可设定为语音报警通知，语音报警包含报警设备ID、报警设备回路、报警时间、报警内容；提供具有CNAS标识的第三方检测报告（须加盖</w:t>
            </w:r>
            <w:r>
              <w:rPr>
                <w:rFonts w:hint="eastAsia" w:ascii="宋体" w:hAnsi="宋体" w:cs="宋体"/>
                <w:color w:val="auto"/>
                <w:sz w:val="24"/>
                <w:szCs w:val="24"/>
                <w:highlight w:val="none"/>
                <w:lang w:eastAsia="zh-CN"/>
              </w:rPr>
              <w:t>公章</w:t>
            </w:r>
            <w:r>
              <w:rPr>
                <w:rFonts w:hint="eastAsia" w:ascii="宋体" w:hAnsi="宋体" w:eastAsia="宋体" w:cs="宋体"/>
                <w:color w:val="auto"/>
                <w:sz w:val="24"/>
                <w:szCs w:val="24"/>
                <w:highlight w:val="none"/>
              </w:rPr>
              <w:t>）</w:t>
            </w:r>
          </w:p>
        </w:tc>
        <w:tc>
          <w:tcPr>
            <w:tcW w:w="335" w:type="pct"/>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4" w:type="pct"/>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333" w:type="pct"/>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58" w:type="pct"/>
            <w:noWrap w:val="0"/>
            <w:vAlign w:val="center"/>
          </w:tcPr>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系统运营支持服务费</w:t>
            </w:r>
          </w:p>
        </w:tc>
        <w:tc>
          <w:tcPr>
            <w:tcW w:w="3318" w:type="pct"/>
            <w:noWrap w:val="0"/>
            <w:vAlign w:val="center"/>
          </w:tcPr>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一年</w:t>
            </w:r>
          </w:p>
        </w:tc>
        <w:tc>
          <w:tcPr>
            <w:tcW w:w="335" w:type="pct"/>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4" w:type="pct"/>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r>
    </w:tbl>
    <w:p>
      <w:pPr>
        <w:spacing w:line="360" w:lineRule="auto"/>
        <w:ind w:left="0" w:leftChars="0" w:firstLine="422" w:firstLineChars="175"/>
        <w:rPr>
          <w:rFonts w:hint="eastAsia" w:ascii="宋体" w:hAnsi="宋体"/>
          <w:b/>
          <w:color w:val="auto"/>
          <w:sz w:val="24"/>
          <w:highlight w:val="none"/>
        </w:rPr>
      </w:pPr>
    </w:p>
    <w:p>
      <w:pPr>
        <w:spacing w:line="360" w:lineRule="auto"/>
        <w:rPr>
          <w:rFonts w:hint="eastAsia" w:ascii="宋体" w:hAnsi="宋体"/>
          <w:b/>
          <w:color w:val="auto"/>
          <w:sz w:val="24"/>
          <w:highlight w:val="none"/>
        </w:rPr>
      </w:pPr>
      <w:r>
        <w:rPr>
          <w:rFonts w:hint="eastAsia" w:ascii="宋体" w:hAnsi="宋体"/>
          <w:b/>
          <w:color w:val="auto"/>
          <w:sz w:val="24"/>
          <w:highlight w:val="none"/>
        </w:rPr>
        <w:t>2、商务需求</w:t>
      </w:r>
    </w:p>
    <w:p>
      <w:pPr>
        <w:spacing w:line="360" w:lineRule="auto"/>
        <w:ind w:left="0" w:leftChars="0" w:firstLine="420" w:firstLineChars="175"/>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、交货时间及地点</w:t>
      </w:r>
    </w:p>
    <w:p>
      <w:pPr>
        <w:spacing w:line="360" w:lineRule="auto"/>
        <w:ind w:left="0" w:leftChars="0" w:firstLine="420" w:firstLineChars="175"/>
        <w:rPr>
          <w:rFonts w:hint="eastAsia" w:ascii="宋体" w:hAnsi="宋体"/>
          <w:color w:val="auto"/>
          <w:sz w:val="24"/>
          <w:highlight w:val="none"/>
        </w:rPr>
      </w:pPr>
      <w:r>
        <w:rPr>
          <w:rFonts w:hint="eastAsia" w:ascii="宋体" w:hAnsi="宋体"/>
          <w:color w:val="auto"/>
          <w:sz w:val="24"/>
          <w:highlight w:val="none"/>
        </w:rPr>
        <w:t>▲(1)成交人应在合同签订后</w:t>
      </w:r>
      <w:r>
        <w:rPr>
          <w:rFonts w:ascii="宋体" w:hAnsi="宋体"/>
          <w:color w:val="auto"/>
          <w:sz w:val="24"/>
          <w:highlight w:val="none"/>
        </w:rPr>
        <w:t>15</w:t>
      </w:r>
      <w:r>
        <w:rPr>
          <w:rFonts w:hint="eastAsia" w:ascii="宋体" w:hAnsi="宋体"/>
          <w:color w:val="auto"/>
          <w:sz w:val="24"/>
          <w:highlight w:val="none"/>
        </w:rPr>
        <w:t>日历天内供货、安装、调试完成。</w:t>
      </w:r>
    </w:p>
    <w:p>
      <w:pPr>
        <w:spacing w:line="360" w:lineRule="auto"/>
        <w:ind w:left="0" w:leftChars="0" w:firstLine="420" w:firstLineChars="175"/>
        <w:rPr>
          <w:rFonts w:hint="eastAsia" w:ascii="宋体" w:hAnsi="宋体"/>
          <w:color w:val="auto"/>
          <w:sz w:val="24"/>
          <w:highlight w:val="none"/>
        </w:rPr>
      </w:pPr>
      <w:r>
        <w:rPr>
          <w:rFonts w:hint="eastAsia" w:ascii="宋体" w:hAnsi="宋体"/>
          <w:color w:val="auto"/>
          <w:sz w:val="24"/>
          <w:highlight w:val="none"/>
        </w:rPr>
        <w:t>(2)交货地点：交易发起人指定地点。</w:t>
      </w:r>
    </w:p>
    <w:p>
      <w:pPr>
        <w:spacing w:line="360" w:lineRule="auto"/>
        <w:ind w:left="0" w:leftChars="0" w:firstLine="420" w:firstLineChars="175"/>
        <w:rPr>
          <w:rFonts w:hint="eastAsia" w:ascii="宋体" w:hAnsi="宋体"/>
          <w:color w:val="auto"/>
          <w:sz w:val="24"/>
          <w:highlight w:val="none"/>
        </w:rPr>
      </w:pPr>
      <w:r>
        <w:rPr>
          <w:rFonts w:hint="eastAsia" w:ascii="宋体" w:hAnsi="宋体"/>
          <w:color w:val="auto"/>
          <w:sz w:val="24"/>
          <w:highlight w:val="none"/>
        </w:rPr>
        <w:t>(3)成交人提供的成交物品，必须符合本公开竞争文件要求、原包装送达交易发起人；如有不符，交易发起人可以无条件退货，所造成的损失由成交人承担。更换后的零部件质保期按更换日起顺延。</w:t>
      </w:r>
    </w:p>
    <w:p>
      <w:pPr>
        <w:spacing w:line="360" w:lineRule="auto"/>
        <w:ind w:left="0" w:leftChars="0" w:firstLine="420" w:firstLineChars="175"/>
        <w:rPr>
          <w:rFonts w:hint="eastAsia" w:ascii="宋体" w:hAnsi="宋体"/>
          <w:color w:val="auto"/>
          <w:sz w:val="24"/>
          <w:highlight w:val="none"/>
        </w:rPr>
      </w:pPr>
      <w:r>
        <w:rPr>
          <w:rFonts w:hint="eastAsia" w:ascii="宋体" w:hAnsi="宋体"/>
          <w:color w:val="auto"/>
          <w:sz w:val="24"/>
          <w:highlight w:val="none"/>
        </w:rPr>
        <w:t>2、质保期及售后技术服务要求</w:t>
      </w:r>
    </w:p>
    <w:p>
      <w:pPr>
        <w:spacing w:line="360" w:lineRule="auto"/>
        <w:ind w:left="0" w:leftChars="0" w:firstLine="420" w:firstLineChars="175"/>
        <w:rPr>
          <w:rFonts w:hint="eastAsia" w:ascii="宋体" w:hAnsi="宋体"/>
          <w:color w:val="auto"/>
          <w:sz w:val="24"/>
          <w:highlight w:val="none"/>
        </w:rPr>
      </w:pPr>
      <w:r>
        <w:rPr>
          <w:rFonts w:hint="eastAsia" w:ascii="宋体" w:hAnsi="宋体"/>
          <w:color w:val="auto"/>
          <w:sz w:val="24"/>
          <w:highlight w:val="none"/>
        </w:rPr>
        <w:t xml:space="preserve"> ▲(1)产品质保期：</w:t>
      </w:r>
      <w:r>
        <w:rPr>
          <w:rFonts w:ascii="宋体" w:hAnsi="宋体"/>
          <w:color w:val="auto"/>
          <w:sz w:val="24"/>
          <w:highlight w:val="none"/>
        </w:rPr>
        <w:t>3</w:t>
      </w:r>
      <w:r>
        <w:rPr>
          <w:rFonts w:hint="eastAsia" w:ascii="宋体" w:hAnsi="宋体"/>
          <w:color w:val="auto"/>
          <w:sz w:val="24"/>
          <w:highlight w:val="none"/>
        </w:rPr>
        <w:t>年，系统运营支持服务费：</w:t>
      </w:r>
      <w:r>
        <w:rPr>
          <w:rFonts w:ascii="宋体" w:hAnsi="宋体"/>
          <w:color w:val="auto"/>
          <w:sz w:val="24"/>
          <w:highlight w:val="none"/>
        </w:rPr>
        <w:t>1</w:t>
      </w:r>
      <w:r>
        <w:rPr>
          <w:rFonts w:hint="eastAsia" w:ascii="宋体" w:hAnsi="宋体"/>
          <w:color w:val="auto"/>
          <w:sz w:val="24"/>
          <w:highlight w:val="none"/>
        </w:rPr>
        <w:t>年。</w:t>
      </w:r>
    </w:p>
    <w:p>
      <w:pPr>
        <w:spacing w:line="360" w:lineRule="auto"/>
        <w:ind w:left="0" w:leftChars="0" w:firstLine="420" w:firstLineChars="175"/>
        <w:rPr>
          <w:rFonts w:hint="eastAsia" w:ascii="宋体" w:hAnsi="宋体"/>
          <w:color w:val="auto"/>
          <w:sz w:val="24"/>
          <w:highlight w:val="none"/>
        </w:rPr>
      </w:pPr>
      <w:r>
        <w:rPr>
          <w:rFonts w:hint="eastAsia" w:ascii="宋体" w:hAnsi="宋体"/>
          <w:color w:val="auto"/>
          <w:sz w:val="24"/>
          <w:highlight w:val="none"/>
        </w:rPr>
        <w:t xml:space="preserve"> (2)质量保证期内提供免费上门维护、升级服务，如设备出现故障，供货单位在接到电话后，立即响应，2小时以内到现场处理，</w:t>
      </w:r>
      <w:r>
        <w:rPr>
          <w:rFonts w:ascii="宋体" w:hAnsi="宋体"/>
          <w:color w:val="auto"/>
          <w:sz w:val="24"/>
          <w:highlight w:val="none"/>
        </w:rPr>
        <w:t>6</w:t>
      </w:r>
      <w:r>
        <w:rPr>
          <w:rFonts w:hint="eastAsia" w:ascii="宋体" w:hAnsi="宋体"/>
          <w:color w:val="auto"/>
          <w:sz w:val="24"/>
          <w:highlight w:val="none"/>
        </w:rPr>
        <w:t>小时内修复，现场不能修复的，必须采取无偿提供采购物品的备用件或整机等措施，保证用户单位的正常使用。</w:t>
      </w:r>
    </w:p>
    <w:p>
      <w:pPr>
        <w:spacing w:line="360" w:lineRule="auto"/>
        <w:ind w:left="0" w:leftChars="0" w:firstLine="420" w:firstLineChars="175"/>
        <w:rPr>
          <w:rFonts w:hint="eastAsia" w:ascii="宋体" w:hAnsi="宋体"/>
          <w:color w:val="auto"/>
          <w:sz w:val="24"/>
          <w:highlight w:val="none"/>
        </w:rPr>
      </w:pPr>
      <w:r>
        <w:rPr>
          <w:rFonts w:hint="eastAsia" w:ascii="宋体" w:hAnsi="宋体"/>
          <w:color w:val="auto"/>
          <w:sz w:val="24"/>
          <w:highlight w:val="none"/>
        </w:rPr>
        <w:t>(3)供应商应提供技术支持方案，内容由供应商根据实际选择以下要点：服务机构（维保点）的地址、人员状况、维修能力、联系方式、营业执照、公司资质材料、相关案例等。</w:t>
      </w:r>
    </w:p>
    <w:p>
      <w:pPr>
        <w:spacing w:line="360" w:lineRule="auto"/>
        <w:ind w:left="0" w:leftChars="0" w:firstLine="420" w:firstLineChars="175"/>
        <w:rPr>
          <w:rFonts w:hint="eastAsia" w:ascii="宋体" w:hAnsi="宋体"/>
          <w:color w:val="auto"/>
          <w:sz w:val="24"/>
          <w:highlight w:val="none"/>
        </w:rPr>
      </w:pPr>
      <w:r>
        <w:rPr>
          <w:rFonts w:hint="eastAsia" w:ascii="宋体" w:hAnsi="宋体"/>
          <w:color w:val="auto"/>
          <w:sz w:val="24"/>
          <w:highlight w:val="none"/>
        </w:rPr>
        <w:t>(4)完整准确地表述原厂家的标准售后服务承诺（范围、标准及期限等）、供应商可能增加的服务承诺等。</w:t>
      </w:r>
    </w:p>
    <w:p>
      <w:pPr>
        <w:spacing w:line="360" w:lineRule="auto"/>
        <w:ind w:left="0" w:leftChars="0" w:firstLine="420" w:firstLineChars="175"/>
        <w:rPr>
          <w:rFonts w:hint="eastAsia" w:ascii="宋体" w:hAnsi="宋体"/>
          <w:color w:val="auto"/>
          <w:sz w:val="24"/>
          <w:highlight w:val="none"/>
        </w:rPr>
      </w:pPr>
      <w:r>
        <w:rPr>
          <w:rFonts w:hint="eastAsia" w:ascii="宋体" w:hAnsi="宋体"/>
          <w:color w:val="auto"/>
          <w:sz w:val="24"/>
          <w:highlight w:val="none"/>
        </w:rPr>
        <w:t>(5)明示服务承诺可能涉及的前提设定和费用，否则将被认为是无条件和免费的。</w:t>
      </w:r>
    </w:p>
    <w:p>
      <w:pPr>
        <w:spacing w:line="360" w:lineRule="auto"/>
        <w:ind w:left="0" w:leftChars="0" w:firstLine="422" w:firstLineChars="175"/>
        <w:rPr>
          <w:rFonts w:hint="eastAsia" w:ascii="宋体" w:hAnsi="宋体"/>
          <w:b/>
          <w:color w:val="auto"/>
          <w:sz w:val="24"/>
          <w:highlight w:val="none"/>
        </w:rPr>
      </w:pPr>
      <w:r>
        <w:rPr>
          <w:rFonts w:hint="eastAsia" w:ascii="宋体" w:hAnsi="宋体"/>
          <w:b/>
          <w:color w:val="auto"/>
          <w:sz w:val="24"/>
          <w:highlight w:val="none"/>
        </w:rPr>
        <w:t>3、项目实施计划</w:t>
      </w:r>
    </w:p>
    <w:p>
      <w:pPr>
        <w:spacing w:line="360" w:lineRule="auto"/>
        <w:ind w:left="0" w:leftChars="0" w:firstLine="420" w:firstLineChars="175"/>
        <w:rPr>
          <w:rFonts w:hint="eastAsia" w:ascii="宋体" w:hAnsi="宋体"/>
          <w:color w:val="auto"/>
          <w:sz w:val="24"/>
          <w:highlight w:val="none"/>
        </w:rPr>
      </w:pPr>
      <w:r>
        <w:rPr>
          <w:rFonts w:hint="eastAsia" w:ascii="宋体" w:hAnsi="宋体"/>
          <w:color w:val="auto"/>
          <w:sz w:val="24"/>
          <w:highlight w:val="none"/>
        </w:rPr>
        <w:t>项目实施的组织工作方案：工作时间进度表、工作程序或步骤、管理和协调方法、送货方案等。</w:t>
      </w:r>
    </w:p>
    <w:p>
      <w:pPr>
        <w:spacing w:line="360" w:lineRule="auto"/>
        <w:ind w:left="0" w:leftChars="0" w:firstLine="420" w:firstLineChars="175"/>
        <w:rPr>
          <w:rFonts w:hint="eastAsia" w:ascii="宋体" w:hAnsi="宋体"/>
          <w:b/>
          <w:color w:val="auto"/>
          <w:sz w:val="24"/>
          <w:highlight w:val="none"/>
        </w:rPr>
      </w:pPr>
      <w:r>
        <w:rPr>
          <w:rFonts w:hint="eastAsia" w:ascii="宋体" w:hAnsi="宋体"/>
          <w:color w:val="auto"/>
          <w:sz w:val="24"/>
          <w:highlight w:val="none"/>
        </w:rPr>
        <w:t>▲</w:t>
      </w:r>
      <w:r>
        <w:rPr>
          <w:rFonts w:hint="eastAsia" w:ascii="宋体" w:hAnsi="宋体"/>
          <w:b/>
          <w:color w:val="auto"/>
          <w:sz w:val="24"/>
          <w:highlight w:val="none"/>
        </w:rPr>
        <w:t>4、付款方式</w:t>
      </w:r>
    </w:p>
    <w:p>
      <w:pPr>
        <w:spacing w:line="360" w:lineRule="auto"/>
        <w:ind w:left="0" w:leftChars="0" w:firstLine="420" w:firstLineChars="175"/>
        <w:rPr>
          <w:rFonts w:hint="eastAsia" w:ascii="宋体" w:hAnsi="宋体"/>
          <w:color w:val="auto"/>
          <w:sz w:val="24"/>
          <w:highlight w:val="none"/>
        </w:rPr>
      </w:pPr>
      <w:r>
        <w:rPr>
          <w:rFonts w:hint="eastAsia" w:ascii="宋体" w:hAnsi="宋体"/>
          <w:color w:val="auto"/>
          <w:sz w:val="24"/>
          <w:highlight w:val="none"/>
        </w:rPr>
        <w:t>（1）合同签订后成交供应商支付总价的</w:t>
      </w:r>
      <w:r>
        <w:rPr>
          <w:rFonts w:ascii="宋体" w:hAnsi="宋体"/>
          <w:color w:val="auto"/>
          <w:sz w:val="24"/>
          <w:highlight w:val="none"/>
        </w:rPr>
        <w:t>2</w:t>
      </w:r>
      <w:r>
        <w:rPr>
          <w:rFonts w:hint="eastAsia" w:ascii="宋体" w:hAnsi="宋体"/>
          <w:color w:val="auto"/>
          <w:sz w:val="24"/>
          <w:highlight w:val="none"/>
        </w:rPr>
        <w:t>%作为履约保证金。</w:t>
      </w:r>
    </w:p>
    <w:p>
      <w:pPr>
        <w:spacing w:line="360" w:lineRule="auto"/>
        <w:ind w:left="0" w:leftChars="0" w:firstLine="420" w:firstLineChars="175"/>
        <w:rPr>
          <w:rFonts w:hint="eastAsia" w:ascii="宋体" w:hAnsi="宋体"/>
          <w:color w:val="auto"/>
          <w:sz w:val="24"/>
          <w:highlight w:val="none"/>
        </w:rPr>
      </w:pPr>
      <w:r>
        <w:rPr>
          <w:rFonts w:hint="eastAsia" w:ascii="宋体" w:hAnsi="宋体"/>
          <w:color w:val="auto"/>
          <w:sz w:val="24"/>
          <w:highlight w:val="none"/>
        </w:rPr>
        <w:t>（2）履约保证缴纳后，交易发起人向成交人支付合同价的40%，作为预付款。</w:t>
      </w:r>
    </w:p>
    <w:p>
      <w:pPr>
        <w:spacing w:line="360" w:lineRule="auto"/>
        <w:ind w:left="0" w:leftChars="0" w:firstLine="420" w:firstLineChars="175"/>
        <w:rPr>
          <w:rFonts w:hint="eastAsia" w:ascii="宋体" w:hAnsi="宋体"/>
          <w:color w:val="auto"/>
          <w:sz w:val="24"/>
          <w:highlight w:val="none"/>
        </w:rPr>
      </w:pPr>
      <w:r>
        <w:rPr>
          <w:rFonts w:hint="eastAsia" w:ascii="宋体" w:hAnsi="宋体"/>
          <w:color w:val="auto"/>
          <w:sz w:val="24"/>
          <w:highlight w:val="none"/>
        </w:rPr>
        <w:t>（3）设备安装调试完成后，交易发起人向成交人支付至合同价的60%。</w:t>
      </w:r>
    </w:p>
    <w:p>
      <w:pPr>
        <w:spacing w:line="360" w:lineRule="auto"/>
        <w:ind w:left="0" w:leftChars="0" w:firstLine="420" w:firstLineChars="175"/>
        <w:rPr>
          <w:rFonts w:ascii="宋体" w:hAnsi="宋体" w:cs="宋体"/>
          <w:color w:val="auto"/>
          <w:sz w:val="24"/>
          <w:highlight w:val="none"/>
        </w:rPr>
      </w:pPr>
      <w:r>
        <w:rPr>
          <w:rFonts w:hint="eastAsia" w:ascii="宋体" w:hAnsi="宋体"/>
          <w:color w:val="auto"/>
          <w:sz w:val="24"/>
          <w:highlight w:val="none"/>
        </w:rPr>
        <w:t>（4）项目验收完成后，交易发起人向成交人支付至合同款的100%。同时交易发起人无息退还履约保证金。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1、除公开竞争文件注</w:t>
      </w:r>
      <w:r>
        <w:rPr>
          <w:rFonts w:hint="eastAsia" w:ascii="宋体" w:hAnsi="宋体" w:eastAsia="宋体" w:cs="宋体"/>
          <w:color w:val="auto"/>
          <w:sz w:val="24"/>
          <w:szCs w:val="24"/>
          <w:highlight w:val="none"/>
          <w:lang w:eastAsia="zh-CN"/>
        </w:rPr>
        <w:t>明</w:t>
      </w:r>
      <w:r>
        <w:rPr>
          <w:rFonts w:hint="eastAsia" w:ascii="宋体" w:hAnsi="宋体" w:eastAsia="宋体" w:cs="宋体"/>
          <w:color w:val="auto"/>
          <w:sz w:val="24"/>
          <w:szCs w:val="24"/>
          <w:highlight w:val="none"/>
        </w:rPr>
        <w:t>的参考品牌外，欢迎其它能满足本项目技术需求且性能与所注品牌相当的产品参与。</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2、如有附图，仅作参考。</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3、公开竞争文件中打▲内容为实质性要求，不允许有负偏离，否则将以涉及无效响应条款作无效响应。</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供应商所提供的货物、服务须与</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承诺一致，不得以次充好、偷工减料，若在项目验收中发现有上述情况，将向有关部门举报，根据相关规定进行处理。</w:t>
      </w:r>
    </w:p>
    <w:p>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16" w:name="_Toc184313283"/>
      <w:bookmarkEnd w:id="16"/>
      <w:bookmarkStart w:id="17" w:name="_Toc184314432"/>
      <w:bookmarkEnd w:id="17"/>
      <w:bookmarkStart w:id="18" w:name="_Toc184312085"/>
      <w:bookmarkEnd w:id="18"/>
      <w:bookmarkStart w:id="19" w:name="_Toc184313243"/>
      <w:bookmarkEnd w:id="19"/>
      <w:bookmarkStart w:id="20" w:name="_Toc184312092"/>
      <w:bookmarkEnd w:id="20"/>
      <w:bookmarkStart w:id="21" w:name="_Toc184308097"/>
      <w:bookmarkEnd w:id="21"/>
      <w:bookmarkStart w:id="22" w:name="_Toc184314451"/>
      <w:bookmarkEnd w:id="22"/>
      <w:bookmarkStart w:id="23" w:name="_Toc184314453"/>
      <w:bookmarkEnd w:id="23"/>
      <w:bookmarkStart w:id="24" w:name="_Toc184308106"/>
      <w:bookmarkEnd w:id="24"/>
      <w:bookmarkStart w:id="25" w:name="_Toc184314477"/>
      <w:bookmarkEnd w:id="25"/>
      <w:bookmarkStart w:id="26" w:name="_Toc184314450"/>
      <w:bookmarkEnd w:id="26"/>
      <w:bookmarkStart w:id="27" w:name="_Toc184314465"/>
      <w:bookmarkEnd w:id="27"/>
      <w:bookmarkStart w:id="28" w:name="_Toc184308065"/>
      <w:bookmarkEnd w:id="28"/>
      <w:bookmarkStart w:id="29" w:name="_Toc184314423"/>
      <w:bookmarkEnd w:id="29"/>
      <w:bookmarkStart w:id="30" w:name="_Toc184310331"/>
      <w:bookmarkEnd w:id="30"/>
      <w:bookmarkStart w:id="31" w:name="_Toc184310298"/>
      <w:bookmarkEnd w:id="31"/>
      <w:bookmarkStart w:id="32" w:name="_Toc184308061"/>
      <w:bookmarkEnd w:id="32"/>
      <w:bookmarkStart w:id="33" w:name="_Toc184314436"/>
      <w:bookmarkEnd w:id="33"/>
      <w:bookmarkStart w:id="34" w:name="_Toc184308045"/>
      <w:bookmarkEnd w:id="34"/>
      <w:bookmarkStart w:id="35" w:name="_Toc184314480"/>
      <w:bookmarkEnd w:id="35"/>
      <w:bookmarkStart w:id="36" w:name="_Toc184313262"/>
      <w:bookmarkEnd w:id="36"/>
      <w:bookmarkStart w:id="37" w:name="_Toc184312114"/>
      <w:bookmarkEnd w:id="37"/>
      <w:bookmarkStart w:id="38" w:name="_Toc184308100"/>
      <w:bookmarkEnd w:id="38"/>
      <w:bookmarkStart w:id="39" w:name="_Toc184310332"/>
      <w:bookmarkEnd w:id="39"/>
      <w:bookmarkStart w:id="40" w:name="_Toc184314455"/>
      <w:bookmarkEnd w:id="40"/>
      <w:bookmarkStart w:id="41" w:name="_Toc184314413"/>
      <w:bookmarkEnd w:id="41"/>
      <w:bookmarkStart w:id="42" w:name="_Toc184312139"/>
      <w:bookmarkEnd w:id="42"/>
      <w:bookmarkStart w:id="43" w:name="_Toc184312078"/>
      <w:bookmarkEnd w:id="43"/>
      <w:bookmarkStart w:id="44" w:name="_Toc184308050"/>
      <w:bookmarkEnd w:id="44"/>
      <w:bookmarkStart w:id="45" w:name="_Toc184313280"/>
      <w:bookmarkEnd w:id="45"/>
      <w:bookmarkStart w:id="46" w:name="_Toc184314445"/>
      <w:bookmarkEnd w:id="46"/>
      <w:bookmarkStart w:id="47" w:name="_Toc184310306"/>
      <w:bookmarkEnd w:id="47"/>
      <w:bookmarkStart w:id="48" w:name="_Toc184308083"/>
      <w:bookmarkEnd w:id="48"/>
      <w:bookmarkStart w:id="49" w:name="_Toc184313309"/>
      <w:bookmarkEnd w:id="49"/>
      <w:bookmarkStart w:id="50" w:name="_Toc184314481"/>
      <w:bookmarkEnd w:id="50"/>
      <w:bookmarkStart w:id="51" w:name="_Toc184312119"/>
      <w:bookmarkEnd w:id="51"/>
      <w:bookmarkStart w:id="52" w:name="_Toc184313251"/>
      <w:bookmarkEnd w:id="52"/>
      <w:bookmarkStart w:id="53" w:name="_Toc184312077"/>
      <w:bookmarkEnd w:id="53"/>
      <w:bookmarkStart w:id="54" w:name="_Toc184314434"/>
      <w:bookmarkEnd w:id="54"/>
      <w:bookmarkStart w:id="55" w:name="_Toc184310320"/>
      <w:bookmarkEnd w:id="55"/>
      <w:bookmarkStart w:id="56" w:name="_Toc184314461"/>
      <w:bookmarkEnd w:id="56"/>
      <w:bookmarkStart w:id="57" w:name="_Toc184312104"/>
      <w:bookmarkEnd w:id="57"/>
      <w:bookmarkStart w:id="58" w:name="_Toc184313306"/>
      <w:bookmarkEnd w:id="58"/>
      <w:bookmarkStart w:id="59" w:name="_Toc184310283"/>
      <w:bookmarkEnd w:id="59"/>
      <w:bookmarkStart w:id="60" w:name="_Toc184313255"/>
      <w:bookmarkEnd w:id="60"/>
      <w:bookmarkStart w:id="61" w:name="_Toc184308037"/>
      <w:bookmarkEnd w:id="61"/>
      <w:bookmarkStart w:id="62" w:name="_Toc184313261"/>
      <w:bookmarkEnd w:id="62"/>
      <w:bookmarkStart w:id="63" w:name="_Toc184310290"/>
      <w:bookmarkEnd w:id="63"/>
      <w:bookmarkStart w:id="64" w:name="_Toc184313247"/>
      <w:bookmarkEnd w:id="64"/>
      <w:bookmarkStart w:id="65" w:name="_Toc184314454"/>
      <w:bookmarkEnd w:id="65"/>
      <w:bookmarkStart w:id="66" w:name="_Toc184310277"/>
      <w:bookmarkEnd w:id="66"/>
      <w:bookmarkStart w:id="67" w:name="_Toc184314482"/>
      <w:bookmarkEnd w:id="67"/>
      <w:bookmarkStart w:id="68" w:name="_Toc184308081"/>
      <w:bookmarkEnd w:id="68"/>
      <w:bookmarkStart w:id="69" w:name="_Toc184310284"/>
      <w:bookmarkEnd w:id="69"/>
      <w:bookmarkStart w:id="70" w:name="_Toc184308101"/>
      <w:bookmarkEnd w:id="70"/>
      <w:bookmarkStart w:id="71" w:name="_Toc184310272"/>
      <w:bookmarkEnd w:id="71"/>
      <w:bookmarkStart w:id="72" w:name="_Toc184313281"/>
      <w:bookmarkEnd w:id="72"/>
      <w:bookmarkStart w:id="73" w:name="_Toc184313245"/>
      <w:bookmarkEnd w:id="73"/>
      <w:bookmarkStart w:id="74" w:name="_Toc184312125"/>
      <w:bookmarkEnd w:id="74"/>
      <w:bookmarkStart w:id="75" w:name="_Toc184312083"/>
      <w:bookmarkEnd w:id="75"/>
      <w:bookmarkStart w:id="76" w:name="_Toc184312094"/>
      <w:bookmarkEnd w:id="76"/>
      <w:bookmarkStart w:id="77" w:name="_Toc184312089"/>
      <w:bookmarkEnd w:id="77"/>
      <w:bookmarkStart w:id="78" w:name="_Toc184308099"/>
      <w:bookmarkEnd w:id="78"/>
      <w:bookmarkStart w:id="79" w:name="_Toc184308072"/>
      <w:bookmarkEnd w:id="79"/>
      <w:bookmarkStart w:id="80" w:name="_Toc184313291"/>
      <w:bookmarkEnd w:id="80"/>
      <w:bookmarkStart w:id="81" w:name="_Toc184312110"/>
      <w:bookmarkEnd w:id="81"/>
      <w:bookmarkStart w:id="82" w:name="_Toc184312118"/>
      <w:bookmarkEnd w:id="82"/>
      <w:bookmarkStart w:id="83" w:name="_Toc184312076"/>
      <w:bookmarkEnd w:id="83"/>
      <w:bookmarkStart w:id="84" w:name="_Toc184312116"/>
      <w:bookmarkEnd w:id="84"/>
      <w:bookmarkStart w:id="85" w:name="_Toc184312130"/>
      <w:bookmarkEnd w:id="85"/>
      <w:bookmarkStart w:id="86" w:name="_Toc184312071"/>
      <w:bookmarkEnd w:id="86"/>
      <w:bookmarkStart w:id="87" w:name="_Toc184310325"/>
      <w:bookmarkEnd w:id="87"/>
      <w:bookmarkStart w:id="88" w:name="_Toc184310292"/>
      <w:bookmarkEnd w:id="88"/>
      <w:bookmarkStart w:id="89" w:name="_Toc184312069"/>
      <w:bookmarkEnd w:id="89"/>
      <w:bookmarkStart w:id="90" w:name="_Toc184314426"/>
      <w:bookmarkEnd w:id="90"/>
      <w:bookmarkStart w:id="91" w:name="_Toc184310280"/>
      <w:bookmarkEnd w:id="91"/>
      <w:bookmarkStart w:id="92" w:name="_Toc184312101"/>
      <w:bookmarkEnd w:id="92"/>
      <w:bookmarkStart w:id="93" w:name="_Toc184312068"/>
      <w:bookmarkEnd w:id="93"/>
      <w:bookmarkStart w:id="94" w:name="_Toc184310313"/>
      <w:bookmarkEnd w:id="94"/>
      <w:bookmarkStart w:id="95" w:name="_Toc184312107"/>
      <w:bookmarkEnd w:id="95"/>
      <w:bookmarkStart w:id="96" w:name="_Toc184314414"/>
      <w:bookmarkEnd w:id="96"/>
      <w:bookmarkStart w:id="97" w:name="_Toc184312080"/>
      <w:bookmarkEnd w:id="97"/>
      <w:bookmarkStart w:id="98" w:name="_Toc184308048"/>
      <w:bookmarkEnd w:id="98"/>
      <w:bookmarkStart w:id="99" w:name="_Toc184310274"/>
      <w:bookmarkEnd w:id="99"/>
      <w:bookmarkStart w:id="100" w:name="_Toc184312105"/>
      <w:bookmarkEnd w:id="100"/>
      <w:bookmarkStart w:id="101" w:name="_Toc184310285"/>
      <w:bookmarkEnd w:id="101"/>
      <w:bookmarkStart w:id="102" w:name="_Toc184308092"/>
      <w:bookmarkEnd w:id="102"/>
      <w:bookmarkStart w:id="103" w:name="_Toc184313298"/>
      <w:bookmarkEnd w:id="103"/>
      <w:bookmarkStart w:id="104" w:name="_Toc184312126"/>
      <w:bookmarkEnd w:id="104"/>
      <w:bookmarkStart w:id="105" w:name="_Toc184313284"/>
      <w:bookmarkEnd w:id="105"/>
      <w:bookmarkStart w:id="106" w:name="_Toc184310316"/>
      <w:bookmarkEnd w:id="106"/>
      <w:bookmarkStart w:id="107" w:name="_Toc184310276"/>
      <w:bookmarkEnd w:id="107"/>
      <w:bookmarkStart w:id="108" w:name="_Toc184310303"/>
      <w:bookmarkEnd w:id="108"/>
      <w:bookmarkStart w:id="109" w:name="_Toc184313258"/>
      <w:bookmarkEnd w:id="109"/>
      <w:bookmarkStart w:id="110" w:name="_Toc184308086"/>
      <w:bookmarkEnd w:id="110"/>
      <w:bookmarkStart w:id="111" w:name="_Toc184312098"/>
      <w:bookmarkEnd w:id="111"/>
      <w:bookmarkStart w:id="112" w:name="_Toc184308096"/>
      <w:bookmarkEnd w:id="112"/>
      <w:bookmarkStart w:id="113" w:name="_Toc184308074"/>
      <w:bookmarkEnd w:id="113"/>
      <w:bookmarkStart w:id="114" w:name="_Toc184314442"/>
      <w:bookmarkEnd w:id="114"/>
      <w:bookmarkStart w:id="115" w:name="_Toc184310338"/>
      <w:bookmarkEnd w:id="115"/>
      <w:bookmarkStart w:id="116" w:name="_Toc184310295"/>
      <w:bookmarkEnd w:id="116"/>
      <w:bookmarkStart w:id="117" w:name="_Toc184312138"/>
      <w:bookmarkEnd w:id="117"/>
      <w:bookmarkStart w:id="118" w:name="_Toc184313256"/>
      <w:bookmarkEnd w:id="118"/>
      <w:bookmarkStart w:id="119" w:name="_Toc184308082"/>
      <w:bookmarkEnd w:id="119"/>
      <w:bookmarkStart w:id="120" w:name="_Toc184312115"/>
      <w:bookmarkEnd w:id="120"/>
      <w:bookmarkStart w:id="121" w:name="_Toc184314419"/>
      <w:bookmarkEnd w:id="121"/>
      <w:bookmarkStart w:id="122" w:name="_Toc184310327"/>
      <w:bookmarkEnd w:id="122"/>
      <w:bookmarkStart w:id="123" w:name="_Toc184310281"/>
      <w:bookmarkEnd w:id="123"/>
      <w:bookmarkStart w:id="124" w:name="_Toc184314447"/>
      <w:bookmarkEnd w:id="124"/>
      <w:bookmarkStart w:id="125" w:name="_Toc184310315"/>
      <w:bookmarkEnd w:id="125"/>
      <w:bookmarkStart w:id="126" w:name="_Toc184308038"/>
      <w:bookmarkEnd w:id="126"/>
      <w:bookmarkStart w:id="127" w:name="_Toc184312127"/>
      <w:bookmarkEnd w:id="127"/>
      <w:bookmarkStart w:id="128" w:name="_Toc184310299"/>
      <w:bookmarkEnd w:id="128"/>
      <w:bookmarkStart w:id="129" w:name="_Toc184313297"/>
      <w:bookmarkEnd w:id="129"/>
      <w:bookmarkStart w:id="130" w:name="_Toc184313287"/>
      <w:bookmarkEnd w:id="130"/>
      <w:bookmarkStart w:id="131" w:name="_Toc184312112"/>
      <w:bookmarkEnd w:id="131"/>
      <w:bookmarkStart w:id="132" w:name="_Toc184312088"/>
      <w:bookmarkEnd w:id="132"/>
      <w:bookmarkStart w:id="133" w:name="_Toc184310300"/>
      <w:bookmarkEnd w:id="133"/>
      <w:bookmarkStart w:id="134" w:name="_Toc184312132"/>
      <w:bookmarkEnd w:id="134"/>
      <w:bookmarkStart w:id="135" w:name="_Toc184310324"/>
      <w:bookmarkEnd w:id="135"/>
      <w:bookmarkStart w:id="136" w:name="_Toc184313304"/>
      <w:bookmarkEnd w:id="136"/>
      <w:bookmarkStart w:id="137" w:name="_Toc184313253"/>
      <w:bookmarkEnd w:id="137"/>
      <w:bookmarkStart w:id="138" w:name="_Toc184310308"/>
      <w:bookmarkEnd w:id="138"/>
      <w:bookmarkStart w:id="139" w:name="_Toc184314422"/>
      <w:bookmarkEnd w:id="139"/>
      <w:bookmarkStart w:id="140" w:name="_Toc184312124"/>
      <w:bookmarkEnd w:id="140"/>
      <w:bookmarkStart w:id="141" w:name="_Toc184310304"/>
      <w:bookmarkEnd w:id="141"/>
      <w:bookmarkStart w:id="142" w:name="_Toc184308053"/>
      <w:bookmarkEnd w:id="142"/>
      <w:bookmarkStart w:id="143" w:name="_Toc184312095"/>
      <w:bookmarkEnd w:id="143"/>
      <w:bookmarkStart w:id="144" w:name="_Toc184313264"/>
      <w:bookmarkEnd w:id="144"/>
      <w:bookmarkStart w:id="145" w:name="_Toc184310314"/>
      <w:bookmarkEnd w:id="145"/>
      <w:bookmarkStart w:id="146" w:name="_Toc184312133"/>
      <w:bookmarkEnd w:id="146"/>
      <w:bookmarkStart w:id="147" w:name="_Toc184314412"/>
      <w:bookmarkEnd w:id="147"/>
      <w:bookmarkStart w:id="148" w:name="_Toc184313277"/>
      <w:bookmarkEnd w:id="148"/>
      <w:bookmarkStart w:id="149" w:name="_Toc184313296"/>
      <w:bookmarkEnd w:id="149"/>
      <w:bookmarkStart w:id="150" w:name="_Toc184312082"/>
      <w:bookmarkEnd w:id="150"/>
      <w:bookmarkStart w:id="151" w:name="_Toc184314475"/>
      <w:bookmarkEnd w:id="151"/>
      <w:bookmarkStart w:id="152" w:name="_Toc184308080"/>
      <w:bookmarkEnd w:id="152"/>
      <w:bookmarkStart w:id="153" w:name="_Toc184308088"/>
      <w:bookmarkEnd w:id="153"/>
      <w:bookmarkStart w:id="154" w:name="_Toc184308043"/>
      <w:bookmarkEnd w:id="154"/>
      <w:bookmarkStart w:id="155" w:name="_Toc184308087"/>
      <w:bookmarkEnd w:id="155"/>
      <w:bookmarkStart w:id="156" w:name="_Toc184313238"/>
      <w:bookmarkEnd w:id="156"/>
      <w:bookmarkStart w:id="157" w:name="_Toc184308064"/>
      <w:bookmarkEnd w:id="157"/>
      <w:bookmarkStart w:id="158" w:name="_Toc184308069"/>
      <w:bookmarkEnd w:id="158"/>
      <w:bookmarkStart w:id="159" w:name="_Toc184313301"/>
      <w:bookmarkEnd w:id="159"/>
      <w:bookmarkStart w:id="160" w:name="_Toc184312128"/>
      <w:bookmarkEnd w:id="160"/>
      <w:bookmarkStart w:id="161" w:name="_Toc184310307"/>
      <w:bookmarkEnd w:id="161"/>
      <w:bookmarkStart w:id="162" w:name="_Toc184313303"/>
      <w:bookmarkEnd w:id="162"/>
      <w:bookmarkStart w:id="163" w:name="_Toc184312091"/>
      <w:bookmarkEnd w:id="163"/>
      <w:bookmarkStart w:id="164" w:name="_Toc184314441"/>
      <w:bookmarkEnd w:id="164"/>
      <w:bookmarkStart w:id="165" w:name="_Toc184310294"/>
      <w:bookmarkEnd w:id="165"/>
      <w:bookmarkStart w:id="166" w:name="_Toc184308068"/>
      <w:bookmarkEnd w:id="166"/>
      <w:bookmarkStart w:id="167" w:name="_Toc184308079"/>
      <w:bookmarkEnd w:id="167"/>
      <w:bookmarkStart w:id="168" w:name="_Toc184310343"/>
      <w:bookmarkEnd w:id="168"/>
      <w:bookmarkStart w:id="169" w:name="_Toc184314462"/>
      <w:bookmarkEnd w:id="169"/>
      <w:bookmarkStart w:id="170" w:name="_Toc184313272"/>
      <w:bookmarkEnd w:id="170"/>
      <w:bookmarkStart w:id="171" w:name="_Toc184313302"/>
      <w:bookmarkEnd w:id="171"/>
      <w:bookmarkStart w:id="172" w:name="_Toc184310296"/>
      <w:bookmarkEnd w:id="172"/>
      <w:bookmarkStart w:id="173" w:name="_Toc184313246"/>
      <w:bookmarkEnd w:id="173"/>
      <w:bookmarkStart w:id="174" w:name="_Toc184308078"/>
      <w:bookmarkEnd w:id="174"/>
      <w:bookmarkStart w:id="175" w:name="_Toc184313285"/>
      <w:bookmarkEnd w:id="175"/>
      <w:bookmarkStart w:id="176" w:name="_Toc184314478"/>
      <w:bookmarkEnd w:id="176"/>
      <w:bookmarkStart w:id="177" w:name="_Toc184314416"/>
      <w:bookmarkEnd w:id="177"/>
      <w:bookmarkStart w:id="178" w:name="_Toc184312070"/>
      <w:bookmarkEnd w:id="178"/>
      <w:bookmarkStart w:id="179" w:name="_Toc184314469"/>
      <w:bookmarkEnd w:id="179"/>
      <w:bookmarkStart w:id="180" w:name="_Toc184313252"/>
      <w:bookmarkEnd w:id="180"/>
      <w:bookmarkStart w:id="181" w:name="_Toc184310344"/>
      <w:bookmarkEnd w:id="181"/>
      <w:bookmarkStart w:id="182" w:name="_Toc184310278"/>
      <w:bookmarkEnd w:id="182"/>
      <w:bookmarkStart w:id="183" w:name="_Toc184308054"/>
      <w:bookmarkEnd w:id="183"/>
      <w:bookmarkStart w:id="184" w:name="_Toc184310311"/>
      <w:bookmarkEnd w:id="184"/>
      <w:bookmarkStart w:id="185" w:name="_Toc184313244"/>
      <w:bookmarkEnd w:id="185"/>
      <w:bookmarkStart w:id="186" w:name="_Toc184313250"/>
      <w:bookmarkEnd w:id="186"/>
      <w:bookmarkStart w:id="187" w:name="_Toc184314448"/>
      <w:bookmarkEnd w:id="187"/>
      <w:bookmarkStart w:id="188" w:name="_Toc184312111"/>
      <w:bookmarkEnd w:id="188"/>
      <w:bookmarkStart w:id="189" w:name="_Toc184310317"/>
      <w:bookmarkEnd w:id="189"/>
      <w:bookmarkStart w:id="190" w:name="_Toc184314420"/>
      <w:bookmarkEnd w:id="190"/>
      <w:bookmarkStart w:id="191" w:name="_Toc184314428"/>
      <w:bookmarkEnd w:id="191"/>
      <w:bookmarkStart w:id="192" w:name="_Toc184314440"/>
      <w:bookmarkEnd w:id="192"/>
      <w:bookmarkStart w:id="193" w:name="_Toc184308084"/>
      <w:bookmarkEnd w:id="193"/>
      <w:bookmarkStart w:id="194" w:name="_Toc184312109"/>
      <w:bookmarkEnd w:id="194"/>
      <w:bookmarkStart w:id="195" w:name="_Toc184312113"/>
      <w:bookmarkEnd w:id="195"/>
      <w:bookmarkStart w:id="196" w:name="_Toc184310329"/>
      <w:bookmarkEnd w:id="196"/>
      <w:bookmarkStart w:id="197" w:name="_Toc184314431"/>
      <w:bookmarkEnd w:id="197"/>
      <w:bookmarkStart w:id="198" w:name="_Toc184313299"/>
      <w:bookmarkEnd w:id="198"/>
      <w:bookmarkStart w:id="199" w:name="_Toc184313254"/>
      <w:bookmarkEnd w:id="199"/>
      <w:bookmarkStart w:id="200" w:name="_Toc184314472"/>
      <w:bookmarkEnd w:id="200"/>
      <w:bookmarkStart w:id="201" w:name="_Toc184312131"/>
      <w:bookmarkEnd w:id="201"/>
      <w:bookmarkStart w:id="202" w:name="_Toc184312074"/>
      <w:bookmarkEnd w:id="202"/>
      <w:bookmarkStart w:id="203" w:name="_Toc184308058"/>
      <w:bookmarkEnd w:id="203"/>
      <w:bookmarkStart w:id="204" w:name="_Toc184312072"/>
      <w:bookmarkEnd w:id="204"/>
      <w:bookmarkStart w:id="205" w:name="_Toc184314425"/>
      <w:bookmarkEnd w:id="205"/>
      <w:bookmarkStart w:id="206" w:name="_Toc184313267"/>
      <w:bookmarkEnd w:id="206"/>
      <w:bookmarkStart w:id="207" w:name="_Toc184312100"/>
      <w:bookmarkEnd w:id="207"/>
      <w:bookmarkStart w:id="208" w:name="_Toc184308051"/>
      <w:bookmarkEnd w:id="208"/>
      <w:bookmarkStart w:id="209" w:name="_Toc184310282"/>
      <w:bookmarkEnd w:id="209"/>
      <w:bookmarkStart w:id="210" w:name="_Toc184308098"/>
      <w:bookmarkEnd w:id="210"/>
      <w:bookmarkStart w:id="211" w:name="_Toc184310342"/>
      <w:bookmarkEnd w:id="211"/>
      <w:bookmarkStart w:id="212" w:name="_Toc184308056"/>
      <w:bookmarkEnd w:id="212"/>
      <w:bookmarkStart w:id="213" w:name="_Toc184308108"/>
      <w:bookmarkEnd w:id="213"/>
      <w:bookmarkStart w:id="214" w:name="_Toc184314439"/>
      <w:bookmarkEnd w:id="214"/>
      <w:bookmarkStart w:id="215" w:name="_Toc184310310"/>
      <w:bookmarkEnd w:id="215"/>
      <w:bookmarkStart w:id="216" w:name="_Toc184313266"/>
      <w:bookmarkEnd w:id="216"/>
      <w:bookmarkStart w:id="217" w:name="_Toc184314421"/>
      <w:bookmarkEnd w:id="217"/>
      <w:bookmarkStart w:id="218" w:name="_Toc184310335"/>
      <w:bookmarkEnd w:id="218"/>
      <w:bookmarkStart w:id="219" w:name="_Toc184308103"/>
      <w:bookmarkEnd w:id="219"/>
      <w:bookmarkStart w:id="220" w:name="_Toc184313278"/>
      <w:bookmarkEnd w:id="220"/>
      <w:bookmarkStart w:id="221" w:name="_Toc184313269"/>
      <w:bookmarkEnd w:id="221"/>
      <w:bookmarkStart w:id="222" w:name="_Toc184308102"/>
      <w:bookmarkEnd w:id="222"/>
      <w:bookmarkStart w:id="223" w:name="_Toc184314466"/>
      <w:bookmarkEnd w:id="223"/>
      <w:bookmarkStart w:id="224" w:name="_Toc184313276"/>
      <w:bookmarkEnd w:id="224"/>
      <w:bookmarkStart w:id="225" w:name="_Toc184312108"/>
      <w:bookmarkEnd w:id="225"/>
      <w:bookmarkStart w:id="226" w:name="_Toc184310319"/>
      <w:bookmarkEnd w:id="226"/>
      <w:bookmarkStart w:id="227" w:name="_Toc184312079"/>
      <w:bookmarkEnd w:id="227"/>
      <w:bookmarkStart w:id="228" w:name="_Toc184312096"/>
      <w:bookmarkEnd w:id="228"/>
      <w:bookmarkStart w:id="229" w:name="_Toc184310318"/>
      <w:bookmarkEnd w:id="229"/>
      <w:bookmarkStart w:id="230" w:name="_Toc184312137"/>
      <w:bookmarkEnd w:id="230"/>
      <w:bookmarkStart w:id="231" w:name="_Toc184314456"/>
      <w:bookmarkEnd w:id="231"/>
      <w:bookmarkStart w:id="232" w:name="_Toc184314467"/>
      <w:bookmarkEnd w:id="232"/>
      <w:bookmarkStart w:id="233" w:name="_Toc184314470"/>
      <w:bookmarkEnd w:id="233"/>
      <w:bookmarkStart w:id="234" w:name="_Toc184313286"/>
      <w:bookmarkEnd w:id="234"/>
      <w:bookmarkStart w:id="235" w:name="_Toc184310297"/>
      <w:bookmarkEnd w:id="235"/>
      <w:bookmarkStart w:id="236" w:name="_Toc184308041"/>
      <w:bookmarkEnd w:id="236"/>
      <w:bookmarkStart w:id="237" w:name="_Toc184314446"/>
      <w:bookmarkEnd w:id="237"/>
      <w:bookmarkStart w:id="238" w:name="_Toc184308091"/>
      <w:bookmarkEnd w:id="238"/>
      <w:bookmarkStart w:id="239" w:name="_Toc184310312"/>
      <w:bookmarkEnd w:id="239"/>
      <w:bookmarkStart w:id="240" w:name="_Toc184314452"/>
      <w:bookmarkEnd w:id="240"/>
      <w:bookmarkStart w:id="241" w:name="_Toc184314433"/>
      <w:bookmarkEnd w:id="241"/>
      <w:bookmarkStart w:id="242" w:name="_Toc184308104"/>
      <w:bookmarkEnd w:id="242"/>
      <w:bookmarkStart w:id="243" w:name="_Toc184310301"/>
      <w:bookmarkEnd w:id="243"/>
      <w:bookmarkStart w:id="244" w:name="_Toc184310333"/>
      <w:bookmarkEnd w:id="244"/>
      <w:bookmarkStart w:id="245" w:name="_Toc184314435"/>
      <w:bookmarkEnd w:id="245"/>
      <w:bookmarkStart w:id="246" w:name="_Toc184312097"/>
      <w:bookmarkEnd w:id="246"/>
      <w:bookmarkStart w:id="247" w:name="_Toc184308073"/>
      <w:bookmarkEnd w:id="247"/>
      <w:bookmarkStart w:id="248" w:name="_Toc184308067"/>
      <w:bookmarkEnd w:id="248"/>
      <w:bookmarkStart w:id="249" w:name="_Toc184312123"/>
      <w:bookmarkEnd w:id="249"/>
      <w:bookmarkStart w:id="250" w:name="_Toc184314458"/>
      <w:bookmarkEnd w:id="250"/>
      <w:bookmarkStart w:id="251" w:name="_Toc184308085"/>
      <w:bookmarkEnd w:id="251"/>
      <w:bookmarkStart w:id="252" w:name="_Toc184314471"/>
      <w:bookmarkEnd w:id="252"/>
      <w:bookmarkStart w:id="253" w:name="_Toc184310341"/>
      <w:bookmarkEnd w:id="253"/>
      <w:bookmarkStart w:id="254" w:name="_Toc184308036"/>
      <w:bookmarkEnd w:id="254"/>
      <w:bookmarkStart w:id="255" w:name="_Toc184312120"/>
      <w:bookmarkEnd w:id="255"/>
      <w:bookmarkStart w:id="256" w:name="_Toc184310288"/>
      <w:bookmarkEnd w:id="256"/>
      <w:bookmarkStart w:id="257" w:name="_Toc184314438"/>
      <w:bookmarkEnd w:id="257"/>
      <w:bookmarkStart w:id="258" w:name="_Toc184313242"/>
      <w:bookmarkEnd w:id="258"/>
      <w:bookmarkStart w:id="259" w:name="_Toc184314460"/>
      <w:bookmarkEnd w:id="259"/>
      <w:bookmarkStart w:id="260" w:name="_Toc184313241"/>
      <w:bookmarkEnd w:id="260"/>
      <w:bookmarkStart w:id="261" w:name="_Toc184310322"/>
      <w:bookmarkEnd w:id="261"/>
      <w:bookmarkStart w:id="262" w:name="_Toc184312099"/>
      <w:bookmarkEnd w:id="262"/>
      <w:bookmarkStart w:id="263" w:name="_Toc184308063"/>
      <w:bookmarkEnd w:id="263"/>
      <w:bookmarkStart w:id="264" w:name="_Toc184310328"/>
      <w:bookmarkEnd w:id="264"/>
      <w:bookmarkStart w:id="265" w:name="_Toc184313240"/>
      <w:bookmarkEnd w:id="265"/>
      <w:bookmarkStart w:id="266" w:name="_Toc184313308"/>
      <w:bookmarkEnd w:id="266"/>
      <w:bookmarkStart w:id="267" w:name="_Toc184308090"/>
      <w:bookmarkEnd w:id="267"/>
      <w:bookmarkStart w:id="268" w:name="_Toc184310279"/>
      <w:bookmarkEnd w:id="268"/>
      <w:bookmarkStart w:id="269" w:name="_Toc184310273"/>
      <w:bookmarkEnd w:id="269"/>
      <w:bookmarkStart w:id="270" w:name="_Toc184308095"/>
      <w:bookmarkEnd w:id="270"/>
      <w:bookmarkStart w:id="271" w:name="_Toc184314479"/>
      <w:bookmarkEnd w:id="271"/>
      <w:bookmarkStart w:id="272" w:name="_Toc184312081"/>
      <w:bookmarkEnd w:id="272"/>
      <w:bookmarkStart w:id="273" w:name="_Toc184308049"/>
      <w:bookmarkEnd w:id="273"/>
      <w:bookmarkStart w:id="274" w:name="_Toc184314468"/>
      <w:bookmarkEnd w:id="274"/>
      <w:bookmarkStart w:id="275" w:name="_Toc184308046"/>
      <w:bookmarkEnd w:id="275"/>
      <w:bookmarkStart w:id="276" w:name="_Toc184313288"/>
      <w:bookmarkEnd w:id="276"/>
      <w:bookmarkStart w:id="277" w:name="_Toc184310309"/>
      <w:bookmarkEnd w:id="277"/>
      <w:bookmarkStart w:id="278" w:name="_Toc184313295"/>
      <w:bookmarkEnd w:id="278"/>
      <w:bookmarkStart w:id="279" w:name="_Toc184310291"/>
      <w:bookmarkEnd w:id="279"/>
      <w:bookmarkStart w:id="280" w:name="_Toc184310334"/>
      <w:bookmarkEnd w:id="280"/>
      <w:bookmarkStart w:id="281" w:name="_Toc184312129"/>
      <w:bookmarkEnd w:id="281"/>
      <w:bookmarkStart w:id="282" w:name="_Toc184308093"/>
      <w:bookmarkEnd w:id="282"/>
      <w:bookmarkStart w:id="283" w:name="_Toc184313239"/>
      <w:bookmarkEnd w:id="283"/>
      <w:bookmarkStart w:id="284" w:name="_Toc184308071"/>
      <w:bookmarkEnd w:id="284"/>
      <w:bookmarkStart w:id="285" w:name="_Toc184313290"/>
      <w:bookmarkEnd w:id="285"/>
      <w:bookmarkStart w:id="286" w:name="_Toc184313274"/>
      <w:bookmarkEnd w:id="286"/>
      <w:bookmarkStart w:id="287" w:name="_Toc184310337"/>
      <w:bookmarkEnd w:id="287"/>
      <w:bookmarkStart w:id="288" w:name="_Toc184313294"/>
      <w:bookmarkEnd w:id="288"/>
      <w:bookmarkStart w:id="289" w:name="_Toc184312103"/>
      <w:bookmarkEnd w:id="289"/>
      <w:bookmarkStart w:id="290" w:name="_Toc184312075"/>
      <w:bookmarkEnd w:id="290"/>
      <w:bookmarkStart w:id="291" w:name="_Toc184313271"/>
      <w:bookmarkEnd w:id="291"/>
      <w:bookmarkStart w:id="292" w:name="_Toc184308059"/>
      <w:bookmarkEnd w:id="292"/>
      <w:bookmarkStart w:id="293" w:name="_Toc184313289"/>
      <w:bookmarkEnd w:id="293"/>
      <w:bookmarkStart w:id="294" w:name="_Toc184314415"/>
      <w:bookmarkEnd w:id="294"/>
      <w:bookmarkStart w:id="295" w:name="_Toc184314463"/>
      <w:bookmarkEnd w:id="295"/>
      <w:bookmarkStart w:id="296" w:name="_Toc184308105"/>
      <w:bookmarkEnd w:id="296"/>
      <w:bookmarkStart w:id="297" w:name="_Toc184308077"/>
      <w:bookmarkEnd w:id="297"/>
      <w:bookmarkStart w:id="298" w:name="_Toc184310302"/>
      <w:bookmarkEnd w:id="298"/>
      <w:bookmarkStart w:id="299" w:name="_Toc184310336"/>
      <w:bookmarkEnd w:id="299"/>
      <w:bookmarkStart w:id="300" w:name="_Toc184308052"/>
      <w:bookmarkEnd w:id="300"/>
      <w:bookmarkStart w:id="301" w:name="_Toc184308089"/>
      <w:bookmarkEnd w:id="301"/>
      <w:bookmarkStart w:id="302" w:name="_Toc184310321"/>
      <w:bookmarkEnd w:id="302"/>
      <w:bookmarkStart w:id="303" w:name="_Toc184312084"/>
      <w:bookmarkEnd w:id="303"/>
      <w:bookmarkStart w:id="304" w:name="_Toc184310339"/>
      <w:bookmarkEnd w:id="304"/>
      <w:bookmarkStart w:id="305" w:name="_Toc184313249"/>
      <w:bookmarkEnd w:id="305"/>
      <w:bookmarkStart w:id="306" w:name="_Toc184313248"/>
      <w:bookmarkEnd w:id="306"/>
      <w:bookmarkStart w:id="307" w:name="_Toc184313275"/>
      <w:bookmarkEnd w:id="307"/>
      <w:bookmarkStart w:id="308" w:name="_Toc184312086"/>
      <w:bookmarkEnd w:id="308"/>
      <w:bookmarkStart w:id="309" w:name="_Toc184312102"/>
      <w:bookmarkEnd w:id="309"/>
      <w:bookmarkStart w:id="310" w:name="_Toc184310287"/>
      <w:bookmarkEnd w:id="310"/>
      <w:bookmarkStart w:id="311" w:name="_Toc184312067"/>
      <w:bookmarkEnd w:id="311"/>
      <w:bookmarkStart w:id="312" w:name="_Toc184314474"/>
      <w:bookmarkEnd w:id="312"/>
      <w:bookmarkStart w:id="313" w:name="_Toc184313263"/>
      <w:bookmarkEnd w:id="313"/>
      <w:bookmarkStart w:id="314" w:name="_Toc184313310"/>
      <w:bookmarkEnd w:id="314"/>
      <w:bookmarkStart w:id="315" w:name="_Toc184312136"/>
      <w:bookmarkEnd w:id="315"/>
      <w:bookmarkStart w:id="316" w:name="_Toc184308042"/>
      <w:bookmarkEnd w:id="316"/>
      <w:bookmarkStart w:id="317" w:name="_Toc184314424"/>
      <w:bookmarkEnd w:id="317"/>
      <w:bookmarkStart w:id="318" w:name="_Toc184308107"/>
      <w:bookmarkEnd w:id="318"/>
      <w:bookmarkStart w:id="319" w:name="_Toc184313265"/>
      <w:bookmarkEnd w:id="319"/>
      <w:bookmarkStart w:id="320" w:name="_Toc184312117"/>
      <w:bookmarkEnd w:id="320"/>
      <w:bookmarkStart w:id="321" w:name="_Toc184308094"/>
      <w:bookmarkEnd w:id="321"/>
      <w:bookmarkStart w:id="322" w:name="_Toc184313279"/>
      <w:bookmarkEnd w:id="322"/>
      <w:bookmarkStart w:id="323" w:name="_Toc184308070"/>
      <w:bookmarkEnd w:id="323"/>
      <w:bookmarkStart w:id="324" w:name="_Toc184314410"/>
      <w:bookmarkEnd w:id="324"/>
      <w:bookmarkStart w:id="325" w:name="_Toc184314457"/>
      <w:bookmarkEnd w:id="325"/>
      <w:bookmarkStart w:id="326" w:name="_Toc184312090"/>
      <w:bookmarkEnd w:id="326"/>
      <w:bookmarkStart w:id="327" w:name="_Toc184308075"/>
      <w:bookmarkEnd w:id="327"/>
      <w:bookmarkStart w:id="328" w:name="_Toc184314411"/>
      <w:bookmarkEnd w:id="328"/>
      <w:bookmarkStart w:id="329" w:name="_Toc184313257"/>
      <w:bookmarkEnd w:id="329"/>
      <w:bookmarkStart w:id="330" w:name="_Toc184308047"/>
      <w:bookmarkEnd w:id="330"/>
      <w:bookmarkStart w:id="331" w:name="_Toc184308076"/>
      <w:bookmarkEnd w:id="331"/>
      <w:bookmarkStart w:id="332" w:name="_Toc184313273"/>
      <w:bookmarkEnd w:id="332"/>
      <w:bookmarkStart w:id="333" w:name="_Toc184308057"/>
      <w:bookmarkEnd w:id="333"/>
      <w:bookmarkStart w:id="334" w:name="_Toc184308040"/>
      <w:bookmarkEnd w:id="334"/>
      <w:bookmarkStart w:id="335" w:name="_Toc184310275"/>
      <w:bookmarkEnd w:id="335"/>
      <w:bookmarkStart w:id="336" w:name="_Toc184312121"/>
      <w:bookmarkEnd w:id="336"/>
      <w:bookmarkStart w:id="337" w:name="_Toc184314443"/>
      <w:bookmarkEnd w:id="337"/>
      <w:bookmarkStart w:id="338" w:name="_Toc184308060"/>
      <w:bookmarkEnd w:id="338"/>
      <w:bookmarkStart w:id="339" w:name="_Toc184313259"/>
      <w:bookmarkEnd w:id="339"/>
      <w:bookmarkStart w:id="340" w:name="_Toc184313270"/>
      <w:bookmarkEnd w:id="340"/>
      <w:bookmarkStart w:id="341" w:name="_Toc184310289"/>
      <w:bookmarkEnd w:id="341"/>
      <w:bookmarkStart w:id="342" w:name="_Toc184312106"/>
      <w:bookmarkEnd w:id="342"/>
      <w:bookmarkStart w:id="343" w:name="_Toc184313260"/>
      <w:bookmarkEnd w:id="343"/>
      <w:bookmarkStart w:id="344" w:name="_Toc184314437"/>
      <w:bookmarkEnd w:id="344"/>
      <w:bookmarkStart w:id="345" w:name="_Toc184314418"/>
      <w:bookmarkEnd w:id="345"/>
      <w:bookmarkStart w:id="346" w:name="_Toc184314464"/>
      <w:bookmarkEnd w:id="346"/>
      <w:bookmarkStart w:id="347" w:name="_Toc184314476"/>
      <w:bookmarkEnd w:id="347"/>
      <w:bookmarkStart w:id="348" w:name="_Toc184310326"/>
      <w:bookmarkEnd w:id="348"/>
      <w:bookmarkStart w:id="349" w:name="_Toc184308066"/>
      <w:bookmarkEnd w:id="349"/>
      <w:bookmarkStart w:id="350" w:name="_Toc184314427"/>
      <w:bookmarkEnd w:id="350"/>
      <w:bookmarkStart w:id="351" w:name="_Toc184313282"/>
      <w:bookmarkEnd w:id="351"/>
      <w:bookmarkStart w:id="352" w:name="_Toc184314444"/>
      <w:bookmarkEnd w:id="352"/>
      <w:bookmarkStart w:id="353" w:name="_Toc184314473"/>
      <w:bookmarkEnd w:id="353"/>
      <w:bookmarkStart w:id="354" w:name="_Toc184312073"/>
      <w:bookmarkEnd w:id="354"/>
      <w:bookmarkStart w:id="355" w:name="_Toc184312134"/>
      <w:bookmarkEnd w:id="355"/>
      <w:bookmarkStart w:id="356" w:name="_Toc184314459"/>
      <w:bookmarkEnd w:id="356"/>
      <w:bookmarkStart w:id="357" w:name="_Toc184313293"/>
      <w:bookmarkEnd w:id="357"/>
      <w:bookmarkStart w:id="358" w:name="_Toc184313268"/>
      <w:bookmarkEnd w:id="358"/>
      <w:bookmarkStart w:id="359" w:name="_Toc184310286"/>
      <w:bookmarkEnd w:id="359"/>
      <w:bookmarkStart w:id="360" w:name="_Toc184312093"/>
      <w:bookmarkEnd w:id="360"/>
      <w:bookmarkStart w:id="361" w:name="_Toc184314429"/>
      <w:bookmarkEnd w:id="361"/>
      <w:bookmarkStart w:id="362" w:name="_Toc184310293"/>
      <w:bookmarkEnd w:id="362"/>
      <w:bookmarkStart w:id="363" w:name="_Toc184310330"/>
      <w:bookmarkEnd w:id="363"/>
      <w:bookmarkStart w:id="364" w:name="_Toc184313307"/>
      <w:bookmarkEnd w:id="364"/>
      <w:bookmarkStart w:id="365" w:name="_Toc184314430"/>
      <w:bookmarkEnd w:id="365"/>
      <w:bookmarkStart w:id="366" w:name="_Toc184308055"/>
      <w:bookmarkEnd w:id="366"/>
      <w:bookmarkStart w:id="367" w:name="_Toc184312122"/>
      <w:bookmarkEnd w:id="367"/>
      <w:bookmarkStart w:id="368" w:name="_Toc184308062"/>
      <w:bookmarkEnd w:id="368"/>
      <w:bookmarkStart w:id="369" w:name="_Toc184314449"/>
      <w:bookmarkEnd w:id="369"/>
      <w:bookmarkStart w:id="370" w:name="_Toc184310305"/>
      <w:bookmarkEnd w:id="370"/>
      <w:bookmarkStart w:id="371" w:name="_Toc184312087"/>
      <w:bookmarkEnd w:id="371"/>
      <w:bookmarkStart w:id="372" w:name="_Toc184313305"/>
      <w:bookmarkEnd w:id="372"/>
      <w:bookmarkStart w:id="373" w:name="_Toc184310340"/>
      <w:bookmarkEnd w:id="373"/>
      <w:bookmarkStart w:id="374" w:name="_Toc184308044"/>
      <w:bookmarkEnd w:id="374"/>
      <w:bookmarkStart w:id="375" w:name="_Toc184314417"/>
      <w:bookmarkEnd w:id="375"/>
      <w:bookmarkStart w:id="376" w:name="_Toc184313292"/>
      <w:bookmarkEnd w:id="376"/>
      <w:bookmarkStart w:id="377" w:name="_Toc184308039"/>
      <w:bookmarkEnd w:id="377"/>
      <w:bookmarkStart w:id="378" w:name="_Toc184313300"/>
      <w:bookmarkEnd w:id="378"/>
      <w:bookmarkStart w:id="379" w:name="_Toc184310323"/>
      <w:bookmarkEnd w:id="379"/>
      <w:bookmarkStart w:id="380" w:name="_Toc184312135"/>
      <w:bookmarkEnd w:id="380"/>
      <w:r>
        <w:rPr>
          <w:rFonts w:hint="eastAsia" w:ascii="宋体" w:hAnsi="宋体" w:cs="宋体"/>
          <w:b/>
          <w:color w:val="auto"/>
          <w:sz w:val="36"/>
          <w:szCs w:val="36"/>
          <w:highlight w:val="none"/>
        </w:rPr>
        <w:t>交易办法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交易办法前附表</w:t>
      </w:r>
    </w:p>
    <w:tbl>
      <w:tblPr>
        <w:tblStyle w:val="63"/>
        <w:tblW w:w="53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510"/>
        <w:gridCol w:w="398"/>
        <w:gridCol w:w="5895"/>
        <w:gridCol w:w="993"/>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52" w:type="pct"/>
            <w:noWrap/>
            <w:vAlign w:val="center"/>
          </w:tcPr>
          <w:p>
            <w:pPr>
              <w:pStyle w:val="24"/>
              <w:spacing w:line="240" w:lineRule="auto"/>
              <w:jc w:val="center"/>
              <w:rPr>
                <w:rFonts w:hAnsi="宋体" w:cs="宋体"/>
                <w:b/>
                <w:bCs/>
                <w:color w:val="auto"/>
                <w:sz w:val="24"/>
                <w:szCs w:val="24"/>
                <w:highlight w:val="none"/>
              </w:rPr>
            </w:pPr>
            <w:r>
              <w:rPr>
                <w:rFonts w:hint="eastAsia" w:hAnsi="宋体" w:cs="宋体"/>
                <w:b/>
                <w:bCs/>
                <w:color w:val="auto"/>
                <w:sz w:val="24"/>
                <w:szCs w:val="24"/>
                <w:highlight w:val="none"/>
              </w:rPr>
              <w:t>序号</w:t>
            </w:r>
          </w:p>
        </w:tc>
        <w:tc>
          <w:tcPr>
            <w:tcW w:w="3443" w:type="pct"/>
            <w:gridSpan w:val="3"/>
            <w:noWrap/>
            <w:vAlign w:val="center"/>
          </w:tcPr>
          <w:p>
            <w:pPr>
              <w:pStyle w:val="24"/>
              <w:spacing w:line="240" w:lineRule="auto"/>
              <w:jc w:val="center"/>
              <w:rPr>
                <w:rFonts w:hAnsi="宋体" w:cs="宋体"/>
                <w:b/>
                <w:bCs/>
                <w:color w:val="auto"/>
                <w:sz w:val="24"/>
                <w:szCs w:val="24"/>
                <w:highlight w:val="none"/>
              </w:rPr>
            </w:pPr>
            <w:r>
              <w:rPr>
                <w:rFonts w:hint="eastAsia" w:hAnsi="宋体" w:cs="宋体"/>
                <w:b/>
                <w:bCs/>
                <w:color w:val="auto"/>
                <w:sz w:val="24"/>
                <w:szCs w:val="24"/>
                <w:highlight w:val="none"/>
              </w:rPr>
              <w:t>评分内容和标准</w:t>
            </w:r>
          </w:p>
        </w:tc>
        <w:tc>
          <w:tcPr>
            <w:tcW w:w="502" w:type="pct"/>
            <w:noWrap/>
            <w:vAlign w:val="center"/>
          </w:tcPr>
          <w:p>
            <w:pPr>
              <w:pStyle w:val="24"/>
              <w:spacing w:line="240" w:lineRule="auto"/>
              <w:jc w:val="center"/>
              <w:rPr>
                <w:rFonts w:hAnsi="宋体" w:cs="宋体"/>
                <w:b/>
                <w:bCs/>
                <w:color w:val="auto"/>
                <w:sz w:val="24"/>
                <w:szCs w:val="24"/>
                <w:highlight w:val="none"/>
              </w:rPr>
            </w:pPr>
            <w:r>
              <w:rPr>
                <w:rFonts w:hint="eastAsia" w:hAnsi="宋体" w:cs="宋体"/>
                <w:b/>
                <w:bCs/>
                <w:color w:val="auto"/>
                <w:sz w:val="24"/>
                <w:szCs w:val="24"/>
                <w:highlight w:val="none"/>
              </w:rPr>
              <w:t>分值区间</w:t>
            </w:r>
          </w:p>
        </w:tc>
        <w:tc>
          <w:tcPr>
            <w:tcW w:w="600" w:type="pct"/>
            <w:noWrap/>
            <w:vAlign w:val="center"/>
          </w:tcPr>
          <w:p>
            <w:pPr>
              <w:pStyle w:val="24"/>
              <w:spacing w:line="240" w:lineRule="auto"/>
              <w:jc w:val="center"/>
              <w:rPr>
                <w:rFonts w:hAnsi="宋体" w:cs="宋体"/>
                <w:b/>
                <w:bCs/>
                <w:color w:val="auto"/>
                <w:sz w:val="24"/>
                <w:szCs w:val="24"/>
                <w:highlight w:val="none"/>
              </w:rPr>
            </w:pPr>
            <w:r>
              <w:rPr>
                <w:rFonts w:hint="eastAsia" w:hAnsi="宋体" w:cs="宋体"/>
                <w:b/>
                <w:bCs/>
                <w:color w:val="auto"/>
                <w:sz w:val="24"/>
                <w:szCs w:val="24"/>
                <w:highlight w:val="none"/>
              </w:rPr>
              <w:t>主</w:t>
            </w:r>
            <w:r>
              <w:rPr>
                <w:rFonts w:hint="eastAsia" w:hAnsi="宋体" w:cs="宋体"/>
                <w:b/>
                <w:bCs/>
                <w:color w:val="auto"/>
                <w:sz w:val="24"/>
                <w:szCs w:val="24"/>
                <w:highlight w:val="none"/>
                <w:lang w:val="en-US"/>
              </w:rPr>
              <w:t>/</w:t>
            </w:r>
            <w:r>
              <w:rPr>
                <w:rFonts w:hint="eastAsia" w:hAnsi="宋体" w:cs="宋体"/>
                <w:b/>
                <w:bCs/>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452" w:type="pct"/>
            <w:vMerge w:val="restart"/>
            <w:noWrap/>
            <w:vAlign w:val="center"/>
          </w:tcPr>
          <w:p>
            <w:pPr>
              <w:pStyle w:val="24"/>
              <w:spacing w:line="240" w:lineRule="auto"/>
              <w:jc w:val="center"/>
              <w:rPr>
                <w:rFonts w:hAnsi="宋体" w:cs="宋体"/>
                <w:color w:val="auto"/>
                <w:sz w:val="24"/>
                <w:szCs w:val="24"/>
                <w:highlight w:val="none"/>
              </w:rPr>
            </w:pPr>
            <w:r>
              <w:rPr>
                <w:rFonts w:hint="eastAsia" w:hAnsi="宋体" w:cs="宋体"/>
                <w:color w:val="auto"/>
                <w:sz w:val="24"/>
                <w:szCs w:val="24"/>
                <w:highlight w:val="none"/>
                <w:lang w:val="en-US"/>
              </w:rPr>
              <w:t>商务资信</w:t>
            </w:r>
          </w:p>
        </w:tc>
        <w:tc>
          <w:tcPr>
            <w:tcW w:w="258" w:type="pct"/>
            <w:noWrap/>
            <w:vAlign w:val="center"/>
          </w:tcPr>
          <w:p>
            <w:pPr>
              <w:pStyle w:val="24"/>
              <w:spacing w:line="240" w:lineRule="auto"/>
              <w:jc w:val="center"/>
              <w:rPr>
                <w:rFonts w:hAnsi="宋体" w:cs="宋体"/>
                <w:color w:val="auto"/>
                <w:sz w:val="24"/>
                <w:szCs w:val="24"/>
                <w:highlight w:val="none"/>
              </w:rPr>
            </w:pPr>
            <w:r>
              <w:rPr>
                <w:rFonts w:hint="eastAsia" w:hAnsi="宋体" w:cs="宋体"/>
                <w:color w:val="auto"/>
                <w:sz w:val="24"/>
                <w:szCs w:val="24"/>
                <w:highlight w:val="none"/>
              </w:rPr>
              <w:t>1</w:t>
            </w:r>
          </w:p>
        </w:tc>
        <w:tc>
          <w:tcPr>
            <w:tcW w:w="3185" w:type="pct"/>
            <w:gridSpan w:val="2"/>
            <w:noWrap/>
          </w:tcPr>
          <w:p>
            <w:pPr>
              <w:rPr>
                <w:rFonts w:ascii="宋体" w:hAnsi="宋体" w:cs="宋体"/>
                <w:color w:val="auto"/>
                <w:sz w:val="24"/>
                <w:szCs w:val="24"/>
                <w:highlight w:val="none"/>
                <w:lang w:val="zh-TW"/>
              </w:rPr>
            </w:pPr>
            <w:r>
              <w:rPr>
                <w:rFonts w:hint="eastAsia" w:ascii="宋体" w:hAnsi="宋体" w:cs="宋体"/>
                <w:color w:val="auto"/>
                <w:sz w:val="24"/>
                <w:szCs w:val="24"/>
                <w:highlight w:val="none"/>
              </w:rPr>
              <w:t>（提供</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的承诺书）</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所投智慧管理平台、智慧断路器、通讯模块、电源模组、智能电箱产品提供三年质保并承诺凡有硬件质量问题的产品三年内整套无偿替换更新，每提供一个得1分，最多得</w:t>
            </w:r>
            <w:r>
              <w:rPr>
                <w:rFonts w:ascii="宋体" w:hAnsi="宋体" w:cs="宋体"/>
                <w:color w:val="auto"/>
                <w:sz w:val="24"/>
                <w:szCs w:val="24"/>
                <w:highlight w:val="none"/>
              </w:rPr>
              <w:t>3</w:t>
            </w:r>
            <w:r>
              <w:rPr>
                <w:rFonts w:hint="eastAsia" w:ascii="宋体" w:hAnsi="宋体" w:cs="宋体"/>
                <w:color w:val="auto"/>
                <w:sz w:val="24"/>
                <w:szCs w:val="24"/>
                <w:highlight w:val="none"/>
              </w:rPr>
              <w:t>分。（提供质保证明材料并加盖</w:t>
            </w:r>
            <w:r>
              <w:rPr>
                <w:rFonts w:hint="eastAsia" w:ascii="宋体" w:hAnsi="宋体" w:cs="宋体"/>
                <w:color w:val="auto"/>
                <w:sz w:val="24"/>
                <w:szCs w:val="24"/>
                <w:highlight w:val="none"/>
                <w:lang w:eastAsia="zh-CN"/>
              </w:rPr>
              <w:t>公</w:t>
            </w:r>
            <w:r>
              <w:rPr>
                <w:rFonts w:hint="eastAsia" w:ascii="宋体" w:hAnsi="宋体" w:cs="宋体"/>
                <w:color w:val="auto"/>
                <w:sz w:val="24"/>
                <w:szCs w:val="24"/>
                <w:highlight w:val="none"/>
              </w:rPr>
              <w:t>章）</w:t>
            </w:r>
          </w:p>
        </w:tc>
        <w:tc>
          <w:tcPr>
            <w:tcW w:w="502" w:type="pct"/>
            <w:noWrap/>
            <w:vAlign w:val="center"/>
          </w:tcPr>
          <w:p>
            <w:pPr>
              <w:pStyle w:val="24"/>
              <w:spacing w:line="240" w:lineRule="auto"/>
              <w:jc w:val="center"/>
              <w:rPr>
                <w:rFonts w:hAnsi="宋体" w:cs="宋体"/>
                <w:color w:val="auto"/>
                <w:sz w:val="24"/>
                <w:szCs w:val="24"/>
                <w:highlight w:val="none"/>
              </w:rPr>
            </w:pPr>
            <w:r>
              <w:rPr>
                <w:rFonts w:hint="eastAsia" w:hAnsi="宋体" w:cs="宋体"/>
                <w:color w:val="auto"/>
                <w:sz w:val="24"/>
                <w:szCs w:val="24"/>
                <w:highlight w:val="none"/>
                <w:lang w:val="en-US"/>
              </w:rPr>
              <w:t>0-</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分</w:t>
            </w:r>
          </w:p>
        </w:tc>
        <w:tc>
          <w:tcPr>
            <w:tcW w:w="600" w:type="pct"/>
            <w:noWrap/>
            <w:vAlign w:val="center"/>
          </w:tcPr>
          <w:p>
            <w:pPr>
              <w:pStyle w:val="24"/>
              <w:spacing w:line="240" w:lineRule="auto"/>
              <w:jc w:val="center"/>
              <w:rPr>
                <w:rFonts w:hAnsi="宋体" w:cs="宋体"/>
                <w:color w:val="auto"/>
                <w:sz w:val="24"/>
                <w:szCs w:val="24"/>
                <w:highlight w:val="none"/>
              </w:rPr>
            </w:pPr>
            <w:r>
              <w:rPr>
                <w:rFonts w:hint="eastAsia" w:hAnsi="宋体" w:cs="宋体"/>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452" w:type="pct"/>
            <w:vMerge w:val="continue"/>
            <w:noWrap/>
            <w:vAlign w:val="center"/>
          </w:tcPr>
          <w:p>
            <w:pPr>
              <w:pStyle w:val="24"/>
              <w:spacing w:line="240" w:lineRule="auto"/>
              <w:jc w:val="center"/>
              <w:rPr>
                <w:rFonts w:hAnsi="宋体" w:cs="宋体"/>
                <w:color w:val="auto"/>
                <w:sz w:val="24"/>
                <w:szCs w:val="24"/>
                <w:highlight w:val="none"/>
                <w:lang w:val="en-US"/>
              </w:rPr>
            </w:pPr>
          </w:p>
        </w:tc>
        <w:tc>
          <w:tcPr>
            <w:tcW w:w="258" w:type="pct"/>
            <w:noWrap/>
            <w:vAlign w:val="center"/>
          </w:tcPr>
          <w:p>
            <w:pPr>
              <w:pStyle w:val="24"/>
              <w:spacing w:line="240" w:lineRule="auto"/>
              <w:jc w:val="center"/>
              <w:rPr>
                <w:rFonts w:hAnsi="宋体" w:cs="宋体"/>
                <w:color w:val="auto"/>
                <w:sz w:val="24"/>
                <w:szCs w:val="24"/>
                <w:highlight w:val="none"/>
                <w:lang w:val="en-US"/>
              </w:rPr>
            </w:pPr>
            <w:r>
              <w:rPr>
                <w:rFonts w:hint="eastAsia" w:hAnsi="宋体" w:cs="宋体"/>
                <w:color w:val="auto"/>
                <w:sz w:val="24"/>
                <w:szCs w:val="24"/>
                <w:highlight w:val="none"/>
                <w:lang w:val="en-US"/>
              </w:rPr>
              <w:t>2</w:t>
            </w:r>
          </w:p>
        </w:tc>
        <w:tc>
          <w:tcPr>
            <w:tcW w:w="3185" w:type="pct"/>
            <w:gridSpan w:val="2"/>
            <w:noWrap/>
          </w:tcPr>
          <w:p>
            <w:pPr>
              <w:rPr>
                <w:rFonts w:ascii="宋体" w:hAnsi="宋体" w:cs="宋体"/>
                <w:color w:val="auto"/>
                <w:sz w:val="24"/>
                <w:szCs w:val="24"/>
                <w:highlight w:val="none"/>
                <w:lang w:val="zh-TW"/>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具有有效期内的售后服务认证证书，其售后服务水平达到《商品售后服务评价体系》（</w:t>
            </w:r>
            <w:r>
              <w:rPr>
                <w:rFonts w:ascii="宋体" w:hAnsi="宋体" w:cs="宋体"/>
                <w:color w:val="auto"/>
                <w:sz w:val="24"/>
                <w:szCs w:val="24"/>
                <w:highlight w:val="none"/>
              </w:rPr>
              <w:t>GB/T 27922-2011</w:t>
            </w:r>
            <w:r>
              <w:rPr>
                <w:rFonts w:hint="eastAsia" w:ascii="宋体" w:hAnsi="宋体" w:cs="宋体"/>
                <w:color w:val="auto"/>
                <w:sz w:val="24"/>
                <w:szCs w:val="24"/>
                <w:highlight w:val="none"/>
              </w:rPr>
              <w:t>）五星级及以上的得3分，四星级的得2分，三星级的得1分，其他不得分。</w:t>
            </w:r>
          </w:p>
        </w:tc>
        <w:tc>
          <w:tcPr>
            <w:tcW w:w="502" w:type="pct"/>
            <w:noWrap/>
            <w:vAlign w:val="center"/>
          </w:tcPr>
          <w:p>
            <w:pPr>
              <w:pStyle w:val="24"/>
              <w:spacing w:line="240" w:lineRule="auto"/>
              <w:jc w:val="center"/>
              <w:rPr>
                <w:rFonts w:hAnsi="宋体" w:cs="宋体"/>
                <w:color w:val="auto"/>
                <w:sz w:val="24"/>
                <w:szCs w:val="24"/>
                <w:highlight w:val="none"/>
                <w:lang w:val="en-US"/>
              </w:rPr>
            </w:pPr>
            <w:r>
              <w:rPr>
                <w:rFonts w:hint="eastAsia" w:hAnsi="宋体" w:cs="宋体"/>
                <w:color w:val="auto"/>
                <w:sz w:val="24"/>
                <w:szCs w:val="24"/>
                <w:highlight w:val="none"/>
                <w:lang w:val="en-US"/>
              </w:rPr>
              <w:t>0-</w:t>
            </w:r>
            <w:r>
              <w:rPr>
                <w:rFonts w:hint="eastAsia" w:hAnsi="宋体" w:cs="宋体"/>
                <w:color w:val="auto"/>
                <w:sz w:val="24"/>
                <w:szCs w:val="24"/>
                <w:highlight w:val="none"/>
                <w:lang w:val="en-US" w:eastAsia="zh-CN"/>
              </w:rPr>
              <w:t>3</w:t>
            </w:r>
            <w:r>
              <w:rPr>
                <w:rFonts w:hint="eastAsia" w:hAnsi="宋体" w:cs="宋体"/>
                <w:color w:val="auto"/>
                <w:sz w:val="24"/>
                <w:szCs w:val="24"/>
                <w:highlight w:val="none"/>
                <w:lang w:val="en-US"/>
              </w:rPr>
              <w:t>分</w:t>
            </w:r>
          </w:p>
        </w:tc>
        <w:tc>
          <w:tcPr>
            <w:tcW w:w="600" w:type="pct"/>
            <w:noWrap/>
            <w:vAlign w:val="center"/>
          </w:tcPr>
          <w:p>
            <w:pPr>
              <w:pStyle w:val="24"/>
              <w:spacing w:line="240" w:lineRule="auto"/>
              <w:jc w:val="center"/>
              <w:rPr>
                <w:rFonts w:hAnsi="宋体" w:cs="宋体"/>
                <w:color w:val="auto"/>
                <w:sz w:val="24"/>
                <w:szCs w:val="24"/>
                <w:highlight w:val="none"/>
                <w:lang w:val="en-US"/>
              </w:rPr>
            </w:pPr>
            <w:r>
              <w:rPr>
                <w:rFonts w:hint="eastAsia" w:hAnsi="宋体" w:cs="宋体"/>
                <w:color w:val="auto"/>
                <w:sz w:val="24"/>
                <w:szCs w:val="24"/>
                <w:highlight w:val="none"/>
                <w:lang w:val="en-US"/>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452" w:type="pct"/>
            <w:vMerge w:val="continue"/>
            <w:noWrap/>
            <w:vAlign w:val="center"/>
          </w:tcPr>
          <w:p>
            <w:pPr>
              <w:pStyle w:val="24"/>
              <w:spacing w:line="240" w:lineRule="auto"/>
              <w:jc w:val="center"/>
              <w:rPr>
                <w:rFonts w:hAnsi="宋体" w:cs="宋体"/>
                <w:color w:val="auto"/>
                <w:sz w:val="24"/>
                <w:szCs w:val="24"/>
                <w:highlight w:val="none"/>
                <w:lang w:val="en-US"/>
              </w:rPr>
            </w:pPr>
          </w:p>
        </w:tc>
        <w:tc>
          <w:tcPr>
            <w:tcW w:w="258" w:type="pct"/>
            <w:noWrap/>
            <w:vAlign w:val="center"/>
          </w:tcPr>
          <w:p>
            <w:pPr>
              <w:pStyle w:val="24"/>
              <w:spacing w:line="240" w:lineRule="auto"/>
              <w:jc w:val="center"/>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3</w:t>
            </w:r>
          </w:p>
        </w:tc>
        <w:tc>
          <w:tcPr>
            <w:tcW w:w="3185" w:type="pct"/>
            <w:gridSpan w:val="2"/>
            <w:noWrap/>
          </w:tcPr>
          <w:p>
            <w:pPr>
              <w:rPr>
                <w:rFonts w:hint="eastAsia" w:ascii="宋体" w:hAnsi="宋体" w:cs="宋体"/>
                <w:color w:val="auto"/>
                <w:sz w:val="24"/>
                <w:szCs w:val="24"/>
                <w:highlight w:val="none"/>
              </w:rPr>
            </w:pPr>
            <w:r>
              <w:rPr>
                <w:rFonts w:hint="eastAsia" w:ascii="宋体" w:hAnsi="宋体" w:cs="宋体"/>
                <w:color w:val="auto"/>
                <w:sz w:val="24"/>
                <w:szCs w:val="24"/>
                <w:highlight w:val="none"/>
              </w:rPr>
              <w:t>所投产品供应商提供的智慧用电安全管理系统设备具有有效期内（2</w:t>
            </w:r>
            <w:r>
              <w:rPr>
                <w:rFonts w:ascii="宋体" w:hAnsi="宋体" w:cs="宋体"/>
                <w:color w:val="auto"/>
                <w:sz w:val="24"/>
                <w:szCs w:val="24"/>
                <w:highlight w:val="none"/>
              </w:rPr>
              <w:t>023</w:t>
            </w:r>
            <w:r>
              <w:rPr>
                <w:rFonts w:hint="eastAsia" w:ascii="宋体" w:hAnsi="宋体" w:cs="宋体"/>
                <w:color w:val="auto"/>
                <w:sz w:val="24"/>
                <w:szCs w:val="24"/>
                <w:highlight w:val="none"/>
              </w:rPr>
              <w:t>年）的产品责任险，以提供有效的产品责任险保单为评审依据：产品保单累计赔偿限额≥3000 万，且产品保单每次事故赔偿限额≥1000 万的，得4 分；1000 万≤产品保单累计赔偿限额＜3000万，且产品保单每次事故赔偿限额≥1000 万的，得2 分；不满足的不得分。须提供产品责任险相关证明材料并加盖鲜章佐证，否则不得分。</w:t>
            </w:r>
          </w:p>
        </w:tc>
        <w:tc>
          <w:tcPr>
            <w:tcW w:w="502" w:type="pct"/>
            <w:noWrap/>
            <w:vAlign w:val="center"/>
          </w:tcPr>
          <w:p>
            <w:pPr>
              <w:pStyle w:val="24"/>
              <w:spacing w:line="240" w:lineRule="auto"/>
              <w:jc w:val="center"/>
              <w:rPr>
                <w:rFonts w:hint="eastAsia" w:hAnsi="宋体" w:cs="宋体"/>
                <w:color w:val="auto"/>
                <w:sz w:val="24"/>
                <w:szCs w:val="24"/>
                <w:highlight w:val="none"/>
                <w:lang w:val="en-US"/>
              </w:rPr>
            </w:pPr>
            <w:r>
              <w:rPr>
                <w:rFonts w:hint="eastAsia" w:hAnsi="宋体" w:cs="宋体"/>
                <w:color w:val="auto"/>
                <w:sz w:val="24"/>
                <w:szCs w:val="24"/>
                <w:highlight w:val="none"/>
                <w:lang w:val="en-US"/>
              </w:rPr>
              <w:t>0-</w:t>
            </w:r>
            <w:r>
              <w:rPr>
                <w:rFonts w:hint="eastAsia" w:hAnsi="宋体" w:cs="宋体"/>
                <w:color w:val="auto"/>
                <w:sz w:val="24"/>
                <w:szCs w:val="24"/>
                <w:highlight w:val="none"/>
                <w:lang w:val="en-US" w:eastAsia="zh-CN"/>
              </w:rPr>
              <w:t>4</w:t>
            </w:r>
            <w:r>
              <w:rPr>
                <w:rFonts w:hint="eastAsia" w:hAnsi="宋体" w:cs="宋体"/>
                <w:color w:val="auto"/>
                <w:sz w:val="24"/>
                <w:szCs w:val="24"/>
                <w:highlight w:val="none"/>
                <w:lang w:val="en-US"/>
              </w:rPr>
              <w:t>分</w:t>
            </w:r>
          </w:p>
        </w:tc>
        <w:tc>
          <w:tcPr>
            <w:tcW w:w="600" w:type="pct"/>
            <w:noWrap/>
            <w:vAlign w:val="center"/>
          </w:tcPr>
          <w:p>
            <w:pPr>
              <w:pStyle w:val="24"/>
              <w:spacing w:line="240" w:lineRule="auto"/>
              <w:jc w:val="center"/>
              <w:rPr>
                <w:rFonts w:hint="eastAsia" w:hAnsi="宋体" w:cs="宋体"/>
                <w:color w:val="auto"/>
                <w:sz w:val="24"/>
                <w:szCs w:val="24"/>
                <w:highlight w:val="none"/>
                <w:lang w:val="en-US"/>
              </w:rPr>
            </w:pPr>
            <w:r>
              <w:rPr>
                <w:rFonts w:hint="eastAsia" w:hAnsi="宋体" w:cs="宋体"/>
                <w:color w:val="auto"/>
                <w:sz w:val="24"/>
                <w:szCs w:val="24"/>
                <w:highlight w:val="none"/>
                <w:lang w:val="en-US"/>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452" w:type="pct"/>
            <w:vMerge w:val="continue"/>
            <w:noWrap/>
            <w:vAlign w:val="center"/>
          </w:tcPr>
          <w:p>
            <w:pPr>
              <w:pStyle w:val="24"/>
              <w:spacing w:line="240" w:lineRule="auto"/>
              <w:jc w:val="center"/>
              <w:rPr>
                <w:rFonts w:hAnsi="宋体" w:cs="宋体"/>
                <w:color w:val="auto"/>
                <w:sz w:val="24"/>
                <w:szCs w:val="24"/>
                <w:highlight w:val="none"/>
                <w:lang w:val="en-US"/>
              </w:rPr>
            </w:pPr>
          </w:p>
        </w:tc>
        <w:tc>
          <w:tcPr>
            <w:tcW w:w="258" w:type="pct"/>
            <w:noWrap/>
            <w:vAlign w:val="center"/>
          </w:tcPr>
          <w:p>
            <w:pPr>
              <w:pStyle w:val="24"/>
              <w:spacing w:line="240" w:lineRule="auto"/>
              <w:jc w:val="center"/>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4</w:t>
            </w:r>
          </w:p>
        </w:tc>
        <w:tc>
          <w:tcPr>
            <w:tcW w:w="3185" w:type="pct"/>
            <w:gridSpan w:val="2"/>
            <w:noWrap/>
          </w:tcPr>
          <w:p>
            <w:pPr>
              <w:widowControl/>
              <w:numPr>
                <w:ilvl w:val="0"/>
                <w:numId w:val="0"/>
              </w:numP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提供有效期内的ISO9001质量管理体系认证证书、ISO14001环境管理体系认证证书、ISO</w:t>
            </w:r>
            <w:r>
              <w:rPr>
                <w:rFonts w:ascii="宋体" w:hAnsi="宋体" w:cs="宋体"/>
                <w:color w:val="auto"/>
                <w:sz w:val="24"/>
                <w:szCs w:val="24"/>
                <w:highlight w:val="none"/>
              </w:rPr>
              <w:t>45001</w:t>
            </w:r>
            <w:r>
              <w:rPr>
                <w:rFonts w:hint="eastAsia" w:ascii="宋体" w:hAnsi="宋体" w:cs="宋体"/>
                <w:color w:val="auto"/>
                <w:sz w:val="24"/>
                <w:szCs w:val="24"/>
                <w:highlight w:val="none"/>
              </w:rPr>
              <w:t>职业健康安全管理体系认证证书，每提供一个得1分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最高得</w:t>
            </w:r>
            <w:r>
              <w:rPr>
                <w:rFonts w:ascii="宋体" w:hAnsi="宋体" w:cs="宋体"/>
                <w:color w:val="auto"/>
                <w:sz w:val="24"/>
                <w:szCs w:val="24"/>
                <w:highlight w:val="none"/>
              </w:rPr>
              <w:t>3</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p>
          <w:p>
            <w:pPr>
              <w:widowControl/>
              <w:numPr>
                <w:ilvl w:val="0"/>
                <w:numId w:val="0"/>
              </w:numPr>
              <w:rPr>
                <w:rFonts w:hint="eastAsia" w:ascii="宋体" w:hAnsi="宋体" w:cs="宋体"/>
                <w:color w:val="auto"/>
                <w:sz w:val="24"/>
                <w:szCs w:val="24"/>
                <w:highlight w:val="none"/>
              </w:rPr>
            </w:pPr>
            <w:r>
              <w:rPr>
                <w:rFonts w:hint="eastAsia" w:ascii="宋体" w:hAnsi="宋体" w:cs="宋体"/>
                <w:color w:val="auto"/>
                <w:sz w:val="24"/>
                <w:szCs w:val="24"/>
                <w:highlight w:val="none"/>
              </w:rPr>
              <w:t>注:须提供以上证书复印件并加盖</w:t>
            </w:r>
            <w:r>
              <w:rPr>
                <w:rFonts w:hint="eastAsia" w:ascii="宋体" w:hAnsi="宋体" w:cs="宋体"/>
                <w:color w:val="auto"/>
                <w:sz w:val="24"/>
                <w:szCs w:val="24"/>
                <w:highlight w:val="none"/>
                <w:lang w:eastAsia="zh-CN"/>
              </w:rPr>
              <w:t>公</w:t>
            </w:r>
            <w:r>
              <w:rPr>
                <w:rFonts w:hint="eastAsia" w:ascii="宋体" w:hAnsi="宋体" w:cs="宋体"/>
                <w:color w:val="auto"/>
                <w:sz w:val="24"/>
                <w:szCs w:val="24"/>
                <w:highlight w:val="none"/>
              </w:rPr>
              <w:t>章，否则不得分。</w:t>
            </w:r>
          </w:p>
        </w:tc>
        <w:tc>
          <w:tcPr>
            <w:tcW w:w="502" w:type="pct"/>
            <w:noWrap/>
            <w:vAlign w:val="center"/>
          </w:tcPr>
          <w:p>
            <w:pPr>
              <w:pStyle w:val="24"/>
              <w:spacing w:line="240" w:lineRule="auto"/>
              <w:jc w:val="center"/>
              <w:rPr>
                <w:rFonts w:hint="eastAsia" w:hAnsi="宋体" w:cs="宋体"/>
                <w:color w:val="auto"/>
                <w:sz w:val="24"/>
                <w:szCs w:val="24"/>
                <w:highlight w:val="none"/>
                <w:lang w:val="en-US"/>
              </w:rPr>
            </w:pPr>
            <w:r>
              <w:rPr>
                <w:rFonts w:hint="eastAsia" w:hAnsi="宋体" w:cs="宋体"/>
                <w:color w:val="auto"/>
                <w:sz w:val="24"/>
                <w:szCs w:val="24"/>
                <w:highlight w:val="none"/>
                <w:lang w:val="en-US"/>
              </w:rPr>
              <w:t>0-</w:t>
            </w:r>
            <w:r>
              <w:rPr>
                <w:rFonts w:hint="eastAsia" w:hAnsi="宋体" w:cs="宋体"/>
                <w:color w:val="auto"/>
                <w:sz w:val="24"/>
                <w:szCs w:val="24"/>
                <w:highlight w:val="none"/>
                <w:lang w:val="en-US" w:eastAsia="zh-CN"/>
              </w:rPr>
              <w:t>3</w:t>
            </w:r>
            <w:r>
              <w:rPr>
                <w:rFonts w:hint="eastAsia" w:hAnsi="宋体" w:cs="宋体"/>
                <w:color w:val="auto"/>
                <w:sz w:val="24"/>
                <w:szCs w:val="24"/>
                <w:highlight w:val="none"/>
                <w:lang w:val="en-US"/>
              </w:rPr>
              <w:t>分</w:t>
            </w:r>
          </w:p>
        </w:tc>
        <w:tc>
          <w:tcPr>
            <w:tcW w:w="600" w:type="pct"/>
            <w:noWrap/>
            <w:vAlign w:val="center"/>
          </w:tcPr>
          <w:p>
            <w:pPr>
              <w:pStyle w:val="24"/>
              <w:spacing w:line="240" w:lineRule="auto"/>
              <w:jc w:val="center"/>
              <w:rPr>
                <w:rFonts w:hint="eastAsia" w:hAnsi="宋体" w:cs="宋体"/>
                <w:color w:val="auto"/>
                <w:sz w:val="24"/>
                <w:szCs w:val="24"/>
                <w:highlight w:val="none"/>
                <w:lang w:val="en-US"/>
              </w:rPr>
            </w:pPr>
            <w:r>
              <w:rPr>
                <w:rFonts w:hint="eastAsia" w:hAnsi="宋体" w:cs="宋体"/>
                <w:color w:val="auto"/>
                <w:sz w:val="24"/>
                <w:szCs w:val="24"/>
                <w:highlight w:val="none"/>
                <w:lang w:val="en-US"/>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452" w:type="pct"/>
            <w:vMerge w:val="continue"/>
            <w:noWrap/>
            <w:vAlign w:val="center"/>
          </w:tcPr>
          <w:p>
            <w:pPr>
              <w:pStyle w:val="24"/>
              <w:spacing w:line="240" w:lineRule="auto"/>
              <w:jc w:val="center"/>
              <w:rPr>
                <w:rFonts w:hAnsi="宋体" w:cs="宋体"/>
                <w:color w:val="auto"/>
                <w:sz w:val="24"/>
                <w:szCs w:val="24"/>
                <w:highlight w:val="none"/>
                <w:lang w:val="en-US"/>
              </w:rPr>
            </w:pPr>
          </w:p>
        </w:tc>
        <w:tc>
          <w:tcPr>
            <w:tcW w:w="258" w:type="pct"/>
            <w:noWrap/>
            <w:vAlign w:val="center"/>
          </w:tcPr>
          <w:p>
            <w:pPr>
              <w:pStyle w:val="24"/>
              <w:spacing w:line="240" w:lineRule="auto"/>
              <w:jc w:val="center"/>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5</w:t>
            </w:r>
          </w:p>
        </w:tc>
        <w:tc>
          <w:tcPr>
            <w:tcW w:w="3185" w:type="pct"/>
            <w:gridSpan w:val="2"/>
            <w:noWrap/>
          </w:tcPr>
          <w:p>
            <w:pP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自</w:t>
            </w:r>
            <w:r>
              <w:rPr>
                <w:rFonts w:ascii="宋体" w:hAnsi="宋体" w:cs="宋体"/>
                <w:color w:val="auto"/>
                <w:sz w:val="24"/>
                <w:szCs w:val="24"/>
                <w:highlight w:val="none"/>
              </w:rPr>
              <w:t>2020</w:t>
            </w:r>
            <w:r>
              <w:rPr>
                <w:rFonts w:hint="eastAsia" w:ascii="宋体" w:hAnsi="宋体" w:cs="宋体"/>
                <w:color w:val="auto"/>
                <w:sz w:val="24"/>
                <w:szCs w:val="24"/>
                <w:highlight w:val="none"/>
              </w:rPr>
              <w:t>年1月1日至今具有同类项目业绩的，每个业绩得1分，最高得</w:t>
            </w:r>
            <w:r>
              <w:rPr>
                <w:rFonts w:ascii="宋体" w:hAnsi="宋体" w:cs="宋体"/>
                <w:color w:val="auto"/>
                <w:sz w:val="24"/>
                <w:szCs w:val="24"/>
                <w:highlight w:val="none"/>
              </w:rPr>
              <w:t>5</w:t>
            </w:r>
            <w:r>
              <w:rPr>
                <w:rFonts w:hint="eastAsia" w:ascii="宋体" w:hAnsi="宋体" w:cs="宋体"/>
                <w:color w:val="auto"/>
                <w:sz w:val="24"/>
                <w:szCs w:val="24"/>
                <w:highlight w:val="none"/>
              </w:rPr>
              <w:t>分。（须提供合同</w:t>
            </w:r>
            <w:r>
              <w:rPr>
                <w:rFonts w:hint="eastAsia" w:ascii="宋体" w:hAnsi="宋体" w:cs="宋体"/>
                <w:color w:val="auto"/>
                <w:sz w:val="24"/>
                <w:szCs w:val="24"/>
                <w:highlight w:val="none"/>
                <w:lang w:eastAsia="zh-CN"/>
              </w:rPr>
              <w:t>及对应发票</w:t>
            </w:r>
            <w:r>
              <w:rPr>
                <w:rFonts w:hint="eastAsia" w:ascii="宋体" w:hAnsi="宋体" w:cs="宋体"/>
                <w:color w:val="auto"/>
                <w:sz w:val="24"/>
                <w:szCs w:val="24"/>
                <w:highlight w:val="none"/>
              </w:rPr>
              <w:t>复印件，否则不得分。）</w:t>
            </w:r>
          </w:p>
        </w:tc>
        <w:tc>
          <w:tcPr>
            <w:tcW w:w="502" w:type="pct"/>
            <w:noWrap/>
            <w:vAlign w:val="center"/>
          </w:tcPr>
          <w:p>
            <w:pPr>
              <w:pStyle w:val="24"/>
              <w:spacing w:line="240" w:lineRule="auto"/>
              <w:jc w:val="center"/>
              <w:rPr>
                <w:rFonts w:hint="eastAsia" w:hAnsi="宋体" w:cs="宋体"/>
                <w:color w:val="auto"/>
                <w:sz w:val="24"/>
                <w:szCs w:val="24"/>
                <w:highlight w:val="none"/>
                <w:lang w:val="en-US"/>
              </w:rPr>
            </w:pPr>
            <w:r>
              <w:rPr>
                <w:rFonts w:hint="eastAsia" w:hAnsi="宋体" w:cs="宋体"/>
                <w:color w:val="auto"/>
                <w:sz w:val="24"/>
                <w:szCs w:val="24"/>
                <w:highlight w:val="none"/>
                <w:lang w:val="en-US"/>
              </w:rPr>
              <w:t>0-</w:t>
            </w:r>
            <w:r>
              <w:rPr>
                <w:rFonts w:hint="eastAsia" w:hAnsi="宋体" w:cs="宋体"/>
                <w:color w:val="auto"/>
                <w:sz w:val="24"/>
                <w:szCs w:val="24"/>
                <w:highlight w:val="none"/>
                <w:lang w:val="en-US" w:eastAsia="zh-CN"/>
              </w:rPr>
              <w:t>5</w:t>
            </w:r>
            <w:r>
              <w:rPr>
                <w:rFonts w:hint="eastAsia" w:hAnsi="宋体" w:cs="宋体"/>
                <w:color w:val="auto"/>
                <w:sz w:val="24"/>
                <w:szCs w:val="24"/>
                <w:highlight w:val="none"/>
                <w:lang w:val="en-US"/>
              </w:rPr>
              <w:t>分</w:t>
            </w:r>
          </w:p>
        </w:tc>
        <w:tc>
          <w:tcPr>
            <w:tcW w:w="600" w:type="pct"/>
            <w:noWrap/>
            <w:vAlign w:val="center"/>
          </w:tcPr>
          <w:p>
            <w:pPr>
              <w:pStyle w:val="24"/>
              <w:spacing w:line="240" w:lineRule="auto"/>
              <w:jc w:val="center"/>
              <w:rPr>
                <w:rFonts w:hint="eastAsia" w:hAnsi="宋体" w:cs="宋体"/>
                <w:color w:val="auto"/>
                <w:sz w:val="24"/>
                <w:szCs w:val="24"/>
                <w:highlight w:val="none"/>
                <w:lang w:val="en-US"/>
              </w:rPr>
            </w:pPr>
            <w:r>
              <w:rPr>
                <w:rFonts w:hint="eastAsia" w:hAnsi="宋体" w:cs="宋体"/>
                <w:color w:val="auto"/>
                <w:sz w:val="24"/>
                <w:szCs w:val="24"/>
                <w:highlight w:val="none"/>
                <w:lang w:val="en-US"/>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452" w:type="pct"/>
            <w:vMerge w:val="restart"/>
            <w:shd w:val="clear" w:color="auto" w:fill="auto"/>
            <w:vAlign w:val="center"/>
          </w:tcPr>
          <w:p>
            <w:pPr>
              <w:pStyle w:val="24"/>
              <w:spacing w:line="240" w:lineRule="auto"/>
              <w:jc w:val="center"/>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技术部分</w:t>
            </w:r>
          </w:p>
        </w:tc>
        <w:tc>
          <w:tcPr>
            <w:tcW w:w="258" w:type="pct"/>
            <w:shd w:val="clear" w:color="auto" w:fill="auto"/>
            <w:vAlign w:val="center"/>
          </w:tcPr>
          <w:p>
            <w:pPr>
              <w:pStyle w:val="24"/>
              <w:spacing w:line="240" w:lineRule="auto"/>
              <w:jc w:val="center"/>
              <w:rPr>
                <w:rFonts w:hint="eastAsia" w:hAnsi="宋体" w:eastAsia="宋体" w:cs="宋体"/>
                <w:color w:val="auto"/>
                <w:sz w:val="24"/>
                <w:szCs w:val="24"/>
                <w:highlight w:val="none"/>
                <w:lang w:eastAsia="zh-CN"/>
              </w:rPr>
            </w:pPr>
            <w:r>
              <w:rPr>
                <w:rFonts w:hint="eastAsia" w:hAnsi="宋体" w:cs="宋体"/>
                <w:color w:val="auto"/>
                <w:sz w:val="24"/>
                <w:szCs w:val="24"/>
                <w:highlight w:val="none"/>
                <w:lang w:val="en-US" w:eastAsia="zh-CN"/>
              </w:rPr>
              <w:t>6</w:t>
            </w:r>
          </w:p>
        </w:tc>
        <w:tc>
          <w:tcPr>
            <w:tcW w:w="3185" w:type="pct"/>
            <w:gridSpan w:val="2"/>
            <w:shd w:val="clear" w:color="auto" w:fill="auto"/>
            <w:vAlign w:val="center"/>
          </w:tcPr>
          <w:p>
            <w:pPr>
              <w:jc w:val="left"/>
              <w:rPr>
                <w:rFonts w:hAnsi="宋体" w:cs="宋体"/>
                <w:color w:val="auto"/>
                <w:sz w:val="24"/>
                <w:szCs w:val="24"/>
                <w:highlight w:val="none"/>
                <w:lang w:val="zh-TW"/>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所投设备技术参数全部满足文件要求的得满分18分；带</w:t>
            </w:r>
            <w:r>
              <w:rPr>
                <w:rFonts w:hint="eastAsia" w:ascii="宋体" w:hAnsi="宋体" w:cs="宋体"/>
                <w:color w:val="auto"/>
                <w:kern w:val="0"/>
                <w:sz w:val="24"/>
                <w:highlight w:val="none"/>
              </w:rPr>
              <w:t>◆</w:t>
            </w:r>
            <w:r>
              <w:rPr>
                <w:rFonts w:hint="eastAsia" w:ascii="宋体" w:hAnsi="宋体" w:cs="宋体"/>
                <w:color w:val="auto"/>
                <w:sz w:val="24"/>
                <w:szCs w:val="24"/>
                <w:highlight w:val="none"/>
              </w:rPr>
              <w:t>参数为重要指标，有一项负偏离扣1分；其他技术参数项有一项负偏离扣0.5分，扣完为止。严重负偏离影响设备性能的经半数以上评委认定，本项得0分。</w:t>
            </w:r>
          </w:p>
        </w:tc>
        <w:tc>
          <w:tcPr>
            <w:tcW w:w="502" w:type="pct"/>
            <w:shd w:val="clear" w:color="auto" w:fill="auto"/>
            <w:vAlign w:val="center"/>
          </w:tcPr>
          <w:p>
            <w:pPr>
              <w:jc w:val="center"/>
              <w:rPr>
                <w:rFonts w:hint="eastAsia" w:hAnsi="宋体" w:eastAsia="宋体" w:cs="宋体"/>
                <w:color w:val="auto"/>
                <w:sz w:val="24"/>
                <w:szCs w:val="24"/>
                <w:highlight w:val="none"/>
                <w:lang w:eastAsia="zh-CN"/>
              </w:rPr>
            </w:pPr>
            <w:r>
              <w:rPr>
                <w:rFonts w:ascii="宋体" w:hAnsi="宋体" w:cs="宋体"/>
                <w:color w:val="auto"/>
                <w:sz w:val="24"/>
                <w:szCs w:val="24"/>
                <w:highlight w:val="none"/>
              </w:rPr>
              <w:t>0</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8分</w:t>
            </w:r>
          </w:p>
        </w:tc>
        <w:tc>
          <w:tcPr>
            <w:tcW w:w="600" w:type="pct"/>
            <w:shd w:val="clear" w:color="auto" w:fill="auto"/>
            <w:vAlign w:val="center"/>
          </w:tcPr>
          <w:p>
            <w:pPr>
              <w:pStyle w:val="24"/>
              <w:spacing w:line="240" w:lineRule="auto"/>
              <w:jc w:val="center"/>
              <w:rPr>
                <w:rFonts w:hAnsi="宋体" w:cs="宋体"/>
                <w:color w:val="auto"/>
                <w:sz w:val="24"/>
                <w:szCs w:val="24"/>
                <w:highlight w:val="none"/>
              </w:rPr>
            </w:pPr>
            <w:r>
              <w:rPr>
                <w:rFonts w:hint="eastAsia" w:hAnsi="宋体" w:cs="宋体"/>
                <w:color w:val="auto"/>
                <w:sz w:val="24"/>
                <w:szCs w:val="24"/>
                <w:highlight w:val="none"/>
                <w:lang w:val="en-US"/>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452" w:type="pct"/>
            <w:vMerge w:val="continue"/>
            <w:shd w:val="clear" w:color="auto" w:fill="auto"/>
            <w:vAlign w:val="center"/>
          </w:tcPr>
          <w:p>
            <w:pPr>
              <w:pStyle w:val="24"/>
              <w:spacing w:line="240" w:lineRule="auto"/>
              <w:jc w:val="center"/>
              <w:rPr>
                <w:rFonts w:hAnsi="宋体" w:cs="宋体"/>
                <w:color w:val="auto"/>
                <w:sz w:val="24"/>
                <w:szCs w:val="24"/>
                <w:highlight w:val="none"/>
              </w:rPr>
            </w:pPr>
          </w:p>
        </w:tc>
        <w:tc>
          <w:tcPr>
            <w:tcW w:w="258" w:type="pct"/>
            <w:shd w:val="clear" w:color="auto" w:fill="auto"/>
            <w:vAlign w:val="center"/>
          </w:tcPr>
          <w:p>
            <w:pPr>
              <w:pStyle w:val="24"/>
              <w:spacing w:line="240" w:lineRule="auto"/>
              <w:jc w:val="center"/>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7</w:t>
            </w:r>
          </w:p>
        </w:tc>
        <w:tc>
          <w:tcPr>
            <w:tcW w:w="3185" w:type="pct"/>
            <w:gridSpan w:val="2"/>
            <w:shd w:val="clear" w:color="auto" w:fill="auto"/>
            <w:vAlign w:val="center"/>
          </w:tcPr>
          <w:p>
            <w:pPr>
              <w:jc w:val="left"/>
              <w:rPr>
                <w:rFonts w:hAnsi="宋体" w:cs="宋体"/>
                <w:color w:val="auto"/>
                <w:sz w:val="24"/>
                <w:szCs w:val="24"/>
                <w:highlight w:val="none"/>
                <w:lang w:val="zh-TW"/>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所投智慧断路器、通讯模块、电源模组、智能电箱产品具有中国环境标志产品认证证书的，每提供一个得1分，最多得4分。（提供认证证书复印件并加盖</w:t>
            </w:r>
            <w:r>
              <w:rPr>
                <w:rFonts w:hint="eastAsia" w:ascii="宋体" w:hAnsi="宋体" w:cs="宋体"/>
                <w:color w:val="auto"/>
                <w:sz w:val="24"/>
                <w:szCs w:val="24"/>
                <w:highlight w:val="none"/>
                <w:lang w:eastAsia="zh-CN"/>
              </w:rPr>
              <w:t>公</w:t>
            </w:r>
            <w:r>
              <w:rPr>
                <w:rFonts w:hint="eastAsia" w:ascii="宋体" w:hAnsi="宋体" w:cs="宋体"/>
                <w:color w:val="auto"/>
                <w:sz w:val="24"/>
                <w:szCs w:val="24"/>
                <w:highlight w:val="none"/>
              </w:rPr>
              <w:t>章）；</w:t>
            </w:r>
          </w:p>
        </w:tc>
        <w:tc>
          <w:tcPr>
            <w:tcW w:w="502" w:type="pct"/>
            <w:shd w:val="clear" w:color="auto" w:fill="auto"/>
            <w:vAlign w:val="center"/>
          </w:tcPr>
          <w:p>
            <w:pPr>
              <w:jc w:val="center"/>
              <w:rPr>
                <w:rFonts w:hint="eastAsia" w:hAnsi="宋体" w:eastAsia="宋体" w:cs="宋体"/>
                <w:color w:val="auto"/>
                <w:sz w:val="24"/>
                <w:szCs w:val="24"/>
                <w:highlight w:val="none"/>
                <w:lang w:val="en-US" w:eastAsia="zh-CN"/>
              </w:rPr>
            </w:pPr>
            <w:r>
              <w:rPr>
                <w:rFonts w:hint="eastAsia" w:ascii="宋体" w:hAnsi="宋体" w:cs="宋体"/>
                <w:color w:val="auto"/>
                <w:sz w:val="24"/>
                <w:szCs w:val="24"/>
                <w:highlight w:val="none"/>
              </w:rPr>
              <w:t>0-4</w:t>
            </w:r>
            <w:r>
              <w:rPr>
                <w:rFonts w:hint="eastAsia" w:ascii="宋体" w:hAnsi="宋体" w:cs="宋体"/>
                <w:color w:val="auto"/>
                <w:sz w:val="24"/>
                <w:szCs w:val="24"/>
                <w:highlight w:val="none"/>
                <w:lang w:eastAsia="zh-CN"/>
              </w:rPr>
              <w:t>分</w:t>
            </w:r>
          </w:p>
        </w:tc>
        <w:tc>
          <w:tcPr>
            <w:tcW w:w="600" w:type="pct"/>
            <w:shd w:val="clear" w:color="auto" w:fill="auto"/>
            <w:vAlign w:val="center"/>
          </w:tcPr>
          <w:p>
            <w:pPr>
              <w:pStyle w:val="24"/>
              <w:spacing w:line="240" w:lineRule="auto"/>
              <w:jc w:val="center"/>
              <w:rPr>
                <w:rFonts w:hint="eastAsia" w:hAnsi="宋体" w:cs="宋体"/>
                <w:color w:val="auto"/>
                <w:sz w:val="24"/>
                <w:szCs w:val="24"/>
                <w:highlight w:val="none"/>
              </w:rPr>
            </w:pPr>
            <w:r>
              <w:rPr>
                <w:rFonts w:hint="eastAsia" w:hAnsi="宋体" w:cs="宋体"/>
                <w:color w:val="auto"/>
                <w:sz w:val="24"/>
                <w:szCs w:val="24"/>
                <w:highlight w:val="none"/>
                <w:lang w:val="en-US"/>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452" w:type="pct"/>
            <w:vMerge w:val="continue"/>
            <w:shd w:val="clear" w:color="auto" w:fill="auto"/>
            <w:vAlign w:val="center"/>
          </w:tcPr>
          <w:p>
            <w:pPr>
              <w:pStyle w:val="24"/>
              <w:spacing w:line="240" w:lineRule="auto"/>
              <w:jc w:val="center"/>
              <w:rPr>
                <w:rFonts w:hAnsi="宋体" w:cs="宋体"/>
                <w:color w:val="auto"/>
                <w:sz w:val="24"/>
                <w:szCs w:val="24"/>
                <w:highlight w:val="none"/>
              </w:rPr>
            </w:pPr>
          </w:p>
        </w:tc>
        <w:tc>
          <w:tcPr>
            <w:tcW w:w="258" w:type="pct"/>
            <w:shd w:val="clear" w:color="auto" w:fill="auto"/>
            <w:vAlign w:val="center"/>
          </w:tcPr>
          <w:p>
            <w:pPr>
              <w:pStyle w:val="24"/>
              <w:spacing w:line="240" w:lineRule="auto"/>
              <w:jc w:val="center"/>
              <w:rPr>
                <w:rFonts w:hAnsi="宋体" w:cs="宋体"/>
                <w:color w:val="auto"/>
                <w:sz w:val="24"/>
                <w:szCs w:val="24"/>
                <w:highlight w:val="none"/>
              </w:rPr>
            </w:pPr>
            <w:r>
              <w:rPr>
                <w:rFonts w:hint="eastAsia" w:hAnsi="宋体" w:cs="宋体"/>
                <w:color w:val="auto"/>
                <w:sz w:val="24"/>
                <w:szCs w:val="24"/>
                <w:highlight w:val="none"/>
                <w:lang w:val="en-US"/>
              </w:rPr>
              <w:t>8</w:t>
            </w:r>
          </w:p>
        </w:tc>
        <w:tc>
          <w:tcPr>
            <w:tcW w:w="3185" w:type="pct"/>
            <w:gridSpan w:val="2"/>
            <w:shd w:val="clear" w:color="auto" w:fill="auto"/>
            <w:vAlign w:val="center"/>
          </w:tcPr>
          <w:p>
            <w:pPr>
              <w:jc w:val="left"/>
              <w:rPr>
                <w:rFonts w:hAnsi="宋体" w:cs="宋体"/>
                <w:color w:val="auto"/>
                <w:sz w:val="24"/>
                <w:szCs w:val="24"/>
                <w:highlight w:val="none"/>
                <w:lang w:val="zh-TW" w:eastAsia="zh-TW"/>
              </w:rPr>
            </w:pPr>
            <w:r>
              <w:rPr>
                <w:rFonts w:hint="eastAsia" w:ascii="宋体" w:hAnsi="宋体" w:cs="宋体"/>
                <w:color w:val="auto"/>
                <w:sz w:val="24"/>
                <w:szCs w:val="24"/>
                <w:highlight w:val="none"/>
              </w:rPr>
              <w:t>投标方案的合理性、科学性、全面性（根据对投标项目的理解程度、总体设计、组织实施、独到优势等情况综合评定）</w:t>
            </w:r>
          </w:p>
        </w:tc>
        <w:tc>
          <w:tcPr>
            <w:tcW w:w="502" w:type="pct"/>
            <w:shd w:val="clear" w:color="auto" w:fill="auto"/>
            <w:vAlign w:val="center"/>
          </w:tcPr>
          <w:p>
            <w:pPr>
              <w:jc w:val="center"/>
              <w:rPr>
                <w:rFonts w:hint="eastAsia"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-6</w:t>
            </w:r>
            <w:r>
              <w:rPr>
                <w:rFonts w:hint="eastAsia" w:ascii="宋体" w:hAnsi="宋体" w:cs="宋体"/>
                <w:color w:val="auto"/>
                <w:sz w:val="24"/>
                <w:szCs w:val="24"/>
                <w:highlight w:val="none"/>
                <w:lang w:eastAsia="zh-CN"/>
              </w:rPr>
              <w:t>分</w:t>
            </w:r>
          </w:p>
        </w:tc>
        <w:tc>
          <w:tcPr>
            <w:tcW w:w="600" w:type="pct"/>
            <w:shd w:val="clear" w:color="auto" w:fill="auto"/>
            <w:vAlign w:val="center"/>
          </w:tcPr>
          <w:p>
            <w:pPr>
              <w:pStyle w:val="24"/>
              <w:spacing w:line="240" w:lineRule="auto"/>
              <w:jc w:val="center"/>
              <w:rPr>
                <w:rFonts w:hAnsi="宋体" w:cs="宋体"/>
                <w:color w:val="auto"/>
                <w:sz w:val="24"/>
                <w:szCs w:val="24"/>
                <w:highlight w:val="none"/>
              </w:rPr>
            </w:pPr>
            <w:r>
              <w:rPr>
                <w:rFonts w:hint="eastAsia" w:hAnsi="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52" w:type="pct"/>
            <w:vMerge w:val="continue"/>
            <w:shd w:val="clear" w:color="auto" w:fill="auto"/>
            <w:vAlign w:val="center"/>
          </w:tcPr>
          <w:p>
            <w:pPr>
              <w:pStyle w:val="24"/>
              <w:spacing w:line="240" w:lineRule="auto"/>
              <w:jc w:val="center"/>
              <w:rPr>
                <w:rFonts w:hAnsi="宋体" w:cs="宋体"/>
                <w:color w:val="auto"/>
                <w:sz w:val="24"/>
                <w:szCs w:val="24"/>
                <w:highlight w:val="none"/>
              </w:rPr>
            </w:pPr>
          </w:p>
        </w:tc>
        <w:tc>
          <w:tcPr>
            <w:tcW w:w="258" w:type="pct"/>
            <w:shd w:val="clear" w:color="auto" w:fill="auto"/>
            <w:vAlign w:val="center"/>
          </w:tcPr>
          <w:p>
            <w:pPr>
              <w:pStyle w:val="24"/>
              <w:spacing w:line="240" w:lineRule="auto"/>
              <w:jc w:val="center"/>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9</w:t>
            </w:r>
          </w:p>
        </w:tc>
        <w:tc>
          <w:tcPr>
            <w:tcW w:w="3185" w:type="pct"/>
            <w:gridSpan w:val="2"/>
            <w:shd w:val="clear" w:color="auto" w:fill="auto"/>
            <w:vAlign w:val="center"/>
          </w:tcPr>
          <w:p>
            <w:pPr>
              <w:jc w:val="left"/>
              <w:rPr>
                <w:rFonts w:hAnsi="宋体" w:cs="宋体"/>
                <w:color w:val="auto"/>
                <w:sz w:val="24"/>
                <w:szCs w:val="24"/>
                <w:highlight w:val="none"/>
                <w:lang w:val="zh-TW"/>
              </w:rPr>
            </w:pPr>
            <w:r>
              <w:rPr>
                <w:rFonts w:hint="eastAsia" w:ascii="宋体" w:hAnsi="宋体" w:cs="宋体"/>
                <w:color w:val="auto"/>
                <w:sz w:val="24"/>
                <w:szCs w:val="24"/>
                <w:highlight w:val="none"/>
              </w:rPr>
              <w:t>保证进度和项目完成的方案和措施等综合评定</w:t>
            </w:r>
          </w:p>
        </w:tc>
        <w:tc>
          <w:tcPr>
            <w:tcW w:w="502" w:type="pct"/>
            <w:shd w:val="clear" w:color="auto" w:fill="auto"/>
            <w:vAlign w:val="center"/>
          </w:tcPr>
          <w:p>
            <w:pPr>
              <w:jc w:val="center"/>
              <w:rPr>
                <w:rFonts w:hint="eastAsia"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-3</w:t>
            </w:r>
            <w:r>
              <w:rPr>
                <w:rFonts w:hint="eastAsia" w:ascii="宋体" w:hAnsi="宋体" w:cs="宋体"/>
                <w:color w:val="auto"/>
                <w:sz w:val="24"/>
                <w:szCs w:val="24"/>
                <w:highlight w:val="none"/>
                <w:lang w:eastAsia="zh-CN"/>
              </w:rPr>
              <w:t>分</w:t>
            </w:r>
          </w:p>
        </w:tc>
        <w:tc>
          <w:tcPr>
            <w:tcW w:w="600" w:type="pct"/>
            <w:shd w:val="clear" w:color="auto" w:fill="auto"/>
            <w:vAlign w:val="center"/>
          </w:tcPr>
          <w:p>
            <w:pPr>
              <w:pStyle w:val="24"/>
              <w:spacing w:line="240" w:lineRule="auto"/>
              <w:jc w:val="center"/>
              <w:rPr>
                <w:rFonts w:hAnsi="宋体" w:cs="宋体"/>
                <w:color w:val="auto"/>
                <w:sz w:val="24"/>
                <w:szCs w:val="24"/>
                <w:highlight w:val="none"/>
              </w:rPr>
            </w:pPr>
            <w:r>
              <w:rPr>
                <w:rFonts w:hint="eastAsia" w:hAnsi="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52" w:type="pct"/>
            <w:vMerge w:val="continue"/>
            <w:shd w:val="clear" w:color="auto" w:fill="auto"/>
            <w:vAlign w:val="center"/>
          </w:tcPr>
          <w:p>
            <w:pPr>
              <w:pStyle w:val="24"/>
              <w:spacing w:line="240" w:lineRule="auto"/>
              <w:jc w:val="center"/>
              <w:rPr>
                <w:rFonts w:hAnsi="宋体" w:cs="宋体"/>
                <w:color w:val="auto"/>
                <w:sz w:val="24"/>
                <w:szCs w:val="24"/>
                <w:highlight w:val="none"/>
              </w:rPr>
            </w:pPr>
          </w:p>
        </w:tc>
        <w:tc>
          <w:tcPr>
            <w:tcW w:w="258" w:type="pct"/>
            <w:shd w:val="clear" w:color="auto" w:fill="auto"/>
            <w:vAlign w:val="center"/>
          </w:tcPr>
          <w:p>
            <w:pPr>
              <w:pStyle w:val="24"/>
              <w:spacing w:line="240" w:lineRule="auto"/>
              <w:jc w:val="center"/>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10</w:t>
            </w:r>
          </w:p>
        </w:tc>
        <w:tc>
          <w:tcPr>
            <w:tcW w:w="3185" w:type="pct"/>
            <w:gridSpan w:val="2"/>
            <w:shd w:val="clear" w:color="auto" w:fill="auto"/>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项目负责人具有ITSS</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IT 服务项目经理证书得1分（提供近三个月不间断的社保证明并盖有社保部门电子章）</w:t>
            </w:r>
          </w:p>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拟投入人员中，每有1名具有ITSS IT服务工程师证书或电子信息工程师资格证书的技术人员得2分，本项最高得 4 分（提供近三个月不间断的社保证明并盖有社保部门电子章）</w:t>
            </w:r>
          </w:p>
          <w:p>
            <w:pPr>
              <w:jc w:val="left"/>
              <w:rPr>
                <w:rFonts w:hAnsi="宋体" w:cs="宋体"/>
                <w:color w:val="auto"/>
                <w:sz w:val="24"/>
                <w:szCs w:val="24"/>
                <w:highlight w:val="none"/>
                <w:lang w:val="zh-TW"/>
              </w:rPr>
            </w:pPr>
            <w:r>
              <w:rPr>
                <w:rFonts w:hint="eastAsia" w:ascii="宋体" w:hAnsi="宋体" w:cs="宋体"/>
                <w:color w:val="auto"/>
                <w:sz w:val="24"/>
                <w:szCs w:val="24"/>
                <w:highlight w:val="none"/>
              </w:rPr>
              <w:t>拟投入人员中，具有行政主管部门颁发的有效的电工证人员数量，少于5人本项得1分，6~10人得2分，11人以上得3分（提供近三个月不间断的社保证明并盖有社保部门电子章）</w:t>
            </w:r>
          </w:p>
        </w:tc>
        <w:tc>
          <w:tcPr>
            <w:tcW w:w="502" w:type="pct"/>
            <w:shd w:val="clear" w:color="auto" w:fill="auto"/>
            <w:vAlign w:val="center"/>
          </w:tcPr>
          <w:p>
            <w:pPr>
              <w:jc w:val="center"/>
              <w:rPr>
                <w:rFonts w:hint="eastAsia" w:hAnsi="宋体" w:eastAsia="宋体" w:cs="宋体"/>
                <w:color w:val="auto"/>
                <w:sz w:val="24"/>
                <w:szCs w:val="24"/>
                <w:highlight w:val="none"/>
                <w:lang w:val="en-US" w:eastAsia="zh-CN"/>
              </w:rPr>
            </w:pPr>
            <w:r>
              <w:rPr>
                <w:rFonts w:ascii="宋体" w:hAnsi="宋体" w:cs="宋体"/>
                <w:color w:val="auto"/>
                <w:sz w:val="24"/>
                <w:szCs w:val="24"/>
                <w:highlight w:val="none"/>
              </w:rPr>
              <w:t>0-8</w:t>
            </w:r>
            <w:r>
              <w:rPr>
                <w:rFonts w:hint="eastAsia" w:ascii="宋体" w:hAnsi="宋体" w:cs="宋体"/>
                <w:color w:val="auto"/>
                <w:sz w:val="24"/>
                <w:szCs w:val="24"/>
                <w:highlight w:val="none"/>
                <w:lang w:eastAsia="zh-CN"/>
              </w:rPr>
              <w:t>分</w:t>
            </w:r>
          </w:p>
        </w:tc>
        <w:tc>
          <w:tcPr>
            <w:tcW w:w="600" w:type="pct"/>
            <w:shd w:val="clear" w:color="auto" w:fill="auto"/>
            <w:vAlign w:val="center"/>
          </w:tcPr>
          <w:p>
            <w:pPr>
              <w:pStyle w:val="24"/>
              <w:spacing w:line="240" w:lineRule="auto"/>
              <w:jc w:val="center"/>
              <w:rPr>
                <w:rFonts w:hint="eastAsia" w:hAnsi="宋体" w:cs="宋体"/>
                <w:color w:val="auto"/>
                <w:sz w:val="24"/>
                <w:szCs w:val="24"/>
                <w:highlight w:val="none"/>
              </w:rPr>
            </w:pPr>
            <w:r>
              <w:rPr>
                <w:rFonts w:hint="eastAsia" w:hAnsi="宋体" w:cs="宋体"/>
                <w:color w:val="auto"/>
                <w:sz w:val="24"/>
                <w:szCs w:val="24"/>
                <w:highlight w:val="none"/>
                <w:lang w:val="en-US"/>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52" w:type="pct"/>
            <w:vMerge w:val="continue"/>
            <w:shd w:val="clear" w:color="auto" w:fill="auto"/>
            <w:vAlign w:val="center"/>
          </w:tcPr>
          <w:p>
            <w:pPr>
              <w:pStyle w:val="24"/>
              <w:spacing w:line="240" w:lineRule="auto"/>
              <w:jc w:val="center"/>
              <w:rPr>
                <w:rFonts w:hAnsi="宋体" w:cs="宋体"/>
                <w:color w:val="auto"/>
                <w:sz w:val="24"/>
                <w:szCs w:val="24"/>
                <w:highlight w:val="none"/>
              </w:rPr>
            </w:pPr>
          </w:p>
        </w:tc>
        <w:tc>
          <w:tcPr>
            <w:tcW w:w="258" w:type="pct"/>
            <w:shd w:val="clear" w:color="auto" w:fill="auto"/>
            <w:vAlign w:val="center"/>
          </w:tcPr>
          <w:p>
            <w:pPr>
              <w:pStyle w:val="24"/>
              <w:spacing w:line="240" w:lineRule="auto"/>
              <w:jc w:val="center"/>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11</w:t>
            </w:r>
          </w:p>
        </w:tc>
        <w:tc>
          <w:tcPr>
            <w:tcW w:w="3185" w:type="pct"/>
            <w:gridSpan w:val="2"/>
            <w:shd w:val="clear" w:color="auto" w:fill="auto"/>
            <w:vAlign w:val="center"/>
          </w:tcPr>
          <w:p>
            <w:pPr>
              <w:jc w:val="left"/>
              <w:rPr>
                <w:rFonts w:hAnsi="宋体" w:cs="宋体"/>
                <w:color w:val="auto"/>
                <w:sz w:val="24"/>
                <w:szCs w:val="24"/>
                <w:highlight w:val="none"/>
                <w:lang w:val="zh-TW"/>
              </w:rPr>
            </w:pPr>
            <w:r>
              <w:rPr>
                <w:rFonts w:hint="eastAsia" w:ascii="宋体" w:hAnsi="宋体" w:cs="宋体"/>
                <w:color w:val="auto"/>
                <w:sz w:val="24"/>
                <w:szCs w:val="24"/>
                <w:highlight w:val="none"/>
              </w:rPr>
              <w:t>对本项目的合理化建议（综合评定）</w:t>
            </w:r>
          </w:p>
        </w:tc>
        <w:tc>
          <w:tcPr>
            <w:tcW w:w="502" w:type="pct"/>
            <w:shd w:val="clear" w:color="auto" w:fill="auto"/>
            <w:vAlign w:val="center"/>
          </w:tcPr>
          <w:p>
            <w:pPr>
              <w:jc w:val="center"/>
              <w:rPr>
                <w:rFonts w:hint="eastAsia"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分</w:t>
            </w:r>
          </w:p>
        </w:tc>
        <w:tc>
          <w:tcPr>
            <w:tcW w:w="600" w:type="pct"/>
            <w:shd w:val="clear" w:color="auto" w:fill="auto"/>
            <w:vAlign w:val="center"/>
          </w:tcPr>
          <w:p>
            <w:pPr>
              <w:pStyle w:val="24"/>
              <w:spacing w:line="240" w:lineRule="auto"/>
              <w:jc w:val="center"/>
              <w:rPr>
                <w:rFonts w:hint="eastAsia" w:hAnsi="宋体" w:cs="宋体"/>
                <w:color w:val="auto"/>
                <w:sz w:val="24"/>
                <w:szCs w:val="24"/>
                <w:highlight w:val="none"/>
              </w:rPr>
            </w:pPr>
            <w:r>
              <w:rPr>
                <w:rFonts w:hint="eastAsia" w:hAnsi="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52" w:type="pct"/>
            <w:vMerge w:val="continue"/>
            <w:shd w:val="clear" w:color="auto" w:fill="auto"/>
            <w:vAlign w:val="center"/>
          </w:tcPr>
          <w:p>
            <w:pPr>
              <w:pStyle w:val="24"/>
              <w:spacing w:line="240" w:lineRule="auto"/>
              <w:jc w:val="center"/>
              <w:rPr>
                <w:rFonts w:hAnsi="宋体" w:cs="宋体"/>
                <w:color w:val="auto"/>
                <w:sz w:val="24"/>
                <w:szCs w:val="24"/>
                <w:highlight w:val="none"/>
              </w:rPr>
            </w:pPr>
          </w:p>
        </w:tc>
        <w:tc>
          <w:tcPr>
            <w:tcW w:w="258" w:type="pct"/>
            <w:shd w:val="clear" w:color="auto" w:fill="auto"/>
            <w:vAlign w:val="center"/>
          </w:tcPr>
          <w:p>
            <w:pPr>
              <w:pStyle w:val="24"/>
              <w:spacing w:line="240" w:lineRule="auto"/>
              <w:jc w:val="center"/>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12</w:t>
            </w:r>
          </w:p>
        </w:tc>
        <w:tc>
          <w:tcPr>
            <w:tcW w:w="3185" w:type="pct"/>
            <w:gridSpan w:val="2"/>
            <w:shd w:val="clear" w:color="auto" w:fill="auto"/>
            <w:vAlign w:val="center"/>
          </w:tcPr>
          <w:p>
            <w:pPr>
              <w:jc w:val="left"/>
              <w:rPr>
                <w:rFonts w:hAnsi="宋体" w:cs="宋体"/>
                <w:color w:val="auto"/>
                <w:sz w:val="24"/>
                <w:szCs w:val="24"/>
                <w:highlight w:val="none"/>
                <w:lang w:val="zh-TW"/>
              </w:rPr>
            </w:pPr>
            <w:r>
              <w:rPr>
                <w:rFonts w:hint="eastAsia" w:ascii="宋体" w:hAnsi="宋体" w:cs="宋体"/>
                <w:color w:val="auto"/>
                <w:sz w:val="24"/>
                <w:szCs w:val="24"/>
                <w:highlight w:val="none"/>
              </w:rPr>
              <w:t>服务质量保证情况（根据质保期限、可实现程度、提供优惠等情况综合评定）</w:t>
            </w:r>
          </w:p>
        </w:tc>
        <w:tc>
          <w:tcPr>
            <w:tcW w:w="502" w:type="pct"/>
            <w:shd w:val="clear" w:color="auto" w:fill="auto"/>
            <w:vAlign w:val="center"/>
          </w:tcPr>
          <w:p>
            <w:pPr>
              <w:jc w:val="center"/>
              <w:rPr>
                <w:rFonts w:hint="eastAsia"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-2</w:t>
            </w:r>
            <w:r>
              <w:rPr>
                <w:rFonts w:hint="eastAsia" w:ascii="宋体" w:hAnsi="宋体" w:cs="宋体"/>
                <w:color w:val="auto"/>
                <w:sz w:val="24"/>
                <w:szCs w:val="24"/>
                <w:highlight w:val="none"/>
                <w:lang w:eastAsia="zh-CN"/>
              </w:rPr>
              <w:t>分</w:t>
            </w:r>
          </w:p>
        </w:tc>
        <w:tc>
          <w:tcPr>
            <w:tcW w:w="600" w:type="pct"/>
            <w:shd w:val="clear" w:color="auto" w:fill="auto"/>
            <w:vAlign w:val="center"/>
          </w:tcPr>
          <w:p>
            <w:pPr>
              <w:pStyle w:val="24"/>
              <w:spacing w:line="240" w:lineRule="auto"/>
              <w:jc w:val="center"/>
              <w:rPr>
                <w:rFonts w:hint="eastAsia" w:hAnsi="宋体" w:cs="宋体"/>
                <w:color w:val="auto"/>
                <w:sz w:val="24"/>
                <w:szCs w:val="24"/>
                <w:highlight w:val="none"/>
              </w:rPr>
            </w:pPr>
            <w:r>
              <w:rPr>
                <w:rFonts w:hint="eastAsia" w:hAnsi="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52" w:type="pct"/>
            <w:vMerge w:val="continue"/>
            <w:shd w:val="clear" w:color="auto" w:fill="auto"/>
            <w:vAlign w:val="center"/>
          </w:tcPr>
          <w:p>
            <w:pPr>
              <w:pStyle w:val="24"/>
              <w:spacing w:line="240" w:lineRule="auto"/>
              <w:jc w:val="center"/>
              <w:rPr>
                <w:rFonts w:hAnsi="宋体" w:cs="宋体"/>
                <w:color w:val="auto"/>
                <w:sz w:val="24"/>
                <w:szCs w:val="24"/>
                <w:highlight w:val="none"/>
              </w:rPr>
            </w:pPr>
          </w:p>
        </w:tc>
        <w:tc>
          <w:tcPr>
            <w:tcW w:w="258" w:type="pct"/>
            <w:shd w:val="clear" w:color="auto" w:fill="auto"/>
            <w:vAlign w:val="center"/>
          </w:tcPr>
          <w:p>
            <w:pPr>
              <w:pStyle w:val="24"/>
              <w:spacing w:line="240" w:lineRule="auto"/>
              <w:jc w:val="center"/>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13</w:t>
            </w:r>
          </w:p>
        </w:tc>
        <w:tc>
          <w:tcPr>
            <w:tcW w:w="3185" w:type="pct"/>
            <w:gridSpan w:val="2"/>
            <w:shd w:val="clear" w:color="auto" w:fill="auto"/>
            <w:vAlign w:val="center"/>
          </w:tcPr>
          <w:p>
            <w:pPr>
              <w:jc w:val="left"/>
              <w:rPr>
                <w:rFonts w:hAnsi="宋体" w:cs="宋体"/>
                <w:color w:val="auto"/>
                <w:sz w:val="24"/>
                <w:szCs w:val="24"/>
                <w:highlight w:val="none"/>
                <w:lang w:val="zh-TW"/>
              </w:rPr>
            </w:pPr>
            <w:r>
              <w:rPr>
                <w:rFonts w:hint="eastAsia" w:ascii="宋体" w:hAnsi="宋体" w:cs="宋体"/>
                <w:color w:val="auto"/>
                <w:sz w:val="24"/>
                <w:szCs w:val="24"/>
                <w:highlight w:val="none"/>
              </w:rPr>
              <w:t>服务承诺（根据本地化服务能力、售后服务方案、措施、响应等情况综合评定）</w:t>
            </w:r>
          </w:p>
        </w:tc>
        <w:tc>
          <w:tcPr>
            <w:tcW w:w="502" w:type="pct"/>
            <w:shd w:val="clear" w:color="auto" w:fill="auto"/>
            <w:vAlign w:val="center"/>
          </w:tcPr>
          <w:p>
            <w:pPr>
              <w:jc w:val="center"/>
              <w:rPr>
                <w:rFonts w:hint="eastAsia"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-2</w:t>
            </w:r>
            <w:r>
              <w:rPr>
                <w:rFonts w:hint="eastAsia" w:ascii="宋体" w:hAnsi="宋体" w:cs="宋体"/>
                <w:color w:val="auto"/>
                <w:sz w:val="24"/>
                <w:szCs w:val="24"/>
                <w:highlight w:val="none"/>
                <w:lang w:eastAsia="zh-CN"/>
              </w:rPr>
              <w:t>分</w:t>
            </w:r>
          </w:p>
        </w:tc>
        <w:tc>
          <w:tcPr>
            <w:tcW w:w="600" w:type="pct"/>
            <w:shd w:val="clear" w:color="auto" w:fill="auto"/>
            <w:vAlign w:val="center"/>
          </w:tcPr>
          <w:p>
            <w:pPr>
              <w:pStyle w:val="24"/>
              <w:spacing w:line="240" w:lineRule="auto"/>
              <w:jc w:val="center"/>
              <w:rPr>
                <w:rFonts w:hint="eastAsia" w:hAnsi="宋体" w:cs="宋体"/>
                <w:color w:val="auto"/>
                <w:sz w:val="24"/>
                <w:szCs w:val="24"/>
                <w:highlight w:val="none"/>
              </w:rPr>
            </w:pPr>
            <w:r>
              <w:rPr>
                <w:rFonts w:hint="eastAsia" w:hAnsi="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52" w:type="pct"/>
            <w:vMerge w:val="continue"/>
            <w:shd w:val="clear" w:color="auto" w:fill="auto"/>
            <w:vAlign w:val="center"/>
          </w:tcPr>
          <w:p>
            <w:pPr>
              <w:pStyle w:val="24"/>
              <w:spacing w:line="240" w:lineRule="auto"/>
              <w:jc w:val="center"/>
              <w:rPr>
                <w:rFonts w:hAnsi="宋体" w:cs="宋体"/>
                <w:color w:val="auto"/>
                <w:sz w:val="24"/>
                <w:szCs w:val="24"/>
                <w:highlight w:val="none"/>
              </w:rPr>
            </w:pPr>
          </w:p>
        </w:tc>
        <w:tc>
          <w:tcPr>
            <w:tcW w:w="258" w:type="pct"/>
            <w:shd w:val="clear" w:color="auto" w:fill="auto"/>
            <w:vAlign w:val="center"/>
          </w:tcPr>
          <w:p>
            <w:pPr>
              <w:pStyle w:val="24"/>
              <w:spacing w:line="240" w:lineRule="auto"/>
              <w:jc w:val="center"/>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14</w:t>
            </w:r>
          </w:p>
        </w:tc>
        <w:tc>
          <w:tcPr>
            <w:tcW w:w="3185" w:type="pct"/>
            <w:gridSpan w:val="2"/>
            <w:shd w:val="clear" w:color="auto" w:fill="auto"/>
            <w:vAlign w:val="center"/>
          </w:tcPr>
          <w:p>
            <w:pPr>
              <w:jc w:val="left"/>
              <w:rPr>
                <w:rFonts w:hAnsi="宋体" w:cs="宋体"/>
                <w:color w:val="auto"/>
                <w:sz w:val="24"/>
                <w:szCs w:val="24"/>
                <w:highlight w:val="none"/>
                <w:lang w:val="zh-TW"/>
              </w:rPr>
            </w:pPr>
            <w:r>
              <w:rPr>
                <w:rFonts w:hint="eastAsia" w:ascii="宋体" w:hAnsi="宋体" w:cs="宋体"/>
                <w:color w:val="auto"/>
                <w:sz w:val="24"/>
                <w:szCs w:val="24"/>
                <w:highlight w:val="none"/>
              </w:rPr>
              <w:t>备品备件和维修工具情况，投标货物配件、附件、辅助材料的完整性、合理性和可操作性，以及承诺的易损件价格情况等综合评定。</w:t>
            </w:r>
          </w:p>
        </w:tc>
        <w:tc>
          <w:tcPr>
            <w:tcW w:w="502" w:type="pct"/>
            <w:shd w:val="clear" w:color="auto" w:fill="auto"/>
            <w:vAlign w:val="center"/>
          </w:tcPr>
          <w:p>
            <w:pPr>
              <w:jc w:val="center"/>
              <w:rPr>
                <w:rFonts w:hint="eastAsia"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分</w:t>
            </w:r>
          </w:p>
        </w:tc>
        <w:tc>
          <w:tcPr>
            <w:tcW w:w="600" w:type="pct"/>
            <w:shd w:val="clear" w:color="auto" w:fill="auto"/>
            <w:vAlign w:val="center"/>
          </w:tcPr>
          <w:p>
            <w:pPr>
              <w:pStyle w:val="24"/>
              <w:spacing w:line="240" w:lineRule="auto"/>
              <w:jc w:val="center"/>
              <w:rPr>
                <w:rFonts w:hint="eastAsia" w:hAnsi="宋体" w:cs="宋体"/>
                <w:color w:val="auto"/>
                <w:sz w:val="24"/>
                <w:szCs w:val="24"/>
                <w:highlight w:val="none"/>
              </w:rPr>
            </w:pPr>
            <w:r>
              <w:rPr>
                <w:rFonts w:hint="eastAsia" w:hAnsi="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52" w:type="pct"/>
            <w:vMerge w:val="continue"/>
            <w:shd w:val="clear" w:color="auto" w:fill="auto"/>
            <w:vAlign w:val="center"/>
          </w:tcPr>
          <w:p>
            <w:pPr>
              <w:pStyle w:val="24"/>
              <w:spacing w:line="240" w:lineRule="auto"/>
              <w:jc w:val="center"/>
              <w:rPr>
                <w:rFonts w:hAnsi="宋体" w:cs="宋体"/>
                <w:color w:val="auto"/>
                <w:sz w:val="24"/>
                <w:szCs w:val="24"/>
                <w:highlight w:val="none"/>
              </w:rPr>
            </w:pPr>
          </w:p>
        </w:tc>
        <w:tc>
          <w:tcPr>
            <w:tcW w:w="258" w:type="pct"/>
            <w:shd w:val="clear" w:color="auto" w:fill="auto"/>
            <w:vAlign w:val="center"/>
          </w:tcPr>
          <w:p>
            <w:pPr>
              <w:pStyle w:val="24"/>
              <w:spacing w:line="240" w:lineRule="auto"/>
              <w:jc w:val="center"/>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15</w:t>
            </w:r>
          </w:p>
        </w:tc>
        <w:tc>
          <w:tcPr>
            <w:tcW w:w="3185" w:type="pct"/>
            <w:gridSpan w:val="2"/>
            <w:shd w:val="clear" w:color="auto" w:fill="auto"/>
            <w:vAlign w:val="center"/>
          </w:tcPr>
          <w:p>
            <w:pPr>
              <w:jc w:val="left"/>
              <w:rPr>
                <w:rFonts w:hAnsi="宋体" w:cs="宋体"/>
                <w:color w:val="auto"/>
                <w:sz w:val="24"/>
                <w:szCs w:val="24"/>
                <w:highlight w:val="none"/>
                <w:lang w:val="zh-TW"/>
              </w:rPr>
            </w:pPr>
            <w:r>
              <w:rPr>
                <w:rFonts w:hint="eastAsia" w:ascii="宋体" w:hAnsi="宋体" w:cs="宋体"/>
                <w:color w:val="auto"/>
                <w:sz w:val="24"/>
                <w:szCs w:val="24"/>
                <w:highlight w:val="none"/>
              </w:rPr>
              <w:t>安全文明措施（根据本项目特点，供应商编制对应的安全文明措施，综合评定）</w:t>
            </w:r>
          </w:p>
        </w:tc>
        <w:tc>
          <w:tcPr>
            <w:tcW w:w="502" w:type="pct"/>
            <w:shd w:val="clear" w:color="auto" w:fill="auto"/>
            <w:vAlign w:val="center"/>
          </w:tcPr>
          <w:p>
            <w:pPr>
              <w:jc w:val="center"/>
              <w:rPr>
                <w:rFonts w:hint="eastAsia" w:hAnsi="宋体" w:eastAsia="宋体" w:cs="宋体"/>
                <w:color w:val="auto"/>
                <w:sz w:val="24"/>
                <w:szCs w:val="24"/>
                <w:highlight w:val="none"/>
                <w:lang w:val="en-US" w:eastAsia="zh-CN"/>
              </w:rPr>
            </w:pPr>
            <w:r>
              <w:rPr>
                <w:rFonts w:hint="eastAsia" w:ascii="宋体" w:hAnsi="宋体" w:cs="宋体"/>
                <w:color w:val="auto"/>
                <w:sz w:val="24"/>
                <w:szCs w:val="24"/>
                <w:highlight w:val="none"/>
              </w:rPr>
              <w:t>0</w:t>
            </w:r>
            <w:r>
              <w:rPr>
                <w:rFonts w:ascii="宋体" w:hAnsi="宋体" w:cs="宋体"/>
                <w:color w:val="auto"/>
                <w:sz w:val="24"/>
                <w:szCs w:val="24"/>
                <w:highlight w:val="none"/>
              </w:rPr>
              <w:t>-2</w:t>
            </w:r>
            <w:r>
              <w:rPr>
                <w:rFonts w:hint="eastAsia" w:ascii="宋体" w:hAnsi="宋体" w:cs="宋体"/>
                <w:color w:val="auto"/>
                <w:sz w:val="24"/>
                <w:szCs w:val="24"/>
                <w:highlight w:val="none"/>
                <w:lang w:eastAsia="zh-CN"/>
              </w:rPr>
              <w:t>分</w:t>
            </w:r>
          </w:p>
        </w:tc>
        <w:tc>
          <w:tcPr>
            <w:tcW w:w="600" w:type="pct"/>
            <w:shd w:val="clear" w:color="auto" w:fill="auto"/>
            <w:vAlign w:val="center"/>
          </w:tcPr>
          <w:p>
            <w:pPr>
              <w:pStyle w:val="24"/>
              <w:spacing w:line="240" w:lineRule="auto"/>
              <w:jc w:val="center"/>
              <w:rPr>
                <w:rFonts w:hint="eastAsia" w:hAnsi="宋体" w:cs="宋体"/>
                <w:color w:val="auto"/>
                <w:sz w:val="24"/>
                <w:szCs w:val="24"/>
                <w:highlight w:val="none"/>
              </w:rPr>
            </w:pPr>
            <w:r>
              <w:rPr>
                <w:rFonts w:hint="eastAsia" w:hAnsi="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52" w:type="pct"/>
            <w:vMerge w:val="continue"/>
            <w:shd w:val="clear" w:color="auto" w:fill="auto"/>
            <w:vAlign w:val="center"/>
          </w:tcPr>
          <w:p>
            <w:pPr>
              <w:pStyle w:val="24"/>
              <w:spacing w:line="240" w:lineRule="auto"/>
              <w:jc w:val="center"/>
              <w:rPr>
                <w:rFonts w:hAnsi="宋体" w:cs="宋体"/>
                <w:color w:val="auto"/>
                <w:sz w:val="24"/>
                <w:szCs w:val="24"/>
                <w:highlight w:val="none"/>
              </w:rPr>
            </w:pPr>
          </w:p>
        </w:tc>
        <w:tc>
          <w:tcPr>
            <w:tcW w:w="258" w:type="pct"/>
            <w:shd w:val="clear" w:color="auto" w:fill="auto"/>
            <w:vAlign w:val="center"/>
          </w:tcPr>
          <w:p>
            <w:pPr>
              <w:pStyle w:val="24"/>
              <w:spacing w:line="240" w:lineRule="auto"/>
              <w:jc w:val="center"/>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16</w:t>
            </w:r>
          </w:p>
        </w:tc>
        <w:tc>
          <w:tcPr>
            <w:tcW w:w="3185" w:type="pct"/>
            <w:gridSpan w:val="2"/>
            <w:shd w:val="clear" w:color="auto" w:fill="auto"/>
            <w:vAlign w:val="center"/>
          </w:tcPr>
          <w:p>
            <w:pPr>
              <w:jc w:val="left"/>
              <w:rPr>
                <w:rFonts w:hAnsi="宋体" w:cs="宋体"/>
                <w:color w:val="auto"/>
                <w:sz w:val="24"/>
                <w:szCs w:val="24"/>
                <w:highlight w:val="none"/>
                <w:lang w:val="zh-TW"/>
              </w:rPr>
            </w:pPr>
            <w:r>
              <w:rPr>
                <w:rFonts w:hint="eastAsia" w:ascii="宋体" w:hAnsi="宋体" w:cs="宋体"/>
                <w:color w:val="auto"/>
                <w:sz w:val="24"/>
                <w:szCs w:val="24"/>
                <w:highlight w:val="none"/>
              </w:rPr>
              <w:t>供应商应建立完善的应急响应方案，有故障分级标准、故障处理流程、故障抢修方案等。</w:t>
            </w:r>
          </w:p>
        </w:tc>
        <w:tc>
          <w:tcPr>
            <w:tcW w:w="502" w:type="pct"/>
            <w:shd w:val="clear" w:color="auto" w:fill="auto"/>
            <w:vAlign w:val="center"/>
          </w:tcPr>
          <w:p>
            <w:pPr>
              <w:jc w:val="center"/>
              <w:rPr>
                <w:rFonts w:hint="eastAsia" w:hAnsi="宋体" w:eastAsia="宋体" w:cs="宋体"/>
                <w:color w:val="auto"/>
                <w:sz w:val="24"/>
                <w:szCs w:val="24"/>
                <w:highlight w:val="none"/>
                <w:lang w:val="en-US" w:eastAsia="zh-CN"/>
              </w:rPr>
            </w:pPr>
            <w:r>
              <w:rPr>
                <w:rFonts w:hint="eastAsia" w:ascii="宋体" w:hAnsi="宋体" w:cs="宋体"/>
                <w:color w:val="auto"/>
                <w:sz w:val="24"/>
                <w:szCs w:val="24"/>
                <w:highlight w:val="none"/>
              </w:rPr>
              <w:t>0</w:t>
            </w:r>
            <w:r>
              <w:rPr>
                <w:rFonts w:ascii="宋体" w:hAnsi="宋体" w:cs="宋体"/>
                <w:color w:val="auto"/>
                <w:sz w:val="24"/>
                <w:szCs w:val="24"/>
                <w:highlight w:val="none"/>
              </w:rPr>
              <w:t>-2</w:t>
            </w:r>
            <w:r>
              <w:rPr>
                <w:rFonts w:hint="eastAsia" w:ascii="宋体" w:hAnsi="宋体" w:cs="宋体"/>
                <w:color w:val="auto"/>
                <w:sz w:val="24"/>
                <w:szCs w:val="24"/>
                <w:highlight w:val="none"/>
                <w:lang w:eastAsia="zh-CN"/>
              </w:rPr>
              <w:t>分</w:t>
            </w:r>
          </w:p>
        </w:tc>
        <w:tc>
          <w:tcPr>
            <w:tcW w:w="600" w:type="pct"/>
            <w:shd w:val="clear" w:color="auto" w:fill="auto"/>
            <w:vAlign w:val="center"/>
          </w:tcPr>
          <w:p>
            <w:pPr>
              <w:pStyle w:val="24"/>
              <w:spacing w:line="240" w:lineRule="auto"/>
              <w:jc w:val="center"/>
              <w:rPr>
                <w:rFonts w:hint="eastAsia" w:hAnsi="宋体" w:cs="宋体"/>
                <w:color w:val="auto"/>
                <w:sz w:val="24"/>
                <w:szCs w:val="24"/>
                <w:highlight w:val="none"/>
              </w:rPr>
            </w:pPr>
            <w:r>
              <w:rPr>
                <w:rFonts w:hint="eastAsia" w:hAnsi="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2" w:type="pct"/>
            <w:shd w:val="clear" w:color="auto" w:fill="auto"/>
            <w:vAlign w:val="center"/>
          </w:tcPr>
          <w:p>
            <w:pPr>
              <w:pStyle w:val="24"/>
              <w:spacing w:line="240" w:lineRule="auto"/>
              <w:jc w:val="center"/>
              <w:rPr>
                <w:rFonts w:hAnsi="宋体" w:cs="宋体"/>
                <w:color w:val="auto"/>
                <w:sz w:val="24"/>
                <w:szCs w:val="24"/>
                <w:highlight w:val="none"/>
                <w:lang w:val="en-US"/>
              </w:rPr>
            </w:pPr>
            <w:r>
              <w:rPr>
                <w:rFonts w:hint="eastAsia" w:hAnsi="宋体" w:cs="宋体"/>
                <w:color w:val="auto"/>
                <w:sz w:val="24"/>
                <w:szCs w:val="24"/>
                <w:highlight w:val="none"/>
                <w:lang w:val="en-US"/>
              </w:rPr>
              <w:t>价格分</w:t>
            </w:r>
          </w:p>
        </w:tc>
        <w:tc>
          <w:tcPr>
            <w:tcW w:w="459" w:type="pct"/>
            <w:gridSpan w:val="2"/>
            <w:shd w:val="clear" w:color="auto" w:fill="auto"/>
            <w:vAlign w:val="center"/>
          </w:tcPr>
          <w:p>
            <w:pPr>
              <w:widowControl/>
              <w:jc w:val="center"/>
              <w:rPr>
                <w:rFonts w:ascii="宋体" w:hAnsi="宋体" w:cs="宋体"/>
                <w:snapToGrid w:val="0"/>
                <w:color w:val="auto"/>
                <w:sz w:val="24"/>
                <w:szCs w:val="24"/>
                <w:highlight w:val="none"/>
              </w:rPr>
            </w:pPr>
            <w:r>
              <w:rPr>
                <w:rFonts w:hint="eastAsia" w:ascii="宋体" w:hAnsi="宋体" w:cs="宋体"/>
                <w:color w:val="auto"/>
                <w:sz w:val="24"/>
                <w:szCs w:val="24"/>
                <w:highlight w:val="none"/>
              </w:rPr>
              <w:t>价格权值=0.</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w:t>
            </w:r>
          </w:p>
        </w:tc>
        <w:tc>
          <w:tcPr>
            <w:tcW w:w="2984" w:type="pct"/>
            <w:shd w:val="clear" w:color="auto" w:fill="auto"/>
            <w:vAlign w:val="center"/>
          </w:tcPr>
          <w:p>
            <w:pPr>
              <w:widowControl/>
              <w:rPr>
                <w:rFonts w:ascii="宋体" w:hAnsi="宋体" w:cs="宋体"/>
                <w:color w:val="auto"/>
                <w:sz w:val="24"/>
                <w:szCs w:val="24"/>
                <w:highlight w:val="none"/>
              </w:rPr>
            </w:pPr>
            <w:r>
              <w:rPr>
                <w:rFonts w:hint="eastAsia" w:ascii="宋体" w:hAnsi="宋体" w:cs="宋体"/>
                <w:color w:val="auto"/>
                <w:sz w:val="24"/>
                <w:szCs w:val="24"/>
                <w:highlight w:val="none"/>
              </w:rPr>
              <w:t>最低有效投标价格为评标基准价</w:t>
            </w:r>
          </w:p>
          <w:p>
            <w:pPr>
              <w:widowControl/>
              <w:rPr>
                <w:rFonts w:ascii="宋体" w:hAnsi="宋体" w:cs="宋体"/>
                <w:color w:val="auto"/>
                <w:sz w:val="24"/>
                <w:szCs w:val="24"/>
                <w:highlight w:val="none"/>
              </w:rPr>
            </w:pPr>
            <w:r>
              <w:rPr>
                <w:rFonts w:hint="eastAsia" w:ascii="宋体" w:hAnsi="宋体" w:cs="宋体"/>
                <w:color w:val="auto"/>
                <w:sz w:val="24"/>
                <w:szCs w:val="24"/>
                <w:highlight w:val="none"/>
              </w:rPr>
              <w:t xml:space="preserve">投标报价得分=(评标基准价／投标报价)×价格权值×100 </w:t>
            </w:r>
          </w:p>
          <w:p>
            <w:pPr>
              <w:widowControl/>
              <w:rPr>
                <w:rFonts w:ascii="宋体" w:hAnsi="宋体" w:cs="宋体"/>
                <w:b/>
                <w:bCs/>
                <w:color w:val="auto"/>
                <w:sz w:val="24"/>
                <w:szCs w:val="24"/>
                <w:highlight w:val="none"/>
                <w:lang w:val="zh-TW"/>
              </w:rPr>
            </w:pPr>
            <w:r>
              <w:rPr>
                <w:rFonts w:hint="eastAsia" w:ascii="宋体" w:hAnsi="宋体" w:cs="宋体"/>
                <w:color w:val="auto"/>
                <w:sz w:val="24"/>
                <w:szCs w:val="24"/>
                <w:highlight w:val="none"/>
              </w:rPr>
              <w:t>（计算得分保留小数点后2位）</w:t>
            </w:r>
          </w:p>
        </w:tc>
        <w:tc>
          <w:tcPr>
            <w:tcW w:w="502" w:type="pct"/>
            <w:shd w:val="clear" w:color="auto" w:fill="auto"/>
            <w:vAlign w:val="center"/>
          </w:tcPr>
          <w:p>
            <w:pPr>
              <w:widowControl/>
              <w:jc w:val="center"/>
              <w:rPr>
                <w:rFonts w:hint="eastAsia" w:ascii="宋体" w:hAnsi="宋体" w:eastAsia="宋体" w:cs="宋体"/>
                <w:snapToGrid w:val="0"/>
                <w:color w:val="auto"/>
                <w:sz w:val="24"/>
                <w:szCs w:val="24"/>
                <w:highlight w:val="none"/>
                <w:lang w:eastAsia="zh-CN"/>
              </w:rPr>
            </w:pPr>
            <w:r>
              <w:rPr>
                <w:rFonts w:hint="eastAsia" w:ascii="宋体" w:hAnsi="宋体" w:cs="宋体"/>
                <w:color w:val="auto"/>
                <w:sz w:val="24"/>
                <w:szCs w:val="24"/>
                <w:highlight w:val="none"/>
              </w:rPr>
              <w:t>0-</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w:t>
            </w:r>
            <w:r>
              <w:rPr>
                <w:rFonts w:hint="eastAsia" w:ascii="宋体" w:hAnsi="宋体" w:cs="宋体"/>
                <w:color w:val="auto"/>
                <w:sz w:val="24"/>
                <w:szCs w:val="24"/>
                <w:highlight w:val="none"/>
                <w:lang w:eastAsia="zh-CN"/>
              </w:rPr>
              <w:t>分</w:t>
            </w:r>
          </w:p>
        </w:tc>
        <w:tc>
          <w:tcPr>
            <w:tcW w:w="600" w:type="pct"/>
            <w:shd w:val="clear" w:color="auto" w:fill="auto"/>
            <w:vAlign w:val="center"/>
          </w:tcPr>
          <w:p>
            <w:pPr>
              <w:pStyle w:val="3"/>
              <w:spacing w:line="240" w:lineRule="auto"/>
              <w:jc w:val="center"/>
              <w:rPr>
                <w:rFonts w:ascii="宋体" w:hAnsi="宋体" w:cs="宋体"/>
                <w:snapToGrid w:val="0"/>
                <w:color w:val="auto"/>
                <w:sz w:val="24"/>
                <w:szCs w:val="24"/>
                <w:highlight w:val="none"/>
              </w:rPr>
            </w:pPr>
            <w:r>
              <w:rPr>
                <w:rFonts w:hint="eastAsia" w:ascii="宋体" w:hAnsi="宋体" w:cs="宋体"/>
                <w:color w:val="auto"/>
                <w:sz w:val="24"/>
                <w:szCs w:val="24"/>
                <w:highlight w:val="none"/>
              </w:rPr>
              <w:t>/</w:t>
            </w:r>
          </w:p>
        </w:tc>
      </w:tr>
    </w:tbl>
    <w:p>
      <w:pPr>
        <w:widowControl/>
        <w:spacing w:line="360" w:lineRule="auto"/>
        <w:rPr>
          <w:rFonts w:ascii="宋体" w:hAnsi="宋体" w:cs="宋体"/>
          <w:b/>
          <w:color w:val="auto"/>
          <w:sz w:val="24"/>
          <w:highlight w:val="none"/>
        </w:rPr>
      </w:pPr>
    </w:p>
    <w:p>
      <w:pPr>
        <w:widowControl/>
        <w:spacing w:line="360" w:lineRule="auto"/>
        <w:rPr>
          <w:rFonts w:ascii="宋体" w:hAnsi="宋体" w:cs="宋体"/>
          <w:color w:val="auto"/>
          <w:sz w:val="24"/>
          <w:highlight w:val="none"/>
        </w:rPr>
      </w:pPr>
      <w:r>
        <w:rPr>
          <w:rFonts w:hint="eastAsia" w:ascii="宋体" w:hAnsi="宋体" w:cs="宋体"/>
          <w:b/>
          <w:color w:val="auto"/>
          <w:sz w:val="24"/>
          <w:highlight w:val="none"/>
        </w:rPr>
        <w:t>备注：</w:t>
      </w:r>
      <w:r>
        <w:rPr>
          <w:rFonts w:hint="eastAsia" w:ascii="宋体" w:hAnsi="宋体" w:cs="宋体"/>
          <w:color w:val="auto"/>
          <w:sz w:val="24"/>
          <w:highlight w:val="none"/>
        </w:rPr>
        <w:t>1、评分条款中涉及的业绩、荣誉、人员、社保等分公司均有效。</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pPr>
        <w:widowControl/>
        <w:spacing w:line="360" w:lineRule="auto"/>
        <w:ind w:firstLine="480" w:firstLineChars="200"/>
        <w:rPr>
          <w:rFonts w:ascii="宋体" w:hAnsi="宋体" w:cs="宋体"/>
          <w:b/>
          <w:color w:val="auto"/>
          <w:sz w:val="28"/>
          <w:szCs w:val="28"/>
          <w:highlight w:val="none"/>
        </w:rPr>
      </w:pPr>
      <w:r>
        <w:rPr>
          <w:rFonts w:hint="eastAsia" w:ascii="宋体" w:hAnsi="宋体" w:cs="宋体"/>
          <w:color w:val="auto"/>
          <w:sz w:val="24"/>
          <w:highlight w:val="none"/>
        </w:rPr>
        <w:t>3、响应人编制响应文件（商务技术文件部分）时，建议按此目录（序号和内容）提供评审标准相应的商务技术资料。 </w:t>
      </w:r>
      <w:r>
        <w:rPr>
          <w:rFonts w:hint="eastAsia" w:ascii="宋体" w:hAnsi="宋体" w:cs="宋体"/>
          <w:b/>
          <w:color w:val="auto"/>
          <w:sz w:val="32"/>
          <w:highlight w:val="none"/>
        </w:rPr>
        <w:br w:type="page"/>
      </w:r>
      <w:r>
        <w:rPr>
          <w:rFonts w:hint="eastAsia" w:ascii="宋体" w:hAnsi="宋体" w:cs="宋体"/>
          <w:b/>
          <w:color w:val="auto"/>
          <w:sz w:val="28"/>
          <w:szCs w:val="28"/>
          <w:highlight w:val="none"/>
        </w:rPr>
        <w:t>一、交易方法</w:t>
      </w:r>
    </w:p>
    <w:p>
      <w:pPr>
        <w:adjustRightInd/>
        <w:spacing w:line="57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综合评分法，是指响应文件满足公开竞争文件全部实质性要求，且按照评审因素的量化指标评审得分最高的响应人为成交候选人的评标方法。</w:t>
      </w:r>
    </w:p>
    <w:p>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二、交易标准</w:t>
      </w:r>
    </w:p>
    <w:p>
      <w:pPr>
        <w:spacing w:line="57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见交易办法前附表。</w:t>
      </w:r>
    </w:p>
    <w:p>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三、交易程序</w:t>
      </w:r>
    </w:p>
    <w:bookmarkEnd w:id="15"/>
    <w:p>
      <w:pPr>
        <w:spacing w:line="570" w:lineRule="exact"/>
        <w:ind w:firstLine="472" w:firstLineChars="196"/>
        <w:rPr>
          <w:rFonts w:ascii="宋体" w:hAnsi="宋体" w:cs="宋体"/>
          <w:color w:val="auto"/>
          <w:kern w:val="0"/>
          <w:sz w:val="24"/>
          <w:highlight w:val="none"/>
        </w:rPr>
      </w:pPr>
      <w:bookmarkStart w:id="381" w:name="第五部分"/>
      <w:bookmarkStart w:id="382" w:name="_Toc86217003"/>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3.2比较与评价。</w:t>
      </w:r>
      <w:r>
        <w:rPr>
          <w:rFonts w:hint="eastAsia" w:ascii="宋体" w:hAnsi="宋体" w:cs="宋体"/>
          <w:color w:val="auto"/>
          <w:kern w:val="0"/>
          <w:sz w:val="24"/>
          <w:highlight w:val="none"/>
        </w:rPr>
        <w:t>评审委员会应当按照公开竞争文件中规定的评标方法和标准，对符合性审查合格的响应文件进行商务和技术评估，综合比较与评价。</w:t>
      </w:r>
    </w:p>
    <w:p>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评审委员会各成员应当独立对每个响应人的商务和技术文件进行评价，并汇总商务技术得分情况。</w:t>
      </w:r>
    </w:p>
    <w:p>
      <w:pPr>
        <w:spacing w:line="570" w:lineRule="exact"/>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5"/>
        <w:spacing w:before="0" w:line="570" w:lineRule="exact"/>
        <w:ind w:firstLine="508" w:firstLineChars="212"/>
        <w:rPr>
          <w:rFonts w:ascii="宋体" w:hAnsi="宋体" w:cs="宋体"/>
          <w:color w:val="auto"/>
          <w:kern w:val="0"/>
          <w:highlight w:val="none"/>
        </w:rPr>
      </w:pPr>
      <w:r>
        <w:rPr>
          <w:rFonts w:hint="eastAsia" w:ascii="宋体" w:hAnsi="宋体" w:cs="宋体"/>
          <w:color w:val="auto"/>
          <w:kern w:val="0"/>
          <w:highlight w:val="none"/>
        </w:rPr>
        <w:t>3.4.1响应文件报价出现前后不一致的，按照下列规定修正：</w:t>
      </w:r>
    </w:p>
    <w:p>
      <w:pPr>
        <w:pStyle w:val="135"/>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3.4.1.1响应文件中交易一览表(报价表)内容与响应文件中相应内容不一致的，以交易一览表(报价表)为准；</w:t>
      </w:r>
    </w:p>
    <w:p>
      <w:pPr>
        <w:pStyle w:val="135"/>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5"/>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3.4.1.3单价金额小数点或者百分比有明显错位的，以交易一览表的总价为准，并修改单价；</w:t>
      </w:r>
    </w:p>
    <w:p>
      <w:pPr>
        <w:pStyle w:val="135"/>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5"/>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w:t>
      </w:r>
    </w:p>
    <w:p>
      <w:pPr>
        <w:snapToGrid w:val="0"/>
        <w:spacing w:line="57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3.4.2响应文件出现不是唯一的、有选择性交易报价的，交易无效。</w:t>
      </w:r>
    </w:p>
    <w:p>
      <w:pPr>
        <w:snapToGrid w:val="0"/>
        <w:spacing w:line="57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3.4.3交易报价超过公开竞争文件中规定的预算金额或者最高限价的，交易无效。</w:t>
      </w:r>
    </w:p>
    <w:p>
      <w:pPr>
        <w:pStyle w:val="135"/>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pPr>
        <w:spacing w:line="57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3.6编写评审报告。</w:t>
      </w:r>
      <w:r>
        <w:rPr>
          <w:rFonts w:hint="eastAsia" w:ascii="宋体" w:hAnsi="宋体" w:cs="宋体"/>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四、评标中的其他事项</w:t>
      </w:r>
    </w:p>
    <w:p>
      <w:pPr>
        <w:pStyle w:val="135"/>
        <w:spacing w:before="0" w:line="570" w:lineRule="exact"/>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4.1响应人澄清、说明或者补正。</w:t>
      </w:r>
      <w:r>
        <w:rPr>
          <w:rFonts w:hint="eastAsia" w:ascii="宋体" w:hAnsi="宋体" w:cs="宋体"/>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pPr>
        <w:pStyle w:val="26"/>
        <w:spacing w:line="570" w:lineRule="exact"/>
        <w:ind w:left="954" w:leftChars="226" w:hanging="479" w:firstLineChars="0"/>
        <w:rPr>
          <w:rFonts w:cs="宋体"/>
          <w:color w:val="auto"/>
          <w:szCs w:val="21"/>
          <w:highlight w:val="none"/>
        </w:rPr>
      </w:pPr>
      <w:r>
        <w:rPr>
          <w:rFonts w:hint="eastAsia" w:cs="宋体"/>
          <w:b/>
          <w:color w:val="auto"/>
          <w:kern w:val="0"/>
          <w:highlight w:val="none"/>
        </w:rPr>
        <w:t>4.2交易无效。</w:t>
      </w:r>
      <w:r>
        <w:rPr>
          <w:rFonts w:hint="eastAsia" w:cs="宋体"/>
          <w:color w:val="auto"/>
          <w:szCs w:val="21"/>
          <w:highlight w:val="none"/>
        </w:rPr>
        <w:t>有下列情形之一的，交易无效：</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4.2.1响应人不具备公开竞争文件中规定的资格要求的（响应人未提供有效的资格文件的，视为响应人不具备公开竞争文件中规定的资格要求）；</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4.2.2响应文件未按照公开竞争文件要求签署、盖章的；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4.2.3响应文件含有交易发起人不能接受的附加条件的；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4.2.4响应文件中承诺的交易有效期少于公开竞争文件中载明的交易有效期的；</w:t>
      </w:r>
    </w:p>
    <w:p>
      <w:pPr>
        <w:snapToGrid w:val="0"/>
        <w:spacing w:line="570" w:lineRule="exact"/>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4.2.5响应文件出现不是唯一的、有选择性交易报价的；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4.2.6交易报价超过公开竞争文件中规定的预算金额或者最高限价的；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4.2.8响应人对根据修正原则修正后的报价不确认的；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4.2.9响应人提供虚假材料投标的；</w:t>
      </w:r>
    </w:p>
    <w:p>
      <w:pPr>
        <w:spacing w:line="57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4.2.10响应人有恶意串通、妨碍其他响应人的竞争行为、损害交易发起人或者其他响应人的合法权益情形的；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4.2.11响应人未在电子交易平台传输递交响应文件的，交易无效；</w:t>
      </w:r>
    </w:p>
    <w:p>
      <w:pPr>
        <w:pStyle w:val="2"/>
        <w:spacing w:line="570" w:lineRule="exact"/>
        <w:ind w:left="862" w:leftChars="205"/>
        <w:rPr>
          <w:rFonts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4.2.12响应文件不满足公开竞争文件的其它实质性要求的；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4.2.13法律、法规、规章（适用本市的）及省级以上规范性文件（适用本市的）规定的其他无效情形。</w:t>
      </w:r>
    </w:p>
    <w:p>
      <w:pPr>
        <w:pStyle w:val="26"/>
        <w:snapToGrid w:val="0"/>
        <w:spacing w:line="570" w:lineRule="exact"/>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根据《中华人民共和国政府采购法》第三十六条之规定，在交易过程中，出现下列情形之一的，应予废标：</w:t>
      </w:r>
    </w:p>
    <w:p>
      <w:pPr>
        <w:pStyle w:val="26"/>
        <w:snapToGrid w:val="0"/>
        <w:spacing w:line="570" w:lineRule="exact"/>
        <w:rPr>
          <w:rFonts w:cs="宋体"/>
          <w:color w:val="auto"/>
          <w:highlight w:val="none"/>
        </w:rPr>
      </w:pPr>
      <w:r>
        <w:rPr>
          <w:rFonts w:hint="eastAsia" w:cs="宋体"/>
          <w:color w:val="auto"/>
          <w:highlight w:val="none"/>
        </w:rPr>
        <w:t>5.1符合专业条件的响应人或者对公开竞争文件作实质响应的响应人不足3家的；</w:t>
      </w:r>
    </w:p>
    <w:p>
      <w:pPr>
        <w:pStyle w:val="26"/>
        <w:snapToGrid w:val="0"/>
        <w:spacing w:line="570" w:lineRule="exact"/>
        <w:rPr>
          <w:rFonts w:cs="宋体"/>
          <w:color w:val="auto"/>
          <w:highlight w:val="none"/>
        </w:rPr>
      </w:pPr>
      <w:r>
        <w:rPr>
          <w:rFonts w:hint="eastAsia" w:cs="宋体"/>
          <w:color w:val="auto"/>
          <w:highlight w:val="none"/>
        </w:rPr>
        <w:t>5.2出现影响采购公正的违法、违规行为的；</w:t>
      </w:r>
    </w:p>
    <w:p>
      <w:pPr>
        <w:pStyle w:val="26"/>
        <w:snapToGrid w:val="0"/>
        <w:spacing w:line="570" w:lineRule="exact"/>
        <w:rPr>
          <w:rFonts w:cs="宋体"/>
          <w:color w:val="auto"/>
          <w:highlight w:val="none"/>
        </w:rPr>
      </w:pPr>
      <w:r>
        <w:rPr>
          <w:rFonts w:hint="eastAsia" w:cs="宋体"/>
          <w:color w:val="auto"/>
          <w:highlight w:val="none"/>
        </w:rPr>
        <w:t>5.3响应人的报价均超过了采购预算，交易发起人不能支付的；</w:t>
      </w:r>
    </w:p>
    <w:p>
      <w:pPr>
        <w:pStyle w:val="26"/>
        <w:snapToGrid w:val="0"/>
        <w:spacing w:line="570" w:lineRule="exact"/>
        <w:rPr>
          <w:rFonts w:cs="宋体"/>
          <w:color w:val="auto"/>
          <w:highlight w:val="none"/>
        </w:rPr>
      </w:pPr>
      <w:r>
        <w:rPr>
          <w:rFonts w:hint="eastAsia" w:cs="宋体"/>
          <w:color w:val="auto"/>
          <w:highlight w:val="none"/>
        </w:rPr>
        <w:t>5.4因重大变故，采购任务取消的。</w:t>
      </w:r>
    </w:p>
    <w:p>
      <w:pPr>
        <w:pStyle w:val="26"/>
        <w:snapToGrid w:val="0"/>
        <w:spacing w:line="570" w:lineRule="exact"/>
        <w:rPr>
          <w:rFonts w:cs="宋体"/>
          <w:color w:val="auto"/>
          <w:highlight w:val="none"/>
        </w:rPr>
      </w:pPr>
      <w:r>
        <w:rPr>
          <w:rFonts w:hint="eastAsia" w:cs="宋体"/>
          <w:color w:val="auto"/>
          <w:highlight w:val="none"/>
        </w:rPr>
        <w:t>废标后，代理机构应当将废标理由通知所有响应人。</w:t>
      </w:r>
    </w:p>
    <w:p>
      <w:pPr>
        <w:pStyle w:val="26"/>
        <w:snapToGrid w:val="0"/>
        <w:spacing w:line="570" w:lineRule="exact"/>
        <w:ind w:firstLine="590" w:firstLineChars="245"/>
        <w:rPr>
          <w:rFonts w:cs="宋体"/>
          <w:color w:val="auto"/>
          <w:highlight w:val="none"/>
        </w:rPr>
      </w:pPr>
      <w:r>
        <w:rPr>
          <w:rFonts w:hint="eastAsia" w:cs="宋体"/>
          <w:b/>
          <w:color w:val="auto"/>
          <w:highlight w:val="none"/>
        </w:rPr>
        <w:t>6.修改公开竞争文件，重新组织交易活动。</w:t>
      </w:r>
      <w:r>
        <w:rPr>
          <w:rFonts w:hint="eastAsia" w:cs="宋体"/>
          <w:color w:val="auto"/>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pPr>
        <w:pStyle w:val="26"/>
        <w:snapToGrid w:val="0"/>
        <w:spacing w:line="570" w:lineRule="exact"/>
        <w:ind w:firstLine="590" w:firstLineChars="245"/>
        <w:rPr>
          <w:rFonts w:cs="宋体"/>
          <w:color w:val="auto"/>
          <w:highlight w:val="none"/>
        </w:rPr>
      </w:pPr>
      <w:r>
        <w:rPr>
          <w:rFonts w:hint="eastAsia" w:cs="宋体"/>
          <w:b/>
          <w:color w:val="auto"/>
          <w:kern w:val="0"/>
          <w:highlight w:val="none"/>
        </w:rPr>
        <w:t>7.重新开展交易。</w:t>
      </w:r>
      <w:r>
        <w:rPr>
          <w:rFonts w:hint="eastAsia" w:cs="宋体"/>
          <w:color w:val="auto"/>
          <w:highlight w:val="none"/>
        </w:rPr>
        <w:t>影响或者可能影响</w:t>
      </w:r>
      <w:r>
        <w:rPr>
          <w:rFonts w:hint="eastAsia" w:cs="宋体"/>
          <w:color w:val="auto"/>
          <w:kern w:val="0"/>
          <w:highlight w:val="none"/>
        </w:rPr>
        <w:t>成交</w:t>
      </w:r>
      <w:r>
        <w:rPr>
          <w:rFonts w:hint="eastAsia" w:cs="宋体"/>
          <w:color w:val="auto"/>
          <w:highlight w:val="none"/>
        </w:rPr>
        <w:t>、成交结果的，依照下列规定处理：</w:t>
      </w:r>
    </w:p>
    <w:p>
      <w:pPr>
        <w:pStyle w:val="26"/>
        <w:snapToGrid w:val="0"/>
        <w:spacing w:line="570" w:lineRule="exact"/>
        <w:ind w:firstLine="600" w:firstLineChars="250"/>
        <w:rPr>
          <w:rFonts w:cs="宋体"/>
          <w:color w:val="auto"/>
          <w:highlight w:val="none"/>
        </w:rPr>
      </w:pPr>
      <w:r>
        <w:rPr>
          <w:rFonts w:hint="eastAsia" w:cs="宋体"/>
          <w:color w:val="auto"/>
          <w:highlight w:val="none"/>
        </w:rPr>
        <w:t>7.1未确定</w:t>
      </w:r>
      <w:r>
        <w:rPr>
          <w:rFonts w:hint="eastAsia" w:cs="宋体"/>
          <w:color w:val="auto"/>
          <w:kern w:val="0"/>
          <w:highlight w:val="none"/>
        </w:rPr>
        <w:t>成交</w:t>
      </w:r>
      <w:r>
        <w:rPr>
          <w:rFonts w:hint="eastAsia" w:cs="宋体"/>
          <w:color w:val="auto"/>
          <w:highlight w:val="none"/>
        </w:rPr>
        <w:t>或者成交人的，终止本次交易活动，重新开展交易活动。</w:t>
      </w:r>
    </w:p>
    <w:p>
      <w:pPr>
        <w:pStyle w:val="26"/>
        <w:snapToGrid w:val="0"/>
        <w:spacing w:line="570" w:lineRule="exact"/>
        <w:ind w:firstLine="600" w:firstLineChars="250"/>
        <w:rPr>
          <w:rFonts w:cs="宋体"/>
          <w:color w:val="auto"/>
          <w:highlight w:val="none"/>
        </w:rPr>
      </w:pPr>
      <w:r>
        <w:rPr>
          <w:rFonts w:hint="eastAsia" w:cs="宋体"/>
          <w:color w:val="auto"/>
          <w:highlight w:val="none"/>
        </w:rPr>
        <w:t>7.2已确定</w:t>
      </w:r>
      <w:r>
        <w:rPr>
          <w:rFonts w:hint="eastAsia" w:cs="宋体"/>
          <w:color w:val="auto"/>
          <w:kern w:val="0"/>
          <w:highlight w:val="none"/>
        </w:rPr>
        <w:t>成交</w:t>
      </w:r>
      <w:r>
        <w:rPr>
          <w:rFonts w:hint="eastAsia" w:cs="宋体"/>
          <w:color w:val="auto"/>
          <w:highlight w:val="none"/>
        </w:rPr>
        <w:t>或者成交人但尚未签订合同的，</w:t>
      </w:r>
      <w:r>
        <w:rPr>
          <w:rFonts w:hint="eastAsia" w:cs="宋体"/>
          <w:color w:val="auto"/>
          <w:kern w:val="0"/>
          <w:highlight w:val="none"/>
        </w:rPr>
        <w:t>成交</w:t>
      </w:r>
      <w:r>
        <w:rPr>
          <w:rFonts w:hint="eastAsia" w:cs="宋体"/>
          <w:color w:val="auto"/>
          <w:highlight w:val="none"/>
        </w:rPr>
        <w:t>或者成交结果无效，从合格的</w:t>
      </w:r>
      <w:r>
        <w:rPr>
          <w:rFonts w:hint="eastAsia" w:cs="宋体"/>
          <w:color w:val="auto"/>
          <w:kern w:val="0"/>
          <w:highlight w:val="none"/>
        </w:rPr>
        <w:t>成交</w:t>
      </w:r>
      <w:r>
        <w:rPr>
          <w:rFonts w:hint="eastAsia" w:cs="宋体"/>
          <w:color w:val="auto"/>
          <w:highlight w:val="none"/>
        </w:rPr>
        <w:t>或者成交候选人中另行确定</w:t>
      </w:r>
      <w:r>
        <w:rPr>
          <w:rFonts w:hint="eastAsia" w:cs="宋体"/>
          <w:color w:val="auto"/>
          <w:kern w:val="0"/>
          <w:highlight w:val="none"/>
        </w:rPr>
        <w:t>成交</w:t>
      </w:r>
      <w:r>
        <w:rPr>
          <w:rFonts w:hint="eastAsia" w:cs="宋体"/>
          <w:color w:val="auto"/>
          <w:highlight w:val="none"/>
        </w:rPr>
        <w:t>或者成交人；没有合格的</w:t>
      </w:r>
      <w:r>
        <w:rPr>
          <w:rFonts w:hint="eastAsia" w:cs="宋体"/>
          <w:color w:val="auto"/>
          <w:kern w:val="0"/>
          <w:highlight w:val="none"/>
        </w:rPr>
        <w:t>成交</w:t>
      </w:r>
      <w:r>
        <w:rPr>
          <w:rFonts w:hint="eastAsia" w:cs="宋体"/>
          <w:color w:val="auto"/>
          <w:highlight w:val="none"/>
        </w:rPr>
        <w:t>或者成交候选人的，重新开展交易活动。</w:t>
      </w:r>
    </w:p>
    <w:p>
      <w:pPr>
        <w:pStyle w:val="26"/>
        <w:snapToGrid w:val="0"/>
        <w:spacing w:line="570" w:lineRule="exact"/>
        <w:ind w:firstLine="600" w:firstLineChars="250"/>
        <w:rPr>
          <w:rFonts w:cs="宋体"/>
          <w:color w:val="auto"/>
          <w:highlight w:val="none"/>
        </w:rPr>
      </w:pPr>
      <w:r>
        <w:rPr>
          <w:rFonts w:hint="eastAsia" w:cs="宋体"/>
          <w:color w:val="auto"/>
          <w:highlight w:val="none"/>
        </w:rPr>
        <w:t>7.3书面合同已签订但尚未履行的，撤销合同，从合格的</w:t>
      </w:r>
      <w:r>
        <w:rPr>
          <w:rFonts w:hint="eastAsia" w:cs="宋体"/>
          <w:color w:val="auto"/>
          <w:kern w:val="0"/>
          <w:highlight w:val="none"/>
        </w:rPr>
        <w:t>成交</w:t>
      </w:r>
      <w:r>
        <w:rPr>
          <w:rFonts w:hint="eastAsia" w:cs="宋体"/>
          <w:color w:val="auto"/>
          <w:highlight w:val="none"/>
        </w:rPr>
        <w:t>或者成交候选人中另行确定</w:t>
      </w:r>
      <w:r>
        <w:rPr>
          <w:rFonts w:hint="eastAsia" w:cs="宋体"/>
          <w:color w:val="auto"/>
          <w:kern w:val="0"/>
          <w:highlight w:val="none"/>
        </w:rPr>
        <w:t>成交</w:t>
      </w:r>
      <w:r>
        <w:rPr>
          <w:rFonts w:hint="eastAsia" w:cs="宋体"/>
          <w:color w:val="auto"/>
          <w:highlight w:val="none"/>
        </w:rPr>
        <w:t>或者成交人；没有合格的</w:t>
      </w:r>
      <w:r>
        <w:rPr>
          <w:rFonts w:hint="eastAsia" w:cs="宋体"/>
          <w:color w:val="auto"/>
          <w:kern w:val="0"/>
          <w:highlight w:val="none"/>
        </w:rPr>
        <w:t>成交</w:t>
      </w:r>
      <w:r>
        <w:rPr>
          <w:rFonts w:hint="eastAsia" w:cs="宋体"/>
          <w:color w:val="auto"/>
          <w:highlight w:val="none"/>
        </w:rPr>
        <w:t>或者成交候选人的，重新开展交易活动。</w:t>
      </w:r>
    </w:p>
    <w:p>
      <w:pPr>
        <w:pStyle w:val="26"/>
        <w:snapToGrid w:val="0"/>
        <w:spacing w:line="570" w:lineRule="exact"/>
        <w:rPr>
          <w:rFonts w:cs="宋体"/>
          <w:color w:val="auto"/>
          <w:highlight w:val="none"/>
        </w:rPr>
      </w:pPr>
      <w:r>
        <w:rPr>
          <w:rFonts w:hint="eastAsia" w:cs="宋体"/>
          <w:color w:val="auto"/>
          <w:highlight w:val="none"/>
        </w:rPr>
        <w:t>7.4书面合同已经履行，给交易发起人、响应人造成损失的，由责任人承担赔偿责任。</w:t>
      </w:r>
    </w:p>
    <w:p>
      <w:pPr>
        <w:pStyle w:val="26"/>
        <w:snapToGrid w:val="0"/>
        <w:spacing w:line="570" w:lineRule="exact"/>
        <w:rPr>
          <w:rFonts w:cs="宋体"/>
          <w:color w:val="auto"/>
          <w:highlight w:val="none"/>
        </w:rPr>
      </w:pPr>
      <w:r>
        <w:rPr>
          <w:rFonts w:hint="eastAsia" w:cs="宋体"/>
          <w:color w:val="auto"/>
          <w:highlight w:val="none"/>
        </w:rPr>
        <w:t>7.5交易当事人有其他违反政府采购法</w:t>
      </w:r>
      <w:r>
        <w:rPr>
          <w:rFonts w:hint="eastAsia" w:cs="宋体"/>
          <w:color w:val="auto"/>
          <w:kern w:val="0"/>
          <w:highlight w:val="none"/>
        </w:rPr>
        <w:t>或者政府采购法实施条例等法律法规规定</w:t>
      </w:r>
      <w:r>
        <w:rPr>
          <w:rFonts w:hint="eastAsia" w:cs="宋体"/>
          <w:color w:val="auto"/>
          <w:highlight w:val="none"/>
        </w:rPr>
        <w:t>的行为，经改正后仍然影响或者可能影响</w:t>
      </w:r>
      <w:r>
        <w:rPr>
          <w:rFonts w:hint="eastAsia" w:cs="宋体"/>
          <w:color w:val="auto"/>
          <w:kern w:val="0"/>
          <w:highlight w:val="none"/>
        </w:rPr>
        <w:t>成交</w:t>
      </w:r>
      <w:r>
        <w:rPr>
          <w:rFonts w:hint="eastAsia" w:cs="宋体"/>
          <w:color w:val="auto"/>
          <w:highlight w:val="none"/>
        </w:rPr>
        <w:t>、成交结果或者依法被认定为</w:t>
      </w:r>
      <w:r>
        <w:rPr>
          <w:rFonts w:hint="eastAsia" w:cs="宋体"/>
          <w:color w:val="auto"/>
          <w:kern w:val="0"/>
          <w:highlight w:val="none"/>
        </w:rPr>
        <w:t>成交</w:t>
      </w:r>
      <w:r>
        <w:rPr>
          <w:rFonts w:hint="eastAsia" w:cs="宋体"/>
          <w:color w:val="auto"/>
          <w:highlight w:val="none"/>
        </w:rPr>
        <w:t>、成交无效的，依照7.1-7.4规定处理。</w:t>
      </w:r>
    </w:p>
    <w:p>
      <w:pPr>
        <w:pStyle w:val="26"/>
        <w:snapToGrid w:val="0"/>
        <w:spacing w:line="360" w:lineRule="auto"/>
        <w:rPr>
          <w:rFonts w:cs="宋体"/>
          <w:color w:val="auto"/>
          <w:highlight w:val="none"/>
        </w:rPr>
      </w:pPr>
      <w:r>
        <w:rPr>
          <w:rFonts w:hint="eastAsia" w:cs="宋体"/>
          <w:color w:val="auto"/>
          <w:highlight w:val="none"/>
        </w:rPr>
        <w:t xml:space="preserve"> </w:t>
      </w:r>
    </w:p>
    <w:p>
      <w:pPr>
        <w:pStyle w:val="16"/>
        <w:rPr>
          <w:rFonts w:hAnsi="宋体" w:cs="宋体"/>
          <w:color w:val="auto"/>
          <w:highlight w:val="none"/>
        </w:rPr>
      </w:pPr>
    </w:p>
    <w:p>
      <w:pPr>
        <w:rPr>
          <w:rFonts w:ascii="宋体" w:hAnsi="宋体" w:cs="宋体"/>
          <w:color w:val="auto"/>
          <w:highlight w:val="none"/>
        </w:rPr>
      </w:pPr>
    </w:p>
    <w:p>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ind w:left="718" w:leftChars="342" w:firstLine="119" w:firstLineChars="33"/>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pStyle w:val="26"/>
        <w:snapToGrid w:val="0"/>
        <w:spacing w:line="360" w:lineRule="auto"/>
        <w:rPr>
          <w:rFonts w:cs="宋体"/>
          <w:color w:val="auto"/>
          <w:highlight w:val="none"/>
        </w:rPr>
      </w:pPr>
      <w:r>
        <w:rPr>
          <w:rFonts w:hint="eastAsia" w:cs="宋体"/>
          <w:color w:val="auto"/>
          <w:highlight w:val="none"/>
        </w:rPr>
        <w:t>合同编号：</w:t>
      </w:r>
    </w:p>
    <w:p>
      <w:pPr>
        <w:pStyle w:val="26"/>
        <w:snapToGrid w:val="0"/>
        <w:spacing w:line="360" w:lineRule="auto"/>
        <w:rPr>
          <w:rFonts w:cs="宋体"/>
          <w:color w:val="auto"/>
          <w:highlight w:val="none"/>
        </w:rPr>
      </w:pPr>
      <w:r>
        <w:rPr>
          <w:rFonts w:hint="eastAsia" w:cs="宋体"/>
          <w:color w:val="auto"/>
          <w:highlight w:val="none"/>
        </w:rPr>
        <w:t>签订地点：                                 签订时间：2023年  月  日</w:t>
      </w:r>
    </w:p>
    <w:p>
      <w:pPr>
        <w:pStyle w:val="26"/>
        <w:snapToGrid w:val="0"/>
        <w:spacing w:line="360" w:lineRule="auto"/>
        <w:rPr>
          <w:rFonts w:cs="宋体"/>
          <w:color w:val="auto"/>
          <w:highlight w:val="none"/>
        </w:rPr>
      </w:pPr>
      <w:r>
        <w:rPr>
          <w:rFonts w:hint="eastAsia" w:cs="宋体"/>
          <w:color w:val="auto"/>
          <w:highlight w:val="none"/>
        </w:rPr>
        <w:t>项目名称：</w:t>
      </w:r>
    </w:p>
    <w:p>
      <w:pPr>
        <w:pStyle w:val="26"/>
        <w:snapToGrid w:val="0"/>
        <w:spacing w:line="360" w:lineRule="auto"/>
        <w:rPr>
          <w:rFonts w:cs="宋体"/>
          <w:color w:val="auto"/>
          <w:highlight w:val="none"/>
        </w:rPr>
      </w:pPr>
      <w:r>
        <w:rPr>
          <w:rFonts w:hint="eastAsia" w:cs="宋体"/>
          <w:color w:val="auto"/>
          <w:highlight w:val="none"/>
        </w:rPr>
        <w:t xml:space="preserve">甲方（需方）：                                     </w:t>
      </w:r>
    </w:p>
    <w:p>
      <w:pPr>
        <w:pStyle w:val="26"/>
        <w:snapToGrid w:val="0"/>
        <w:spacing w:line="360" w:lineRule="auto"/>
        <w:rPr>
          <w:rFonts w:cs="宋体"/>
          <w:color w:val="auto"/>
          <w:highlight w:val="none"/>
        </w:rPr>
      </w:pPr>
      <w:r>
        <w:rPr>
          <w:rFonts w:hint="eastAsia" w:cs="宋体"/>
          <w:color w:val="auto"/>
          <w:highlight w:val="none"/>
        </w:rPr>
        <w:t xml:space="preserve">乙方（供方）：                                     </w:t>
      </w:r>
    </w:p>
    <w:p>
      <w:pPr>
        <w:pStyle w:val="26"/>
        <w:snapToGrid w:val="0"/>
        <w:spacing w:line="360" w:lineRule="auto"/>
        <w:rPr>
          <w:rFonts w:cs="宋体"/>
          <w:color w:val="auto"/>
          <w:highlight w:val="none"/>
        </w:rPr>
      </w:pPr>
      <w:r>
        <w:rPr>
          <w:rFonts w:hint="eastAsia" w:cs="宋体"/>
          <w:color w:val="auto"/>
          <w:highlight w:val="none"/>
        </w:rPr>
        <w:t>供、需双方根据</w:t>
      </w:r>
      <w:r>
        <w:rPr>
          <w:rFonts w:hint="eastAsia" w:cs="宋体"/>
          <w:color w:val="auto"/>
          <w:highlight w:val="none"/>
          <w:lang w:eastAsia="zh-CN"/>
        </w:rPr>
        <w:t>市北区块C-09-01地块人才公寓数字微控采购项目</w:t>
      </w:r>
      <w:r>
        <w:rPr>
          <w:rFonts w:hint="eastAsia" w:cs="宋体"/>
          <w:color w:val="auto"/>
          <w:highlight w:val="none"/>
        </w:rPr>
        <w:t>（交易编号  -  -   ）成交结果和公开竞争文件的要求，并经双方协调一致，订立本合同。</w:t>
      </w:r>
    </w:p>
    <w:p>
      <w:pPr>
        <w:pStyle w:val="26"/>
        <w:snapToGrid w:val="0"/>
        <w:spacing w:line="360" w:lineRule="auto"/>
        <w:rPr>
          <w:rFonts w:cs="宋体"/>
          <w:color w:val="auto"/>
          <w:highlight w:val="none"/>
        </w:rPr>
      </w:pPr>
      <w:r>
        <w:rPr>
          <w:rFonts w:hint="eastAsia" w:cs="宋体"/>
          <w:color w:val="auto"/>
          <w:highlight w:val="none"/>
        </w:rPr>
        <w:t>一、合同文件：</w:t>
      </w:r>
    </w:p>
    <w:p>
      <w:pPr>
        <w:pStyle w:val="26"/>
        <w:snapToGrid w:val="0"/>
        <w:spacing w:line="360" w:lineRule="auto"/>
        <w:rPr>
          <w:rFonts w:cs="宋体"/>
          <w:color w:val="auto"/>
          <w:highlight w:val="none"/>
        </w:rPr>
      </w:pPr>
      <w:r>
        <w:rPr>
          <w:rFonts w:hint="eastAsia" w:cs="宋体"/>
          <w:color w:val="auto"/>
          <w:highlight w:val="none"/>
        </w:rPr>
        <w:t>1、合同条款。</w:t>
      </w:r>
    </w:p>
    <w:p>
      <w:pPr>
        <w:pStyle w:val="26"/>
        <w:snapToGrid w:val="0"/>
        <w:spacing w:line="360" w:lineRule="auto"/>
        <w:rPr>
          <w:rFonts w:cs="宋体"/>
          <w:color w:val="auto"/>
          <w:highlight w:val="none"/>
        </w:rPr>
      </w:pPr>
      <w:r>
        <w:rPr>
          <w:rFonts w:hint="eastAsia" w:cs="宋体"/>
          <w:color w:val="auto"/>
          <w:highlight w:val="none"/>
        </w:rPr>
        <w:t>2、成交通知书。</w:t>
      </w:r>
    </w:p>
    <w:p>
      <w:pPr>
        <w:pStyle w:val="26"/>
        <w:snapToGrid w:val="0"/>
        <w:spacing w:line="360" w:lineRule="auto"/>
        <w:rPr>
          <w:rFonts w:cs="宋体"/>
          <w:color w:val="auto"/>
          <w:highlight w:val="none"/>
        </w:rPr>
      </w:pPr>
      <w:r>
        <w:rPr>
          <w:rFonts w:hint="eastAsia" w:cs="宋体"/>
          <w:color w:val="auto"/>
          <w:highlight w:val="none"/>
        </w:rPr>
        <w:t>3、公开竞争文件。</w:t>
      </w:r>
    </w:p>
    <w:p>
      <w:pPr>
        <w:pStyle w:val="26"/>
        <w:snapToGrid w:val="0"/>
        <w:spacing w:line="360" w:lineRule="auto"/>
        <w:rPr>
          <w:rFonts w:cs="宋体"/>
          <w:color w:val="auto"/>
          <w:highlight w:val="none"/>
        </w:rPr>
      </w:pPr>
      <w:r>
        <w:rPr>
          <w:rFonts w:hint="eastAsia" w:cs="宋体"/>
          <w:color w:val="auto"/>
          <w:highlight w:val="none"/>
        </w:rPr>
        <w:t>4、更正公告。</w:t>
      </w:r>
    </w:p>
    <w:p>
      <w:pPr>
        <w:pStyle w:val="26"/>
        <w:snapToGrid w:val="0"/>
        <w:spacing w:line="360" w:lineRule="auto"/>
        <w:rPr>
          <w:rFonts w:cs="宋体"/>
          <w:color w:val="auto"/>
          <w:highlight w:val="none"/>
        </w:rPr>
      </w:pPr>
      <w:r>
        <w:rPr>
          <w:rFonts w:hint="eastAsia" w:cs="宋体"/>
          <w:color w:val="auto"/>
          <w:highlight w:val="none"/>
        </w:rPr>
        <w:t>5、成交单位响应文件。</w:t>
      </w:r>
    </w:p>
    <w:p>
      <w:pPr>
        <w:pStyle w:val="26"/>
        <w:snapToGrid w:val="0"/>
        <w:spacing w:line="360" w:lineRule="auto"/>
        <w:rPr>
          <w:rFonts w:cs="宋体"/>
          <w:color w:val="auto"/>
          <w:highlight w:val="none"/>
        </w:rPr>
      </w:pPr>
      <w:r>
        <w:rPr>
          <w:rFonts w:hint="eastAsia" w:cs="宋体"/>
          <w:color w:val="auto"/>
          <w:highlight w:val="none"/>
        </w:rPr>
        <w:t>6、其他。</w:t>
      </w:r>
    </w:p>
    <w:p>
      <w:pPr>
        <w:pStyle w:val="26"/>
        <w:snapToGrid w:val="0"/>
        <w:spacing w:line="360" w:lineRule="auto"/>
        <w:rPr>
          <w:rFonts w:cs="宋体"/>
          <w:color w:val="auto"/>
          <w:highlight w:val="none"/>
        </w:rPr>
      </w:pPr>
      <w:r>
        <w:rPr>
          <w:rFonts w:hint="eastAsia" w:cs="宋体"/>
          <w:color w:val="auto"/>
          <w:highlight w:val="none"/>
        </w:rPr>
        <w:t>二、合同金额: 本合同金额为（大写）</w:t>
      </w:r>
      <w:r>
        <w:rPr>
          <w:rFonts w:hint="eastAsia" w:cs="宋体"/>
          <w:color w:val="auto"/>
          <w:highlight w:val="none"/>
          <w:u w:val="single"/>
        </w:rPr>
        <w:t>　　　　</w:t>
      </w:r>
      <w:r>
        <w:rPr>
          <w:rFonts w:hint="eastAsia" w:cs="宋体"/>
          <w:color w:val="auto"/>
          <w:highlight w:val="none"/>
        </w:rPr>
        <w:t>元（￥</w:t>
      </w:r>
      <w:r>
        <w:rPr>
          <w:rFonts w:hint="eastAsia" w:cs="宋体"/>
          <w:color w:val="auto"/>
          <w:highlight w:val="none"/>
          <w:u w:val="single"/>
        </w:rPr>
        <w:t>　　　　</w:t>
      </w:r>
      <w:r>
        <w:rPr>
          <w:rFonts w:hint="eastAsia" w:cs="宋体"/>
          <w:color w:val="auto"/>
          <w:highlight w:val="none"/>
        </w:rPr>
        <w:t>元）人民币。</w:t>
      </w:r>
    </w:p>
    <w:p>
      <w:pPr>
        <w:pStyle w:val="26"/>
        <w:snapToGrid w:val="0"/>
        <w:spacing w:line="360" w:lineRule="auto"/>
        <w:rPr>
          <w:rFonts w:cs="宋体"/>
          <w:color w:val="auto"/>
          <w:highlight w:val="none"/>
        </w:rPr>
      </w:pPr>
      <w:r>
        <w:rPr>
          <w:rFonts w:hint="eastAsia" w:cs="宋体"/>
          <w:color w:val="auto"/>
          <w:highlight w:val="none"/>
        </w:rPr>
        <w:t>附：</w:t>
      </w:r>
    </w:p>
    <w:p>
      <w:pPr>
        <w:pStyle w:val="26"/>
        <w:snapToGrid w:val="0"/>
        <w:spacing w:line="360" w:lineRule="auto"/>
        <w:rPr>
          <w:rFonts w:cs="宋体"/>
          <w:color w:val="auto"/>
          <w:highlight w:val="none"/>
        </w:rPr>
      </w:pPr>
      <w:r>
        <w:rPr>
          <w:rFonts w:hint="eastAsia" w:cs="宋体"/>
          <w:color w:val="auto"/>
          <w:highlight w:val="none"/>
        </w:rPr>
        <w:t>《项目清单内容》</w:t>
      </w:r>
    </w:p>
    <w:tbl>
      <w:tblPr>
        <w:tblStyle w:val="63"/>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w:t>
            </w: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成交内容</w:t>
            </w: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成交总价（元）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pStyle w:val="26"/>
        <w:snapToGrid w:val="0"/>
        <w:spacing w:line="360" w:lineRule="auto"/>
        <w:rPr>
          <w:rFonts w:cs="宋体"/>
          <w:color w:val="auto"/>
          <w:highlight w:val="none"/>
        </w:rPr>
      </w:pPr>
      <w:r>
        <w:rPr>
          <w:rFonts w:hint="eastAsia" w:cs="宋体"/>
          <w:color w:val="auto"/>
          <w:highlight w:val="none"/>
        </w:rPr>
        <w:t>三、技术资料</w:t>
      </w:r>
    </w:p>
    <w:p>
      <w:pPr>
        <w:pStyle w:val="26"/>
        <w:snapToGrid w:val="0"/>
        <w:spacing w:line="360" w:lineRule="auto"/>
        <w:rPr>
          <w:rFonts w:cs="宋体"/>
          <w:color w:val="auto"/>
          <w:highlight w:val="none"/>
        </w:rPr>
      </w:pPr>
      <w:r>
        <w:rPr>
          <w:rFonts w:hint="eastAsia" w:cs="宋体"/>
          <w:color w:val="auto"/>
          <w:highlight w:val="none"/>
        </w:rPr>
        <w:t>1.乙方应按公开竞争文件规定的时间向甲方提供有关技术资料。</w:t>
      </w:r>
    </w:p>
    <w:p>
      <w:pPr>
        <w:pStyle w:val="26"/>
        <w:snapToGrid w:val="0"/>
        <w:spacing w:line="360" w:lineRule="auto"/>
        <w:rPr>
          <w:rFonts w:cs="宋体"/>
          <w:color w:val="auto"/>
          <w:highlight w:val="none"/>
        </w:rPr>
      </w:pPr>
      <w:r>
        <w:rPr>
          <w:rFonts w:hint="eastAsia" w:cs="宋体"/>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pStyle w:val="26"/>
        <w:snapToGrid w:val="0"/>
        <w:spacing w:line="360" w:lineRule="auto"/>
        <w:rPr>
          <w:rFonts w:cs="宋体"/>
          <w:color w:val="auto"/>
          <w:highlight w:val="none"/>
        </w:rPr>
      </w:pPr>
      <w:r>
        <w:rPr>
          <w:rFonts w:hint="eastAsia" w:cs="宋体"/>
          <w:color w:val="auto"/>
          <w:highlight w:val="none"/>
        </w:rPr>
        <w:t>四、转包或分包</w:t>
      </w:r>
    </w:p>
    <w:p>
      <w:pPr>
        <w:pStyle w:val="26"/>
        <w:snapToGrid w:val="0"/>
        <w:spacing w:line="360" w:lineRule="auto"/>
        <w:rPr>
          <w:rFonts w:cs="宋体"/>
          <w:color w:val="auto"/>
          <w:highlight w:val="none"/>
        </w:rPr>
      </w:pPr>
      <w:r>
        <w:rPr>
          <w:rFonts w:hint="eastAsia" w:cs="宋体"/>
          <w:color w:val="auto"/>
          <w:highlight w:val="none"/>
        </w:rPr>
        <w:t>1.本合同范围的服务，应由乙方直接提供，乙方不得将本合同范围的服务全部或部分分包给他人供应；</w:t>
      </w:r>
    </w:p>
    <w:p>
      <w:pPr>
        <w:pStyle w:val="26"/>
        <w:snapToGrid w:val="0"/>
        <w:spacing w:line="360" w:lineRule="auto"/>
        <w:rPr>
          <w:rFonts w:cs="宋体"/>
          <w:color w:val="auto"/>
          <w:highlight w:val="none"/>
        </w:rPr>
      </w:pPr>
      <w:r>
        <w:rPr>
          <w:rFonts w:hint="eastAsia" w:cs="宋体"/>
          <w:color w:val="auto"/>
          <w:highlight w:val="none"/>
        </w:rPr>
        <w:t>2.如有转让和未经甲方同意的分包行为，甲方有权解除合同，追究乙方的违约责任。</w:t>
      </w:r>
    </w:p>
    <w:p>
      <w:pPr>
        <w:pStyle w:val="26"/>
        <w:snapToGrid w:val="0"/>
        <w:spacing w:line="360" w:lineRule="auto"/>
        <w:rPr>
          <w:rFonts w:cs="宋体"/>
          <w:color w:val="auto"/>
          <w:highlight w:val="none"/>
        </w:rPr>
      </w:pPr>
      <w:r>
        <w:rPr>
          <w:rFonts w:hint="eastAsia" w:cs="宋体"/>
          <w:color w:val="auto"/>
          <w:highlight w:val="none"/>
        </w:rPr>
        <w:t>五、服务质量保证期</w:t>
      </w:r>
    </w:p>
    <w:p>
      <w:pPr>
        <w:pStyle w:val="26"/>
        <w:snapToGrid w:val="0"/>
        <w:spacing w:line="360" w:lineRule="auto"/>
        <w:rPr>
          <w:rFonts w:cs="宋体"/>
          <w:color w:val="auto"/>
          <w:highlight w:val="none"/>
        </w:rPr>
      </w:pPr>
      <w:r>
        <w:rPr>
          <w:rFonts w:hint="eastAsia" w:cs="宋体"/>
          <w:color w:val="auto"/>
          <w:highlight w:val="none"/>
        </w:rPr>
        <w:t>1. 服务时间：</w:t>
      </w:r>
    </w:p>
    <w:p>
      <w:pPr>
        <w:pStyle w:val="26"/>
        <w:snapToGrid w:val="0"/>
        <w:spacing w:line="360" w:lineRule="auto"/>
        <w:rPr>
          <w:rFonts w:cs="宋体"/>
          <w:color w:val="auto"/>
          <w:highlight w:val="none"/>
        </w:rPr>
      </w:pPr>
      <w:r>
        <w:rPr>
          <w:rFonts w:hint="eastAsia" w:cs="宋体"/>
          <w:color w:val="auto"/>
          <w:highlight w:val="none"/>
        </w:rPr>
        <w:t>六、合同履行时间、履行方式及履行地点</w:t>
      </w:r>
    </w:p>
    <w:p>
      <w:pPr>
        <w:pStyle w:val="26"/>
        <w:snapToGrid w:val="0"/>
        <w:spacing w:line="360" w:lineRule="auto"/>
        <w:rPr>
          <w:rFonts w:cs="宋体"/>
          <w:color w:val="auto"/>
          <w:highlight w:val="none"/>
        </w:rPr>
      </w:pPr>
      <w:r>
        <w:rPr>
          <w:rFonts w:hint="eastAsia" w:cs="宋体"/>
          <w:color w:val="auto"/>
          <w:highlight w:val="none"/>
        </w:rPr>
        <w:t>1. 履行时间：</w:t>
      </w:r>
    </w:p>
    <w:p>
      <w:pPr>
        <w:pStyle w:val="26"/>
        <w:snapToGrid w:val="0"/>
        <w:spacing w:line="360" w:lineRule="auto"/>
        <w:rPr>
          <w:rFonts w:cs="宋体"/>
          <w:color w:val="auto"/>
          <w:highlight w:val="none"/>
        </w:rPr>
      </w:pPr>
      <w:r>
        <w:rPr>
          <w:rFonts w:hint="eastAsia" w:cs="宋体"/>
          <w:color w:val="auto"/>
          <w:highlight w:val="none"/>
        </w:rPr>
        <w:t>2. 履行方式：按合同履行。</w:t>
      </w:r>
    </w:p>
    <w:p>
      <w:pPr>
        <w:pStyle w:val="26"/>
        <w:snapToGrid w:val="0"/>
        <w:spacing w:line="360" w:lineRule="auto"/>
        <w:rPr>
          <w:rFonts w:cs="宋体"/>
          <w:color w:val="auto"/>
          <w:highlight w:val="none"/>
        </w:rPr>
      </w:pPr>
      <w:r>
        <w:rPr>
          <w:rFonts w:hint="eastAsia" w:cs="宋体"/>
          <w:color w:val="auto"/>
          <w:highlight w:val="none"/>
        </w:rPr>
        <w:t>3. 履行地点：甲方指定地点内。</w:t>
      </w:r>
    </w:p>
    <w:p>
      <w:pPr>
        <w:pStyle w:val="26"/>
        <w:snapToGrid w:val="0"/>
        <w:spacing w:line="360" w:lineRule="auto"/>
        <w:rPr>
          <w:rFonts w:cs="宋体"/>
          <w:color w:val="auto"/>
          <w:highlight w:val="none"/>
        </w:rPr>
      </w:pPr>
      <w:r>
        <w:rPr>
          <w:rFonts w:hint="eastAsia" w:cs="宋体"/>
          <w:color w:val="auto"/>
          <w:highlight w:val="none"/>
        </w:rPr>
        <w:t>七、款项支付</w:t>
      </w:r>
    </w:p>
    <w:p>
      <w:pPr>
        <w:pStyle w:val="26"/>
        <w:snapToGrid w:val="0"/>
        <w:spacing w:line="360" w:lineRule="auto"/>
        <w:rPr>
          <w:rFonts w:cs="宋体"/>
          <w:color w:val="auto"/>
          <w:highlight w:val="none"/>
        </w:rPr>
      </w:pPr>
      <w:r>
        <w:rPr>
          <w:rFonts w:hint="eastAsia" w:cs="宋体"/>
          <w:color w:val="auto"/>
          <w:highlight w:val="none"/>
        </w:rPr>
        <w:t>参照交易需求。</w:t>
      </w:r>
    </w:p>
    <w:p>
      <w:pPr>
        <w:pStyle w:val="26"/>
        <w:snapToGrid w:val="0"/>
        <w:spacing w:line="360" w:lineRule="auto"/>
        <w:rPr>
          <w:rFonts w:cs="宋体"/>
          <w:color w:val="auto"/>
          <w:highlight w:val="none"/>
        </w:rPr>
      </w:pPr>
      <w:r>
        <w:rPr>
          <w:rFonts w:hint="eastAsia" w:cs="宋体"/>
          <w:color w:val="auto"/>
          <w:highlight w:val="none"/>
        </w:rPr>
        <w:t>十、税费</w:t>
      </w:r>
    </w:p>
    <w:p>
      <w:pPr>
        <w:pStyle w:val="26"/>
        <w:snapToGrid w:val="0"/>
        <w:spacing w:line="360" w:lineRule="auto"/>
        <w:rPr>
          <w:rFonts w:cs="宋体"/>
          <w:color w:val="auto"/>
          <w:highlight w:val="none"/>
        </w:rPr>
      </w:pPr>
      <w:r>
        <w:rPr>
          <w:rFonts w:hint="eastAsia" w:cs="宋体"/>
          <w:color w:val="auto"/>
          <w:highlight w:val="none"/>
        </w:rPr>
        <w:t>本合同执行中相关的一切税费均由乙方负担。</w:t>
      </w:r>
    </w:p>
    <w:p>
      <w:pPr>
        <w:pStyle w:val="26"/>
        <w:snapToGrid w:val="0"/>
        <w:spacing w:line="360" w:lineRule="auto"/>
        <w:rPr>
          <w:rFonts w:cs="宋体"/>
          <w:color w:val="auto"/>
          <w:highlight w:val="none"/>
        </w:rPr>
      </w:pPr>
      <w:r>
        <w:rPr>
          <w:rFonts w:hint="eastAsia" w:cs="宋体"/>
          <w:color w:val="auto"/>
          <w:highlight w:val="none"/>
        </w:rPr>
        <w:t>十一、质量保证及后续服务</w:t>
      </w:r>
    </w:p>
    <w:p>
      <w:pPr>
        <w:pStyle w:val="26"/>
        <w:snapToGrid w:val="0"/>
        <w:spacing w:line="360" w:lineRule="auto"/>
        <w:rPr>
          <w:rFonts w:cs="宋体"/>
          <w:color w:val="auto"/>
          <w:highlight w:val="none"/>
        </w:rPr>
      </w:pPr>
      <w:r>
        <w:rPr>
          <w:rFonts w:hint="eastAsia" w:cs="宋体"/>
          <w:color w:val="auto"/>
          <w:highlight w:val="none"/>
        </w:rPr>
        <w:t>1. 乙方应按公开竞争文件规定向甲方提供服务。</w:t>
      </w:r>
    </w:p>
    <w:p>
      <w:pPr>
        <w:pStyle w:val="26"/>
        <w:snapToGrid w:val="0"/>
        <w:spacing w:line="360" w:lineRule="auto"/>
        <w:rPr>
          <w:rFonts w:cs="宋体"/>
          <w:color w:val="auto"/>
          <w:highlight w:val="none"/>
        </w:rPr>
      </w:pPr>
      <w:r>
        <w:rPr>
          <w:rFonts w:hint="eastAsia" w:cs="宋体"/>
          <w:color w:val="auto"/>
          <w:highlight w:val="none"/>
        </w:rPr>
        <w:t>2. 乙方提供的服务发生问题或产出重大不良影响的，除按结算条款扣除结算金额外，乙方应负责免费提供后续善后服务，同时承担相应责任。</w:t>
      </w:r>
    </w:p>
    <w:p>
      <w:pPr>
        <w:pStyle w:val="26"/>
        <w:snapToGrid w:val="0"/>
        <w:spacing w:line="360" w:lineRule="auto"/>
        <w:rPr>
          <w:rFonts w:cs="宋体"/>
          <w:color w:val="auto"/>
          <w:highlight w:val="none"/>
        </w:rPr>
      </w:pPr>
      <w:r>
        <w:rPr>
          <w:rFonts w:hint="eastAsia" w:cs="宋体"/>
          <w:color w:val="auto"/>
          <w:highlight w:val="none"/>
        </w:rPr>
        <w:t>十二、违约责任</w:t>
      </w:r>
    </w:p>
    <w:p>
      <w:pPr>
        <w:pStyle w:val="26"/>
        <w:snapToGrid w:val="0"/>
        <w:spacing w:line="360" w:lineRule="auto"/>
        <w:rPr>
          <w:rFonts w:cs="宋体"/>
          <w:color w:val="auto"/>
          <w:highlight w:val="none"/>
        </w:rPr>
      </w:pPr>
      <w:r>
        <w:rPr>
          <w:rFonts w:hint="eastAsia" w:cs="宋体"/>
          <w:color w:val="auto"/>
          <w:highlight w:val="none"/>
        </w:rPr>
        <w:t>1.甲方无正当理由拒绝接收服务的，甲方向乙方偿付合同款项百分之五作为违约金。</w:t>
      </w:r>
    </w:p>
    <w:p>
      <w:pPr>
        <w:pStyle w:val="26"/>
        <w:snapToGrid w:val="0"/>
        <w:spacing w:line="360" w:lineRule="auto"/>
        <w:rPr>
          <w:rFonts w:cs="宋体"/>
          <w:color w:val="auto"/>
          <w:highlight w:val="none"/>
        </w:rPr>
      </w:pPr>
      <w:r>
        <w:rPr>
          <w:rFonts w:hint="eastAsia" w:cs="宋体"/>
          <w:color w:val="auto"/>
          <w:highlight w:val="none"/>
        </w:rPr>
        <w:t>2.乙方未能如期提供服务的，每日向甲方支付合同款项的千分之六作为违约金。乙方超过约定日期10个工作日仍不能提供服务的，甲方可解除本合同，追究乙赔偿责任。4.如发现乙方违反公开竞争文件、响应文件和合同的有关规定，甲方有权根据约定和《杭州市政府采购响应人合同履行和售后服务考核暂行办法》，对乙方进行处罚，并有权提前终止合同。</w:t>
      </w:r>
    </w:p>
    <w:p>
      <w:pPr>
        <w:pStyle w:val="26"/>
        <w:snapToGrid w:val="0"/>
        <w:spacing w:line="360" w:lineRule="auto"/>
        <w:rPr>
          <w:rFonts w:cs="宋体"/>
          <w:color w:val="auto"/>
          <w:highlight w:val="none"/>
        </w:rPr>
      </w:pPr>
      <w:r>
        <w:rPr>
          <w:rFonts w:hint="eastAsia" w:cs="宋体"/>
          <w:color w:val="auto"/>
          <w:highlight w:val="none"/>
        </w:rPr>
        <w:t>十三、争议的解决</w:t>
      </w:r>
    </w:p>
    <w:p>
      <w:pPr>
        <w:pStyle w:val="26"/>
        <w:snapToGrid w:val="0"/>
        <w:spacing w:line="360" w:lineRule="auto"/>
        <w:rPr>
          <w:rFonts w:cs="宋体"/>
          <w:color w:val="auto"/>
          <w:highlight w:val="none"/>
        </w:rPr>
      </w:pPr>
      <w:r>
        <w:rPr>
          <w:rFonts w:hint="eastAsia" w:cs="宋体"/>
          <w:color w:val="auto"/>
          <w:highlight w:val="none"/>
        </w:rPr>
        <w:t>因本合同引起的或与本合同有关的任何争议，合同双方应首先通过协商解决，达成书面协议，如协商不成，可选择下列方式解决。</w:t>
      </w:r>
    </w:p>
    <w:p>
      <w:pPr>
        <w:pStyle w:val="26"/>
        <w:snapToGrid w:val="0"/>
        <w:spacing w:line="360" w:lineRule="auto"/>
        <w:rPr>
          <w:rFonts w:cs="宋体"/>
          <w:color w:val="auto"/>
          <w:highlight w:val="none"/>
        </w:rPr>
      </w:pPr>
      <w:r>
        <w:rPr>
          <w:rFonts w:hint="eastAsia" w:cs="宋体"/>
          <w:color w:val="auto"/>
          <w:highlight w:val="none"/>
        </w:rPr>
        <w:t>（1）提请杭州仲裁委员会按照该会仲裁规则进行仲裁，仲裁裁决是终局的，对合同双方均有约束力。</w:t>
      </w:r>
    </w:p>
    <w:p>
      <w:pPr>
        <w:pStyle w:val="26"/>
        <w:snapToGrid w:val="0"/>
        <w:spacing w:line="360" w:lineRule="auto"/>
        <w:rPr>
          <w:rFonts w:cs="宋体"/>
          <w:color w:val="auto"/>
          <w:highlight w:val="none"/>
        </w:rPr>
      </w:pPr>
      <w:r>
        <w:rPr>
          <w:rFonts w:hint="eastAsia" w:cs="宋体"/>
          <w:color w:val="auto"/>
          <w:highlight w:val="none"/>
        </w:rPr>
        <w:t>（2）向有管辖权的人民法院提起诉讼。</w:t>
      </w:r>
    </w:p>
    <w:p>
      <w:pPr>
        <w:pStyle w:val="26"/>
        <w:snapToGrid w:val="0"/>
        <w:spacing w:line="360" w:lineRule="auto"/>
        <w:rPr>
          <w:rFonts w:cs="宋体"/>
          <w:color w:val="auto"/>
          <w:highlight w:val="none"/>
        </w:rPr>
      </w:pPr>
      <w:r>
        <w:rPr>
          <w:rFonts w:hint="eastAsia" w:cs="宋体"/>
          <w:color w:val="auto"/>
          <w:highlight w:val="none"/>
        </w:rPr>
        <w:t>十四、合同生效</w:t>
      </w:r>
    </w:p>
    <w:p>
      <w:pPr>
        <w:pStyle w:val="26"/>
        <w:snapToGrid w:val="0"/>
        <w:spacing w:line="360" w:lineRule="auto"/>
        <w:rPr>
          <w:rFonts w:cs="宋体"/>
          <w:color w:val="auto"/>
          <w:highlight w:val="none"/>
        </w:rPr>
      </w:pPr>
      <w:r>
        <w:rPr>
          <w:rFonts w:hint="eastAsia" w:cs="宋体"/>
          <w:color w:val="auto"/>
          <w:highlight w:val="none"/>
        </w:rPr>
        <w:t>1.成交方持成交通知书作为与需方签订合同的凭证。</w:t>
      </w:r>
    </w:p>
    <w:p>
      <w:pPr>
        <w:pStyle w:val="26"/>
        <w:snapToGrid w:val="0"/>
        <w:spacing w:line="360" w:lineRule="auto"/>
        <w:rPr>
          <w:rFonts w:cs="宋体"/>
          <w:color w:val="auto"/>
          <w:highlight w:val="none"/>
        </w:rPr>
      </w:pPr>
      <w:r>
        <w:rPr>
          <w:rFonts w:hint="eastAsia" w:cs="宋体"/>
          <w:color w:val="auto"/>
          <w:highlight w:val="none"/>
        </w:rPr>
        <w:t>2.本合同经需、供双方法定代表人或其授权委托人签字并加盖单位公章后生效。</w:t>
      </w:r>
    </w:p>
    <w:p>
      <w:pPr>
        <w:pStyle w:val="26"/>
        <w:snapToGrid w:val="0"/>
        <w:spacing w:line="360" w:lineRule="auto"/>
        <w:rPr>
          <w:rFonts w:cs="宋体"/>
          <w:color w:val="auto"/>
          <w:highlight w:val="none"/>
        </w:rPr>
      </w:pPr>
    </w:p>
    <w:p>
      <w:pPr>
        <w:pStyle w:val="26"/>
        <w:snapToGrid w:val="0"/>
        <w:spacing w:line="360" w:lineRule="auto"/>
        <w:rPr>
          <w:rFonts w:cs="宋体"/>
          <w:color w:val="auto"/>
          <w:highlight w:val="none"/>
        </w:rPr>
      </w:pPr>
      <w:r>
        <w:rPr>
          <w:rFonts w:hint="eastAsia" w:cs="宋体"/>
          <w:color w:val="auto"/>
          <w:highlight w:val="none"/>
        </w:rPr>
        <w:t>需方（盖章）：                     供方（盖章）：</w:t>
      </w:r>
    </w:p>
    <w:p>
      <w:pPr>
        <w:pStyle w:val="26"/>
        <w:snapToGrid w:val="0"/>
        <w:spacing w:line="360" w:lineRule="auto"/>
        <w:rPr>
          <w:rFonts w:cs="宋体"/>
          <w:color w:val="auto"/>
          <w:highlight w:val="none"/>
        </w:rPr>
      </w:pPr>
      <w:r>
        <w:rPr>
          <w:rFonts w:hint="eastAsia" w:cs="宋体"/>
          <w:color w:val="auto"/>
          <w:highlight w:val="none"/>
        </w:rPr>
        <w:t>地址：                             地址：</w:t>
      </w:r>
    </w:p>
    <w:p>
      <w:pPr>
        <w:pStyle w:val="26"/>
        <w:snapToGrid w:val="0"/>
        <w:spacing w:line="360" w:lineRule="auto"/>
        <w:rPr>
          <w:rFonts w:cs="宋体"/>
          <w:color w:val="auto"/>
          <w:highlight w:val="none"/>
        </w:rPr>
      </w:pPr>
      <w:r>
        <w:rPr>
          <w:rFonts w:hint="eastAsia" w:cs="宋体"/>
          <w:color w:val="auto"/>
          <w:highlight w:val="none"/>
        </w:rPr>
        <w:t>法定代表人（或委托代理人）签名：   法定代表人（或委托代理人）签名：</w:t>
      </w:r>
    </w:p>
    <w:p>
      <w:pPr>
        <w:pStyle w:val="26"/>
        <w:snapToGrid w:val="0"/>
        <w:spacing w:line="360" w:lineRule="auto"/>
        <w:rPr>
          <w:rFonts w:cs="宋体"/>
          <w:color w:val="auto"/>
          <w:highlight w:val="none"/>
        </w:rPr>
      </w:pPr>
      <w:r>
        <w:rPr>
          <w:rFonts w:hint="eastAsia" w:cs="宋体"/>
          <w:color w:val="auto"/>
          <w:highlight w:val="none"/>
        </w:rPr>
        <w:t>联系电话：                         联系电话：</w:t>
      </w:r>
    </w:p>
    <w:p>
      <w:pPr>
        <w:pStyle w:val="26"/>
        <w:snapToGrid w:val="0"/>
        <w:spacing w:line="360" w:lineRule="auto"/>
        <w:rPr>
          <w:rFonts w:cs="宋体"/>
          <w:color w:val="auto"/>
          <w:highlight w:val="none"/>
        </w:rPr>
      </w:pPr>
      <w:r>
        <w:rPr>
          <w:rFonts w:hint="eastAsia" w:cs="宋体"/>
          <w:color w:val="auto"/>
          <w:highlight w:val="none"/>
        </w:rPr>
        <w:t>邮政编码：                         邮政编码：</w:t>
      </w:r>
    </w:p>
    <w:p>
      <w:pPr>
        <w:pStyle w:val="26"/>
        <w:snapToGrid w:val="0"/>
        <w:spacing w:line="360" w:lineRule="auto"/>
        <w:rPr>
          <w:rFonts w:cs="宋体"/>
          <w:color w:val="auto"/>
          <w:highlight w:val="none"/>
        </w:rPr>
      </w:pPr>
      <w:r>
        <w:rPr>
          <w:rFonts w:hint="eastAsia" w:cs="宋体"/>
          <w:color w:val="auto"/>
          <w:highlight w:val="none"/>
        </w:rPr>
        <w:t xml:space="preserve">开户银行：                         开户银行：      </w:t>
      </w:r>
    </w:p>
    <w:p>
      <w:pPr>
        <w:pStyle w:val="26"/>
        <w:snapToGrid w:val="0"/>
        <w:spacing w:line="360" w:lineRule="auto"/>
        <w:rPr>
          <w:rFonts w:cs="宋体"/>
          <w:color w:val="auto"/>
          <w:highlight w:val="none"/>
        </w:rPr>
      </w:pPr>
      <w:r>
        <w:rPr>
          <w:rFonts w:hint="eastAsia" w:cs="宋体"/>
          <w:color w:val="auto"/>
          <w:highlight w:val="none"/>
        </w:rPr>
        <w:t>帐号：                             帐号：</w:t>
      </w:r>
    </w:p>
    <w:p>
      <w:pPr>
        <w:rPr>
          <w:rFonts w:ascii="宋体" w:hAnsi="宋体" w:cs="宋体"/>
          <w:color w:val="auto"/>
          <w:sz w:val="24"/>
          <w:highlight w:val="none"/>
        </w:rPr>
      </w:pPr>
      <w:r>
        <w:rPr>
          <w:rFonts w:hint="eastAsia" w:ascii="宋体" w:hAnsi="宋体" w:cs="宋体"/>
          <w:color w:val="auto"/>
          <w:sz w:val="24"/>
          <w:highlight w:val="none"/>
        </w:rPr>
        <w:br w:type="page"/>
      </w:r>
    </w:p>
    <w:p>
      <w:pPr>
        <w:rPr>
          <w:color w:val="auto"/>
          <w:highlight w:val="none"/>
        </w:rPr>
      </w:pP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81"/>
      <w:r>
        <w:rPr>
          <w:rFonts w:hint="eastAsia" w:ascii="宋体" w:hAnsi="宋体" w:cs="宋体"/>
          <w:b/>
          <w:color w:val="auto"/>
          <w:sz w:val="36"/>
          <w:szCs w:val="20"/>
          <w:highlight w:val="none"/>
        </w:rPr>
        <w:t xml:space="preserve"> </w:t>
      </w:r>
      <w:bookmarkEnd w:id="382"/>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（1）符合参加交易活动应当具备的一般条件的承诺函…………………（页码）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符合参加交易活动应当具备的一般条件的承诺函</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（交易发起人）、（代理机构）：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（项目名称）【交易编号：    】</w:t>
      </w:r>
      <w:r>
        <w:rPr>
          <w:rFonts w:hint="eastAsia" w:ascii="宋体" w:hAnsi="宋体" w:cs="宋体"/>
          <w:color w:val="auto"/>
          <w:sz w:val="24"/>
          <w:highlight w:val="none"/>
        </w:rPr>
        <w:t>交易活动，郑重承诺：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响应人名称(电子签名)：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（根据交易公告本项目的特定资格要求提供相应的材料；未要求的，无需提供）</w:t>
      </w:r>
    </w:p>
    <w:p>
      <w:pPr>
        <w:spacing w:line="360" w:lineRule="auto"/>
        <w:jc w:val="center"/>
        <w:rPr>
          <w:rFonts w:ascii="宋体" w:hAnsi="宋体" w:cs="宋体"/>
          <w:color w:val="auto"/>
          <w:kern w:val="0"/>
          <w:sz w:val="24"/>
          <w:highlight w:val="none"/>
          <w:lang w:val="zh-CN"/>
        </w:rPr>
      </w:pPr>
    </w:p>
    <w:p>
      <w:pPr>
        <w:widowControl/>
        <w:spacing w:line="360" w:lineRule="auto"/>
        <w:ind w:left="15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outlineLvl w:val="0"/>
        <w:rPr>
          <w:rFonts w:ascii="宋体" w:hAnsi="宋体" w:cs="宋体"/>
          <w:b/>
          <w:color w:val="auto"/>
          <w:kern w:val="0"/>
          <w:sz w:val="36"/>
          <w:szCs w:val="36"/>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outlineLvl w:val="0"/>
        <w:rPr>
          <w:rFonts w:ascii="宋体" w:hAnsi="宋体" w:cs="宋体"/>
          <w:b/>
          <w:color w:val="auto"/>
          <w:kern w:val="0"/>
          <w:sz w:val="36"/>
          <w:szCs w:val="36"/>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outlineLvl w:val="0"/>
        <w:rPr>
          <w:rFonts w:ascii="宋体" w:hAnsi="宋体" w:cs="宋体"/>
          <w:b/>
          <w:color w:val="auto"/>
          <w:kern w:val="0"/>
          <w:sz w:val="36"/>
          <w:szCs w:val="36"/>
          <w:highlight w:val="none"/>
        </w:rPr>
      </w:pPr>
    </w:p>
    <w:p>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jc w:val="distribute"/>
        <w:rPr>
          <w:rFonts w:ascii="宋体" w:hAnsi="宋体" w:cs="宋体"/>
          <w:color w:val="auto"/>
          <w:highlight w:val="none"/>
        </w:rPr>
      </w:pPr>
      <w:r>
        <w:rPr>
          <w:rFonts w:hint="eastAsia" w:ascii="宋体" w:hAnsi="宋体" w:cs="宋体"/>
          <w:color w:val="auto"/>
          <w:sz w:val="24"/>
          <w:highlight w:val="none"/>
        </w:rPr>
        <w:t>（1）交易函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firstLine="480" w:firstLineChars="200"/>
        <w:jc w:val="distribute"/>
        <w:rPr>
          <w:rFonts w:ascii="宋体" w:hAnsi="宋体" w:cs="宋体"/>
          <w:color w:val="auto"/>
          <w:sz w:val="24"/>
          <w:highlight w:val="none"/>
        </w:rPr>
      </w:pPr>
      <w:r>
        <w:rPr>
          <w:rFonts w:hint="eastAsia" w:ascii="宋体" w:hAnsi="宋体" w:cs="宋体"/>
          <w:color w:val="auto"/>
          <w:sz w:val="24"/>
          <w:highlight w:val="none"/>
        </w:rPr>
        <w:t>（3）营业执照</w:t>
      </w:r>
      <w:r>
        <w:rPr>
          <w:rFonts w:hint="eastAsia" w:ascii="宋体" w:hAnsi="宋体" w:cs="宋体"/>
          <w:color w:val="auto"/>
          <w:highlight w:val="none"/>
        </w:rPr>
        <w:t>………………………………………………………………………………（页码）</w:t>
      </w:r>
    </w:p>
    <w:p>
      <w:pPr>
        <w:snapToGrid w:val="0"/>
        <w:spacing w:line="360" w:lineRule="auto"/>
        <w:ind w:firstLine="480" w:firstLineChars="200"/>
        <w:jc w:val="distribute"/>
        <w:rPr>
          <w:rFonts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pPr>
        <w:snapToGrid w:val="0"/>
        <w:spacing w:line="360" w:lineRule="auto"/>
        <w:ind w:firstLine="480" w:firstLineChars="200"/>
        <w:jc w:val="distribute"/>
        <w:rPr>
          <w:rFonts w:ascii="宋体" w:hAnsi="宋体" w:cs="宋体"/>
          <w:color w:val="auto"/>
          <w:sz w:val="24"/>
          <w:highlight w:val="none"/>
        </w:rPr>
      </w:pPr>
      <w:r>
        <w:rPr>
          <w:rFonts w:hint="eastAsia" w:ascii="宋体" w:hAnsi="宋体" w:cs="宋体"/>
          <w:color w:val="auto"/>
          <w:sz w:val="24"/>
          <w:highlight w:val="none"/>
        </w:rPr>
        <w:t>（5）评审标准相应的商务技术资料</w:t>
      </w:r>
      <w:r>
        <w:rPr>
          <w:rFonts w:hint="eastAsia" w:ascii="宋体" w:hAnsi="宋体" w:cs="宋体"/>
          <w:color w:val="auto"/>
          <w:highlight w:val="none"/>
        </w:rPr>
        <w:t>……………………………………………………（页码）</w:t>
      </w:r>
    </w:p>
    <w:p>
      <w:pPr>
        <w:snapToGrid w:val="0"/>
        <w:spacing w:line="360" w:lineRule="auto"/>
        <w:ind w:firstLine="480" w:firstLineChars="200"/>
        <w:jc w:val="distribute"/>
        <w:rPr>
          <w:rFonts w:ascii="宋体" w:hAnsi="宋体" w:cs="宋体"/>
          <w:color w:val="auto"/>
          <w:sz w:val="24"/>
          <w:highlight w:val="none"/>
        </w:rPr>
      </w:pPr>
      <w:r>
        <w:rPr>
          <w:rFonts w:hint="eastAsia" w:ascii="宋体" w:hAnsi="宋体" w:cs="宋体"/>
          <w:color w:val="auto"/>
          <w:sz w:val="24"/>
          <w:highlight w:val="none"/>
        </w:rPr>
        <w:t>（6）商务技术偏离表</w:t>
      </w:r>
      <w:r>
        <w:rPr>
          <w:rFonts w:hint="eastAsia" w:ascii="宋体" w:hAnsi="宋体" w:cs="宋体"/>
          <w:color w:val="auto"/>
          <w:highlight w:val="none"/>
        </w:rPr>
        <w:t>………………………………………………………………………（页码）</w:t>
      </w:r>
    </w:p>
    <w:p>
      <w:pPr>
        <w:snapToGrid w:val="0"/>
        <w:spacing w:line="360" w:lineRule="auto"/>
        <w:ind w:left="479" w:leftChars="228"/>
        <w:jc w:val="distribute"/>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zh-CN"/>
        </w:rPr>
        <w:t>响应人廉洁自律承诺书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一、交易函</w:t>
      </w:r>
    </w:p>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（交易发起人）、（代理机构）：</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（项目名称）【交易编号：        】</w:t>
      </w:r>
      <w:r>
        <w:rPr>
          <w:rFonts w:hint="eastAsia" w:ascii="宋体" w:hAnsi="宋体" w:cs="宋体"/>
          <w:color w:val="auto"/>
          <w:sz w:val="24"/>
          <w:highlight w:val="none"/>
        </w:rPr>
        <w:t>招标的有关活动，并对此项目进行投标。为此：</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1、我方承诺交易有效期从提交响应文件的截止之日起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本响应文件在交易有效期满之前均具有约束力。</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2.1.2本项目的特定资格要求（如果有）。</w:t>
      </w:r>
    </w:p>
    <w:p>
      <w:pPr>
        <w:snapToGrid w:val="0"/>
        <w:spacing w:line="440" w:lineRule="exact"/>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2.2.1交易函；</w:t>
      </w:r>
      <w:r>
        <w:rPr>
          <w:rFonts w:hint="eastAsia" w:ascii="宋体" w:hAnsi="宋体" w:cs="宋体"/>
          <w:color w:val="auto"/>
          <w:sz w:val="24"/>
          <w:highlight w:val="none"/>
          <w:lang w:val="zh-CN"/>
        </w:rPr>
        <w:t xml:space="preserve"> </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2.2.3营业执照；</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pPr>
        <w:snapToGrid w:val="0"/>
        <w:spacing w:line="440" w:lineRule="exact"/>
        <w:ind w:left="420" w:leftChars="200" w:firstLine="480" w:firstLineChars="200"/>
        <w:rPr>
          <w:rFonts w:ascii="宋体" w:hAnsi="宋体" w:cs="宋体"/>
          <w:color w:val="auto"/>
          <w:highlight w:val="none"/>
        </w:rPr>
      </w:pPr>
      <w:r>
        <w:rPr>
          <w:rFonts w:hint="eastAsia" w:ascii="宋体" w:hAnsi="宋体" w:cs="宋体"/>
          <w:color w:val="auto"/>
          <w:sz w:val="24"/>
          <w:highlight w:val="none"/>
        </w:rPr>
        <w:t>2.2.5评审标准相应的商务技术资料；</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w:t>
      </w:r>
      <w:r>
        <w:rPr>
          <w:rFonts w:hint="eastAsia" w:ascii="宋体" w:hAnsi="宋体" w:cs="宋体"/>
          <w:color w:val="auto"/>
          <w:sz w:val="24"/>
          <w:highlight w:val="none"/>
          <w:lang w:val="zh-CN"/>
        </w:rPr>
        <w:t>响应人廉洁自律承诺书。</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2.3.1交易一览表（报价表）。</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3、我方承诺除商务技术偏离表列出的偏离外，我方响应公开竞争文件的全部要求。</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4.3按照公开竞争文件要求提交履约保证金；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40" w:lineRule="exact"/>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响应人名称（电子签名）：                          </w:t>
      </w:r>
    </w:p>
    <w:p>
      <w:pPr>
        <w:spacing w:line="440" w:lineRule="exact"/>
        <w:jc w:val="center"/>
        <w:rPr>
          <w:rFonts w:ascii="宋体" w:hAnsi="宋体" w:cs="宋体"/>
          <w:color w:val="auto"/>
          <w:kern w:val="0"/>
          <w:sz w:val="24"/>
          <w:highlight w:val="none"/>
          <w:u w:val="singl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color w:val="auto"/>
          <w:sz w:val="24"/>
          <w:highlight w:val="none"/>
        </w:rPr>
        <w:t>注：按本格式和要求提供。</w:t>
      </w:r>
    </w:p>
    <w:p>
      <w:pPr>
        <w:pStyle w:val="24"/>
        <w:rPr>
          <w:rFonts w:hAnsi="宋体" w:cs="宋体"/>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（项目名称）【交易编号：       】</w:t>
      </w:r>
      <w:r>
        <w:rPr>
          <w:rFonts w:hint="eastAsia" w:ascii="宋体" w:hAnsi="宋体" w:cs="宋体"/>
          <w:color w:val="auto"/>
          <w:kern w:val="0"/>
          <w:sz w:val="24"/>
          <w:highlight w:val="none"/>
          <w:lang w:val="zh-CN"/>
        </w:rPr>
        <w:t>交易项目的一切事项，其法律后果由我方承担。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响应人名称(电子签名)：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lang w:val="zh-CN"/>
        </w:rPr>
      </w:pPr>
      <w:r>
        <w:rPr>
          <w:rFonts w:hint="eastAsia" w:ascii="宋体" w:hAnsi="宋体" w:cs="宋体"/>
          <w:b/>
          <w:color w:val="auto"/>
          <w:kern w:val="0"/>
          <w:sz w:val="32"/>
          <w:szCs w:val="32"/>
          <w:highlight w:val="none"/>
          <w:lang w:val="zh-CN"/>
        </w:rPr>
        <w:t xml:space="preserve">    </w:t>
      </w: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的身份证明（适用于法定代表人、单位负责人或者自然人本人代表响应人参加投标）</w:t>
      </w:r>
    </w:p>
    <w:p>
      <w:pPr>
        <w:pStyle w:val="153"/>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3"/>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3"/>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响应人名称(电子签名)：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三、营业执照</w:t>
      </w:r>
    </w:p>
    <w:p>
      <w:pPr>
        <w:jc w:val="center"/>
        <w:rPr>
          <w:rFonts w:ascii="宋体" w:hAnsi="宋体" w:cs="宋体"/>
          <w:b/>
          <w:color w:val="auto"/>
          <w:kern w:val="0"/>
          <w:sz w:val="32"/>
          <w:szCs w:val="32"/>
          <w:highlight w:val="none"/>
        </w:rPr>
      </w:pP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3"/>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p>
    <w:p>
      <w:pPr>
        <w:snapToGrid w:val="0"/>
        <w:spacing w:line="360" w:lineRule="auto"/>
        <w:ind w:firstLine="576"/>
        <w:jc w:val="center"/>
        <w:rPr>
          <w:rFonts w:ascii="宋体" w:hAnsi="宋体" w:cs="宋体"/>
          <w:color w:val="auto"/>
          <w:kern w:val="0"/>
          <w:sz w:val="24"/>
          <w:highlight w:val="none"/>
          <w:lang w:val="zh-CN"/>
        </w:rPr>
      </w:pP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响应人名称(电子签名)：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97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356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39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响应文件按照公开竞争文件要求签署、盖章。</w:t>
            </w:r>
          </w:p>
        </w:tc>
        <w:tc>
          <w:tcPr>
            <w:tcW w:w="356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pPr>
              <w:jc w:val="center"/>
              <w:rPr>
                <w:rFonts w:ascii="宋体" w:hAnsi="宋体" w:cs="宋体"/>
                <w:color w:val="auto"/>
                <w:sz w:val="24"/>
                <w:highlight w:val="none"/>
              </w:rPr>
            </w:pPr>
          </w:p>
          <w:p>
            <w:pPr>
              <w:jc w:val="center"/>
              <w:rPr>
                <w:rFonts w:ascii="宋体" w:hAnsi="宋体" w:cs="宋体"/>
                <w:color w:val="auto"/>
                <w:sz w:val="24"/>
                <w:highlight w:val="none"/>
              </w:rPr>
            </w:pPr>
            <w:r>
              <w:rPr>
                <w:rFonts w:hint="eastAsia" w:ascii="宋体" w:hAnsi="宋体" w:cs="宋体"/>
                <w:color w:val="auto"/>
                <w:sz w:val="24"/>
                <w:highlight w:val="none"/>
              </w:rPr>
              <w:t>见响应文件</w:t>
            </w:r>
          </w:p>
          <w:p>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9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响应文件中承诺的交易有效期不少于公开竞争文件中载明的交易有效期。</w:t>
            </w:r>
          </w:p>
        </w:tc>
        <w:tc>
          <w:tcPr>
            <w:tcW w:w="356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交易函</w:t>
            </w:r>
          </w:p>
        </w:tc>
        <w:tc>
          <w:tcPr>
            <w:tcW w:w="1418" w:type="dxa"/>
            <w:vAlign w:val="center"/>
          </w:tcPr>
          <w:p>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39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响应文件满足公开竞争文件的其它实质性要求。</w:t>
            </w:r>
          </w:p>
        </w:tc>
        <w:tc>
          <w:tcPr>
            <w:tcW w:w="3566" w:type="dxa"/>
            <w:vAlign w:val="center"/>
          </w:tcPr>
          <w:p>
            <w:pPr>
              <w:jc w:val="center"/>
              <w:rPr>
                <w:rFonts w:ascii="宋体" w:hAnsi="宋体" w:cs="宋体"/>
                <w:color w:val="auto"/>
                <w:sz w:val="24"/>
                <w:highlight w:val="none"/>
              </w:rPr>
            </w:pPr>
            <w:r>
              <w:rPr>
                <w:rFonts w:hint="eastAsia" w:ascii="宋体" w:hAnsi="宋体" w:cs="宋体"/>
                <w:color w:val="auto"/>
                <w:kern w:val="0"/>
                <w:sz w:val="24"/>
                <w:highlight w:val="none"/>
              </w:rPr>
              <w:t>公开竞争文件其它实质性要求相应的材料（“▲” 系指实质性要求条款，公开竞争文件无其它实质性要求的，无需提供）</w:t>
            </w:r>
          </w:p>
        </w:tc>
        <w:tc>
          <w:tcPr>
            <w:tcW w:w="1418" w:type="dxa"/>
            <w:vAlign w:val="center"/>
          </w:tcPr>
          <w:p>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五、评审标准相应的商务技术资料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（按公开竞争文件第四部分交易办法前附表中“响应文件中评审标准相应的商务技术资料目录”提供资料。）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25"/>
        <w:rPr>
          <w:rFonts w:hAnsi="宋体" w:cs="宋体"/>
          <w:b/>
          <w:color w:val="auto"/>
          <w:kern w:val="0"/>
          <w:sz w:val="32"/>
          <w:szCs w:val="32"/>
          <w:highlight w:val="none"/>
        </w:rPr>
      </w:pPr>
    </w:p>
    <w:p>
      <w:pPr>
        <w:pStyle w:val="53"/>
        <w:rPr>
          <w:rFonts w:ascii="宋体" w:hAnsi="宋体" w:cs="宋体"/>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pacing w:line="360" w:lineRule="auto"/>
        <w:ind w:right="42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公开竞争文件章节及具体内容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响应人保证：除商务技术偏离表列出的偏离外，响应人响应公开竞争文件的全部要求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响应人廉洁自律承诺书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六、严格遵守相关法律法规，诚实守信，合法经营，坚决抵制各种违法违纪行为。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（1）交易一览表（报价表）………………………………………………………（页码）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u w:val="single"/>
          <w:lang w:val="zh-CN"/>
        </w:rPr>
        <w:t>【交易编号：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napToGrid w:val="0"/>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交易一览表（报价表）(单位均为人民币元)</w:t>
      </w:r>
    </w:p>
    <w:tbl>
      <w:tblPr>
        <w:tblStyle w:val="63"/>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591"/>
        <w:gridCol w:w="2201"/>
        <w:gridCol w:w="3401"/>
        <w:gridCol w:w="1332"/>
        <w:gridCol w:w="1548"/>
        <w:gridCol w:w="948"/>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5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具体内容</w:t>
            </w:r>
          </w:p>
        </w:tc>
        <w:tc>
          <w:tcPr>
            <w:tcW w:w="34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具体服务</w:t>
            </w:r>
          </w:p>
        </w:tc>
        <w:tc>
          <w:tcPr>
            <w:tcW w:w="13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总价</w:t>
            </w:r>
          </w:p>
        </w:tc>
        <w:tc>
          <w:tcPr>
            <w:tcW w:w="20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p>
        </w:tc>
        <w:tc>
          <w:tcPr>
            <w:tcW w:w="34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p>
        </w:tc>
        <w:tc>
          <w:tcPr>
            <w:tcW w:w="34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p>
        </w:tc>
        <w:tc>
          <w:tcPr>
            <w:tcW w:w="34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4</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p>
        </w:tc>
        <w:tc>
          <w:tcPr>
            <w:tcW w:w="34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5</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p>
        </w:tc>
        <w:tc>
          <w:tcPr>
            <w:tcW w:w="34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72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583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72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583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r>
    </w:tbl>
    <w:p>
      <w:pPr>
        <w:snapToGrid w:val="0"/>
        <w:spacing w:line="360" w:lineRule="auto"/>
        <w:ind w:left="480"/>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1、响应人需按本表格式填写，不得自行更改。</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响应文件含有交易发起人不能接受的附加条件的，交易无效</w:t>
      </w:r>
      <w:r>
        <w:rPr>
          <w:rFonts w:hint="eastAsia" w:ascii="宋体" w:hAnsi="宋体" w:cs="宋体"/>
          <w:b/>
          <w:color w:val="auto"/>
          <w:kern w:val="0"/>
          <w:sz w:val="24"/>
          <w:highlight w:val="none"/>
          <w:lang w:val="zh-CN"/>
        </w:rPr>
        <w:t>；交易内容未包含在《交易一览表（报价表）》名称栏中，响应人不能作出合理解释的，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响应文件含有交易发起人不能接受的附加条件的，交易无效。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4、特别提示：代理机构将对项目名称和项目编号，成交响应人名称、地址和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金额等予以公示。</w:t>
      </w:r>
    </w:p>
    <w:p>
      <w:pPr>
        <w:spacing w:line="360" w:lineRule="auto"/>
        <w:ind w:firstLine="482" w:firstLineChars="200"/>
        <w:rPr>
          <w:rFonts w:ascii="宋体" w:hAnsi="宋体" w:cs="宋体"/>
          <w:b/>
          <w:color w:val="auto"/>
          <w:kern w:val="0"/>
          <w:sz w:val="24"/>
          <w:highlight w:val="none"/>
        </w:rPr>
      </w:pPr>
    </w:p>
    <w:p>
      <w:pPr>
        <w:autoSpaceDE w:val="0"/>
        <w:autoSpaceDN w:val="0"/>
        <w:spacing w:line="360" w:lineRule="auto"/>
        <w:ind w:left="2" w:leftChars="1" w:right="1120" w:firstLine="7680" w:firstLineChars="3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pPr>
        <w:autoSpaceDE w:val="0"/>
        <w:autoSpaceDN w:val="0"/>
        <w:spacing w:line="360" w:lineRule="auto"/>
        <w:ind w:left="2" w:leftChars="1" w:right="1120" w:firstLine="7680" w:firstLineChars="3200"/>
        <w:jc w:val="left"/>
        <w:rPr>
          <w:rFonts w:ascii="宋体" w:hAnsi="宋体" w:cs="宋体"/>
          <w:color w:val="auto"/>
          <w:sz w:val="32"/>
          <w:szCs w:val="32"/>
          <w:highlight w:val="none"/>
        </w:rPr>
        <w:sectPr>
          <w:pgSz w:w="16838" w:h="11906" w:orient="landscape"/>
          <w:pgMar w:top="1418" w:right="1247" w:bottom="1418" w:left="1276" w:header="851" w:footer="992" w:gutter="0"/>
          <w:cols w:space="720" w:num="1"/>
          <w:titlePg/>
          <w:docGrid w:linePitch="312" w:charSpace="0"/>
        </w:sect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r>
        <w:rPr>
          <w:rFonts w:hint="eastAsia" w:ascii="宋体" w:hAnsi="宋体" w:cs="宋体"/>
          <w:b/>
          <w:color w:val="auto"/>
          <w:spacing w:val="6"/>
          <w:sz w:val="32"/>
          <w:szCs w:val="32"/>
          <w:highlight w:val="none"/>
          <w:lang w:val="zh-CN"/>
        </w:rPr>
        <w:t>异议</w:t>
      </w:r>
      <w:r>
        <w:rPr>
          <w:rFonts w:hint="eastAsia" w:ascii="宋体" w:hAnsi="宋体" w:cs="宋体"/>
          <w:b/>
          <w:color w:val="auto"/>
          <w:spacing w:val="6"/>
          <w:sz w:val="32"/>
          <w:szCs w:val="32"/>
          <w:highlight w:val="none"/>
        </w:rPr>
        <w:t>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异议函范本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一、异议响应人基本信息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异议响应人：</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二、异议项目基本情况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异议项目的名称：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异议项目的编号：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公开竞争文件获取日期：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三、异议事项具体内容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四、与异议事项相关的异议请求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异议函制作说明：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1.响应人提出异议时，应提交异议函和必要的证明材料。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2.异议响应人若委托代理人进行异议的，异议函应按要求列明“授权代表”的有关内容，并在附件中提交由异议</w:t>
      </w:r>
      <w:r>
        <w:rPr>
          <w:rFonts w:hint="eastAsia" w:ascii="宋体" w:hAnsi="宋体" w:cs="宋体"/>
          <w:color w:val="auto"/>
          <w:kern w:val="0"/>
          <w:sz w:val="24"/>
          <w:highlight w:val="none"/>
        </w:rPr>
        <w:t>响应人签署的授权委托书。授权委托书应载明代理人的姓名或者名称、代理事项、具体权限、期限和相关事项。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3.异议响应人若对项目的某一分包进行异议，异议函中应列明具体分包号。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4.异议函的异议事项应具体、明确，并有必要的事实依据和法律依据。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5.异议函的异议请求应与异议事项相关。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相关响应人：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交易名称：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交易编号：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公开竞争文件公告: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成交结果公告: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三、异议基本情况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提出异议，异议事项为：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交易发起人/代理机构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日,就异议事项作出了答复/没有在法定期限内作出答复。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1.投诉人提起投诉时，应当提交投诉书和必要的证明材料，并按照被投诉人和与投诉事项有关的响应人数量提供投诉书副本。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4.投诉书应简要列明异议事项，异议函、异议答复等作为附件材料提供。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left"/>
        <w:rPr>
          <w:rFonts w:ascii="宋体" w:hAnsi="宋体" w:cs="宋体"/>
          <w:b/>
          <w:color w:val="auto"/>
          <w:spacing w:val="6"/>
          <w:sz w:val="32"/>
          <w:szCs w:val="32"/>
          <w:highlight w:val="none"/>
        </w:rPr>
      </w:pPr>
    </w:p>
    <w:p>
      <w:pPr>
        <w:autoSpaceDE w:val="0"/>
        <w:autoSpaceDN w:val="0"/>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w:t>
      </w:r>
    </w:p>
    <w:p>
      <w:pPr>
        <w:autoSpaceDE w:val="0"/>
        <w:autoSpaceDN w:val="0"/>
        <w:jc w:val="center"/>
        <w:rPr>
          <w:rFonts w:ascii="宋体" w:hAnsi="宋体" w:cs="宋体"/>
          <w:b/>
          <w:bCs/>
          <w:color w:val="auto"/>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（交易发起人）、（代理机构）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(响应人全称)是中华人民共和国依法登记注册的合法企业，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（项目名称）项目【交易编号：      ）】</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B0604020202020204"/>
    <w:charset w:val="86"/>
    <w:family w:val="modern"/>
    <w:pitch w:val="default"/>
    <w:sig w:usb0="00000000" w:usb1="00000000" w:usb2="0000001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Futura Bk">
    <w:altName w:val="Segoe Print"/>
    <w:panose1 w:val="020B0602020204020303"/>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20B0604020202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20B0604020202020204"/>
    <w:charset w:val="00"/>
    <w:family w:val="roman"/>
    <w:pitch w:val="default"/>
    <w:sig w:usb0="00000000" w:usb1="00000000" w:usb2="00000000" w:usb3="00000000" w:csb0="00040001" w:csb1="00000000"/>
  </w:font>
  <w:font w:name="幼圆">
    <w:altName w:val="宋体"/>
    <w:panose1 w:val="020B0604020202020204"/>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0019F"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Courier New"/>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20B0604020202020204"/>
    <w:charset w:val="00"/>
    <w:family w:val="roman"/>
    <w:pitch w:val="default"/>
    <w:sig w:usb0="00000000" w:usb1="00000000" w:usb2="00000000" w:usb3="00000000" w:csb0="00000011" w:csb1="00000000"/>
  </w:font>
  <w:font w:name=".PingFang SC">
    <w:altName w:val="宋体"/>
    <w:panose1 w:val="020B0604020202020204"/>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20</w:t>
                    </w:r>
                    <w:r>
                      <w:fldChar w:fldCharType="end"/>
                    </w:r>
                    <w:r>
                      <w:t xml:space="preserve"> 页</w:t>
                    </w:r>
                  </w:p>
                </w:txbxContent>
              </v:textbox>
            </v:shape>
          </w:pict>
        </mc:Fallback>
      </mc:AlternateConten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47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43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rPr>
        <w:rFonts w:hint="eastAsia"/>
      </w:rPr>
      <w:t xml:space="preserve">                                                                                        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D9CB7A"/>
    <w:multiLevelType w:val="singleLevel"/>
    <w:tmpl w:val="ADD9CB7A"/>
    <w:lvl w:ilvl="0" w:tentative="0">
      <w:start w:val="1"/>
      <w:numFmt w:val="decimal"/>
      <w:lvlText w:val="%1."/>
      <w:lvlJc w:val="left"/>
      <w:pPr>
        <w:tabs>
          <w:tab w:val="left" w:pos="312"/>
        </w:tabs>
      </w:pPr>
    </w:lvl>
  </w:abstractNum>
  <w:abstractNum w:abstractNumId="1">
    <w:nsid w:val="434CA0FB"/>
    <w:multiLevelType w:val="singleLevel"/>
    <w:tmpl w:val="434CA0FB"/>
    <w:lvl w:ilvl="0" w:tentative="0">
      <w:start w:val="1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kYTNjODAzOWEyZTBjZWI2OWE0Y2U2MTNhOGNiNm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7F2"/>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F3F"/>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061"/>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353"/>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60F"/>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13C"/>
    <w:rsid w:val="00465A21"/>
    <w:rsid w:val="00465DE5"/>
    <w:rsid w:val="00466978"/>
    <w:rsid w:val="00466ABA"/>
    <w:rsid w:val="004672E3"/>
    <w:rsid w:val="0046775D"/>
    <w:rsid w:val="00467823"/>
    <w:rsid w:val="004705FA"/>
    <w:rsid w:val="004708AC"/>
    <w:rsid w:val="004711D8"/>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1FC1"/>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6E3"/>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0FC5"/>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B7E"/>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3B9"/>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999"/>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79B"/>
    <w:rsid w:val="00B06912"/>
    <w:rsid w:val="00B07316"/>
    <w:rsid w:val="00B07F74"/>
    <w:rsid w:val="00B07F8D"/>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1D3"/>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FF"/>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6D9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E79"/>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B640B"/>
    <w:rsid w:val="025F0711"/>
    <w:rsid w:val="02644317"/>
    <w:rsid w:val="026B2E25"/>
    <w:rsid w:val="02824D4D"/>
    <w:rsid w:val="02BE3979"/>
    <w:rsid w:val="02DC4B10"/>
    <w:rsid w:val="02DD76CE"/>
    <w:rsid w:val="02F36323"/>
    <w:rsid w:val="02F5619C"/>
    <w:rsid w:val="0326446A"/>
    <w:rsid w:val="032D5555"/>
    <w:rsid w:val="036634D2"/>
    <w:rsid w:val="038A68D9"/>
    <w:rsid w:val="03D62CE2"/>
    <w:rsid w:val="03DD35E4"/>
    <w:rsid w:val="03F1522C"/>
    <w:rsid w:val="04076900"/>
    <w:rsid w:val="041A5A3B"/>
    <w:rsid w:val="042311BA"/>
    <w:rsid w:val="042B157A"/>
    <w:rsid w:val="048F763B"/>
    <w:rsid w:val="049F330E"/>
    <w:rsid w:val="04AA775C"/>
    <w:rsid w:val="04AF1889"/>
    <w:rsid w:val="04B85F11"/>
    <w:rsid w:val="04EE3F9B"/>
    <w:rsid w:val="04F66F48"/>
    <w:rsid w:val="051E28A6"/>
    <w:rsid w:val="05251E14"/>
    <w:rsid w:val="05507636"/>
    <w:rsid w:val="05770BD6"/>
    <w:rsid w:val="058806C7"/>
    <w:rsid w:val="05A16594"/>
    <w:rsid w:val="05A7762D"/>
    <w:rsid w:val="05BF4603"/>
    <w:rsid w:val="05C04DC2"/>
    <w:rsid w:val="060E5941"/>
    <w:rsid w:val="06110FAF"/>
    <w:rsid w:val="06493CA7"/>
    <w:rsid w:val="065A6178"/>
    <w:rsid w:val="066D3597"/>
    <w:rsid w:val="066F1CF3"/>
    <w:rsid w:val="06930BB8"/>
    <w:rsid w:val="06956198"/>
    <w:rsid w:val="07245D42"/>
    <w:rsid w:val="07264C62"/>
    <w:rsid w:val="072F6604"/>
    <w:rsid w:val="0779354C"/>
    <w:rsid w:val="077F0C95"/>
    <w:rsid w:val="07C300BD"/>
    <w:rsid w:val="07FE18F3"/>
    <w:rsid w:val="08061376"/>
    <w:rsid w:val="08452D77"/>
    <w:rsid w:val="086401F8"/>
    <w:rsid w:val="08751CAA"/>
    <w:rsid w:val="0876556A"/>
    <w:rsid w:val="087E4C40"/>
    <w:rsid w:val="08A53637"/>
    <w:rsid w:val="08A871D0"/>
    <w:rsid w:val="08D66AD6"/>
    <w:rsid w:val="08DA33A3"/>
    <w:rsid w:val="08E80F13"/>
    <w:rsid w:val="092612F3"/>
    <w:rsid w:val="092748F4"/>
    <w:rsid w:val="09335624"/>
    <w:rsid w:val="0944690F"/>
    <w:rsid w:val="09535675"/>
    <w:rsid w:val="095F057D"/>
    <w:rsid w:val="09642282"/>
    <w:rsid w:val="09733572"/>
    <w:rsid w:val="09772C16"/>
    <w:rsid w:val="098353B5"/>
    <w:rsid w:val="09A92330"/>
    <w:rsid w:val="09B06B87"/>
    <w:rsid w:val="09C13146"/>
    <w:rsid w:val="09E04166"/>
    <w:rsid w:val="09F81448"/>
    <w:rsid w:val="0A1C0718"/>
    <w:rsid w:val="0A2C10A7"/>
    <w:rsid w:val="0A3E7710"/>
    <w:rsid w:val="0A5B7E63"/>
    <w:rsid w:val="0A5E227D"/>
    <w:rsid w:val="0A7F4701"/>
    <w:rsid w:val="0AA374A5"/>
    <w:rsid w:val="0AAB7649"/>
    <w:rsid w:val="0AAF5E89"/>
    <w:rsid w:val="0AB86C5C"/>
    <w:rsid w:val="0ABC5606"/>
    <w:rsid w:val="0AC42692"/>
    <w:rsid w:val="0ADE3108"/>
    <w:rsid w:val="0ADF4EB4"/>
    <w:rsid w:val="0B0F74C5"/>
    <w:rsid w:val="0B30404E"/>
    <w:rsid w:val="0B4C6C14"/>
    <w:rsid w:val="0B524759"/>
    <w:rsid w:val="0B631A88"/>
    <w:rsid w:val="0B683D45"/>
    <w:rsid w:val="0B76461B"/>
    <w:rsid w:val="0B7F3F11"/>
    <w:rsid w:val="0B884417"/>
    <w:rsid w:val="0B93709B"/>
    <w:rsid w:val="0BF6188C"/>
    <w:rsid w:val="0BF73C91"/>
    <w:rsid w:val="0C170175"/>
    <w:rsid w:val="0C41327A"/>
    <w:rsid w:val="0C571A41"/>
    <w:rsid w:val="0C5C1171"/>
    <w:rsid w:val="0C5E1CBC"/>
    <w:rsid w:val="0C615B50"/>
    <w:rsid w:val="0C6E0EEC"/>
    <w:rsid w:val="0C8445DA"/>
    <w:rsid w:val="0C87121B"/>
    <w:rsid w:val="0CAE0BF3"/>
    <w:rsid w:val="0CC007F7"/>
    <w:rsid w:val="0CC617AC"/>
    <w:rsid w:val="0CFE707A"/>
    <w:rsid w:val="0D063BDA"/>
    <w:rsid w:val="0D08375F"/>
    <w:rsid w:val="0D184CFB"/>
    <w:rsid w:val="0D37621D"/>
    <w:rsid w:val="0D3D3B60"/>
    <w:rsid w:val="0D400115"/>
    <w:rsid w:val="0D4A7419"/>
    <w:rsid w:val="0D827401"/>
    <w:rsid w:val="0D84094E"/>
    <w:rsid w:val="0D8A00E9"/>
    <w:rsid w:val="0D8D589E"/>
    <w:rsid w:val="0D95362E"/>
    <w:rsid w:val="0DA01C73"/>
    <w:rsid w:val="0DD63300"/>
    <w:rsid w:val="0DF50604"/>
    <w:rsid w:val="0DF702FE"/>
    <w:rsid w:val="0E060E51"/>
    <w:rsid w:val="0E22536A"/>
    <w:rsid w:val="0E24319C"/>
    <w:rsid w:val="0E373674"/>
    <w:rsid w:val="0E5604B2"/>
    <w:rsid w:val="0E6D5D79"/>
    <w:rsid w:val="0E6F14E6"/>
    <w:rsid w:val="0E9D0089"/>
    <w:rsid w:val="0EB803EE"/>
    <w:rsid w:val="0EF94D4B"/>
    <w:rsid w:val="0F0B13B6"/>
    <w:rsid w:val="0F182768"/>
    <w:rsid w:val="0F4958DC"/>
    <w:rsid w:val="0F515DF7"/>
    <w:rsid w:val="0F596BA8"/>
    <w:rsid w:val="0F6248D2"/>
    <w:rsid w:val="0F635421"/>
    <w:rsid w:val="0F693536"/>
    <w:rsid w:val="0F7B0511"/>
    <w:rsid w:val="0F7B76D9"/>
    <w:rsid w:val="0F816ACD"/>
    <w:rsid w:val="0F9832DB"/>
    <w:rsid w:val="0FB220A8"/>
    <w:rsid w:val="0FBF3FD2"/>
    <w:rsid w:val="0FBF7FF3"/>
    <w:rsid w:val="0FCF1C32"/>
    <w:rsid w:val="0FDA406B"/>
    <w:rsid w:val="0FFC3E38"/>
    <w:rsid w:val="10156805"/>
    <w:rsid w:val="10646583"/>
    <w:rsid w:val="107D4B15"/>
    <w:rsid w:val="10841832"/>
    <w:rsid w:val="108A3C80"/>
    <w:rsid w:val="10C26171"/>
    <w:rsid w:val="10DC700E"/>
    <w:rsid w:val="10F33360"/>
    <w:rsid w:val="10F4083A"/>
    <w:rsid w:val="10FC16EA"/>
    <w:rsid w:val="110F1D40"/>
    <w:rsid w:val="11266F33"/>
    <w:rsid w:val="11446B5C"/>
    <w:rsid w:val="118963A1"/>
    <w:rsid w:val="11C6522A"/>
    <w:rsid w:val="11E104CC"/>
    <w:rsid w:val="11E20309"/>
    <w:rsid w:val="12255233"/>
    <w:rsid w:val="12530213"/>
    <w:rsid w:val="127723A9"/>
    <w:rsid w:val="12862074"/>
    <w:rsid w:val="12883966"/>
    <w:rsid w:val="129E45B4"/>
    <w:rsid w:val="12D21374"/>
    <w:rsid w:val="12D81596"/>
    <w:rsid w:val="13072A44"/>
    <w:rsid w:val="131A1B7F"/>
    <w:rsid w:val="13474EA5"/>
    <w:rsid w:val="135F4BE2"/>
    <w:rsid w:val="13913864"/>
    <w:rsid w:val="139B1A0A"/>
    <w:rsid w:val="139B5BDE"/>
    <w:rsid w:val="139D25C7"/>
    <w:rsid w:val="13BF3CE4"/>
    <w:rsid w:val="140F0A5D"/>
    <w:rsid w:val="141008D8"/>
    <w:rsid w:val="14125FE6"/>
    <w:rsid w:val="142B70E5"/>
    <w:rsid w:val="14500381"/>
    <w:rsid w:val="146D271E"/>
    <w:rsid w:val="14856349"/>
    <w:rsid w:val="14982588"/>
    <w:rsid w:val="149A5AD9"/>
    <w:rsid w:val="14A7619D"/>
    <w:rsid w:val="14AA40D5"/>
    <w:rsid w:val="14F25B02"/>
    <w:rsid w:val="150536C3"/>
    <w:rsid w:val="15056D70"/>
    <w:rsid w:val="150C1963"/>
    <w:rsid w:val="151447A0"/>
    <w:rsid w:val="15311BA5"/>
    <w:rsid w:val="154A6454"/>
    <w:rsid w:val="15762120"/>
    <w:rsid w:val="15844A86"/>
    <w:rsid w:val="15F56AC3"/>
    <w:rsid w:val="1608540D"/>
    <w:rsid w:val="16204A74"/>
    <w:rsid w:val="166C515D"/>
    <w:rsid w:val="16A8729C"/>
    <w:rsid w:val="16B33777"/>
    <w:rsid w:val="16BC70A7"/>
    <w:rsid w:val="16C6339E"/>
    <w:rsid w:val="16C730F7"/>
    <w:rsid w:val="16D6012D"/>
    <w:rsid w:val="16FE2244"/>
    <w:rsid w:val="172F2D79"/>
    <w:rsid w:val="17557BEF"/>
    <w:rsid w:val="176D1E2A"/>
    <w:rsid w:val="17852075"/>
    <w:rsid w:val="17A05FFC"/>
    <w:rsid w:val="17D349C1"/>
    <w:rsid w:val="17E066D8"/>
    <w:rsid w:val="1830729E"/>
    <w:rsid w:val="18394486"/>
    <w:rsid w:val="185134E3"/>
    <w:rsid w:val="1870062C"/>
    <w:rsid w:val="18817102"/>
    <w:rsid w:val="18830A15"/>
    <w:rsid w:val="18852B28"/>
    <w:rsid w:val="188B5321"/>
    <w:rsid w:val="18C776A6"/>
    <w:rsid w:val="18EE574D"/>
    <w:rsid w:val="19341F4D"/>
    <w:rsid w:val="197524E7"/>
    <w:rsid w:val="19761DA4"/>
    <w:rsid w:val="19932372"/>
    <w:rsid w:val="19A07A88"/>
    <w:rsid w:val="19A20DD5"/>
    <w:rsid w:val="19AE03F1"/>
    <w:rsid w:val="19D16EBE"/>
    <w:rsid w:val="1A071A03"/>
    <w:rsid w:val="1A16293E"/>
    <w:rsid w:val="1A1A5A79"/>
    <w:rsid w:val="1A1A697E"/>
    <w:rsid w:val="1A1F16AE"/>
    <w:rsid w:val="1A3B5C77"/>
    <w:rsid w:val="1A78287A"/>
    <w:rsid w:val="1A7A249A"/>
    <w:rsid w:val="1A984BAD"/>
    <w:rsid w:val="1AB8220E"/>
    <w:rsid w:val="1AE4166C"/>
    <w:rsid w:val="1AEA3A4E"/>
    <w:rsid w:val="1AF06CFB"/>
    <w:rsid w:val="1AF11B8D"/>
    <w:rsid w:val="1B11359C"/>
    <w:rsid w:val="1B2A271F"/>
    <w:rsid w:val="1B530544"/>
    <w:rsid w:val="1B713184"/>
    <w:rsid w:val="1B825FBC"/>
    <w:rsid w:val="1BA209CF"/>
    <w:rsid w:val="1BB4777D"/>
    <w:rsid w:val="1BD75AB8"/>
    <w:rsid w:val="1BE22A26"/>
    <w:rsid w:val="1C0459C2"/>
    <w:rsid w:val="1C1B3B4A"/>
    <w:rsid w:val="1C537570"/>
    <w:rsid w:val="1C88086E"/>
    <w:rsid w:val="1CA045EE"/>
    <w:rsid w:val="1CC47A8B"/>
    <w:rsid w:val="1D266CE1"/>
    <w:rsid w:val="1D3963AF"/>
    <w:rsid w:val="1D6A673C"/>
    <w:rsid w:val="1D9247AE"/>
    <w:rsid w:val="1DB567EC"/>
    <w:rsid w:val="1DEC22C4"/>
    <w:rsid w:val="1DF51A98"/>
    <w:rsid w:val="1E1D388F"/>
    <w:rsid w:val="1E3D060F"/>
    <w:rsid w:val="1E3F7D2E"/>
    <w:rsid w:val="1E4134E4"/>
    <w:rsid w:val="1E5062B3"/>
    <w:rsid w:val="1E523514"/>
    <w:rsid w:val="1E714A66"/>
    <w:rsid w:val="1E730E11"/>
    <w:rsid w:val="1E802593"/>
    <w:rsid w:val="1E8B6156"/>
    <w:rsid w:val="1EA703CC"/>
    <w:rsid w:val="1EB7330C"/>
    <w:rsid w:val="1F0A0FF3"/>
    <w:rsid w:val="1F5771FF"/>
    <w:rsid w:val="1FE868A9"/>
    <w:rsid w:val="20034907"/>
    <w:rsid w:val="20173E4B"/>
    <w:rsid w:val="204E48BC"/>
    <w:rsid w:val="208921B3"/>
    <w:rsid w:val="2093370A"/>
    <w:rsid w:val="20973DEB"/>
    <w:rsid w:val="20B26522"/>
    <w:rsid w:val="20B34C6B"/>
    <w:rsid w:val="20B44310"/>
    <w:rsid w:val="20DF1008"/>
    <w:rsid w:val="20EE2FE4"/>
    <w:rsid w:val="211116EB"/>
    <w:rsid w:val="211E01F0"/>
    <w:rsid w:val="212D6D8F"/>
    <w:rsid w:val="216133FC"/>
    <w:rsid w:val="218944CA"/>
    <w:rsid w:val="21D56769"/>
    <w:rsid w:val="21D62C50"/>
    <w:rsid w:val="21E52EF3"/>
    <w:rsid w:val="21FB5D7B"/>
    <w:rsid w:val="220B1C3D"/>
    <w:rsid w:val="221D1D20"/>
    <w:rsid w:val="22334A87"/>
    <w:rsid w:val="22B61EBB"/>
    <w:rsid w:val="22B83BEE"/>
    <w:rsid w:val="22BE6801"/>
    <w:rsid w:val="22C04C60"/>
    <w:rsid w:val="22E03145"/>
    <w:rsid w:val="23113F1A"/>
    <w:rsid w:val="233500BF"/>
    <w:rsid w:val="23377FF7"/>
    <w:rsid w:val="236B425F"/>
    <w:rsid w:val="23836192"/>
    <w:rsid w:val="23901F29"/>
    <w:rsid w:val="239C0061"/>
    <w:rsid w:val="23B908A4"/>
    <w:rsid w:val="23E406C4"/>
    <w:rsid w:val="23E95BEF"/>
    <w:rsid w:val="23FC52F4"/>
    <w:rsid w:val="23FD0064"/>
    <w:rsid w:val="244C6C81"/>
    <w:rsid w:val="245375B0"/>
    <w:rsid w:val="24642C0A"/>
    <w:rsid w:val="24667B44"/>
    <w:rsid w:val="246A3BA8"/>
    <w:rsid w:val="248B443A"/>
    <w:rsid w:val="2492728B"/>
    <w:rsid w:val="249307DC"/>
    <w:rsid w:val="24B22173"/>
    <w:rsid w:val="24B95AD9"/>
    <w:rsid w:val="24BE24DA"/>
    <w:rsid w:val="24CF5825"/>
    <w:rsid w:val="24D663E6"/>
    <w:rsid w:val="24D77F2B"/>
    <w:rsid w:val="254F52B1"/>
    <w:rsid w:val="258B00E2"/>
    <w:rsid w:val="25A34E23"/>
    <w:rsid w:val="25A917A6"/>
    <w:rsid w:val="25BE27CC"/>
    <w:rsid w:val="25E92F53"/>
    <w:rsid w:val="25F74A5C"/>
    <w:rsid w:val="261E6958"/>
    <w:rsid w:val="2628662C"/>
    <w:rsid w:val="262D45DE"/>
    <w:rsid w:val="266E6AE8"/>
    <w:rsid w:val="267E09C1"/>
    <w:rsid w:val="26871DC8"/>
    <w:rsid w:val="26A53EF9"/>
    <w:rsid w:val="26A6481F"/>
    <w:rsid w:val="26A94201"/>
    <w:rsid w:val="26AC274F"/>
    <w:rsid w:val="270377E9"/>
    <w:rsid w:val="27044A29"/>
    <w:rsid w:val="271D34C8"/>
    <w:rsid w:val="272F6449"/>
    <w:rsid w:val="274C4FBA"/>
    <w:rsid w:val="276142BF"/>
    <w:rsid w:val="27783712"/>
    <w:rsid w:val="27907362"/>
    <w:rsid w:val="279B7084"/>
    <w:rsid w:val="27A02A0E"/>
    <w:rsid w:val="28333E1D"/>
    <w:rsid w:val="28454BD6"/>
    <w:rsid w:val="28455253"/>
    <w:rsid w:val="28551971"/>
    <w:rsid w:val="285B1C53"/>
    <w:rsid w:val="289F7086"/>
    <w:rsid w:val="28C32028"/>
    <w:rsid w:val="28CC490F"/>
    <w:rsid w:val="28DE40AA"/>
    <w:rsid w:val="29345E77"/>
    <w:rsid w:val="29453CBE"/>
    <w:rsid w:val="294C65AD"/>
    <w:rsid w:val="294E3480"/>
    <w:rsid w:val="29806583"/>
    <w:rsid w:val="298B3C4C"/>
    <w:rsid w:val="29F26D24"/>
    <w:rsid w:val="2A15033F"/>
    <w:rsid w:val="2A1662C1"/>
    <w:rsid w:val="2A1C7367"/>
    <w:rsid w:val="2A2815FA"/>
    <w:rsid w:val="2A6D6092"/>
    <w:rsid w:val="2A7D76B4"/>
    <w:rsid w:val="2A830ABD"/>
    <w:rsid w:val="2AD8021A"/>
    <w:rsid w:val="2AEE1B3B"/>
    <w:rsid w:val="2AF47F2E"/>
    <w:rsid w:val="2B437463"/>
    <w:rsid w:val="2B7807EE"/>
    <w:rsid w:val="2B8C47CE"/>
    <w:rsid w:val="2BA50BF7"/>
    <w:rsid w:val="2BBF00EC"/>
    <w:rsid w:val="2BC37CFD"/>
    <w:rsid w:val="2BD5237F"/>
    <w:rsid w:val="2BE536CE"/>
    <w:rsid w:val="2BE758D9"/>
    <w:rsid w:val="2BEA7DD3"/>
    <w:rsid w:val="2C09049E"/>
    <w:rsid w:val="2C0A653C"/>
    <w:rsid w:val="2C191F85"/>
    <w:rsid w:val="2C8C4873"/>
    <w:rsid w:val="2C994A93"/>
    <w:rsid w:val="2CE82D6F"/>
    <w:rsid w:val="2D2216DE"/>
    <w:rsid w:val="2D343236"/>
    <w:rsid w:val="2D956040"/>
    <w:rsid w:val="2D9C6267"/>
    <w:rsid w:val="2DC53663"/>
    <w:rsid w:val="2DD15014"/>
    <w:rsid w:val="2DF72DE4"/>
    <w:rsid w:val="2E0220AF"/>
    <w:rsid w:val="2E4B082A"/>
    <w:rsid w:val="2E5D4E86"/>
    <w:rsid w:val="2E5D790B"/>
    <w:rsid w:val="2E776A61"/>
    <w:rsid w:val="2E9A3C18"/>
    <w:rsid w:val="2EBB0FEE"/>
    <w:rsid w:val="2EC63002"/>
    <w:rsid w:val="2ECB46DA"/>
    <w:rsid w:val="2F064D1A"/>
    <w:rsid w:val="2F0A6B38"/>
    <w:rsid w:val="2F0E78D3"/>
    <w:rsid w:val="2F946CCB"/>
    <w:rsid w:val="2FD25781"/>
    <w:rsid w:val="2FDE33BA"/>
    <w:rsid w:val="2FF346DE"/>
    <w:rsid w:val="2FF40196"/>
    <w:rsid w:val="2FFB7730"/>
    <w:rsid w:val="2FFD7934"/>
    <w:rsid w:val="30201A01"/>
    <w:rsid w:val="30733ACD"/>
    <w:rsid w:val="308C3862"/>
    <w:rsid w:val="309379D8"/>
    <w:rsid w:val="309B6899"/>
    <w:rsid w:val="30A270F7"/>
    <w:rsid w:val="30DF1478"/>
    <w:rsid w:val="30EA055D"/>
    <w:rsid w:val="30EC586F"/>
    <w:rsid w:val="31181C44"/>
    <w:rsid w:val="319C6071"/>
    <w:rsid w:val="31AC537E"/>
    <w:rsid w:val="31B420C4"/>
    <w:rsid w:val="31B82C24"/>
    <w:rsid w:val="31C17BA9"/>
    <w:rsid w:val="31C549B6"/>
    <w:rsid w:val="31E3679B"/>
    <w:rsid w:val="31E732FD"/>
    <w:rsid w:val="32517576"/>
    <w:rsid w:val="3262346C"/>
    <w:rsid w:val="32A64673"/>
    <w:rsid w:val="32BE5C2C"/>
    <w:rsid w:val="32FB6478"/>
    <w:rsid w:val="331E793D"/>
    <w:rsid w:val="332637C2"/>
    <w:rsid w:val="33263B3F"/>
    <w:rsid w:val="336963EB"/>
    <w:rsid w:val="33816EEB"/>
    <w:rsid w:val="338863E7"/>
    <w:rsid w:val="33EB55CD"/>
    <w:rsid w:val="33EC4C02"/>
    <w:rsid w:val="340D2360"/>
    <w:rsid w:val="3410665D"/>
    <w:rsid w:val="34211214"/>
    <w:rsid w:val="342E63AB"/>
    <w:rsid w:val="34433534"/>
    <w:rsid w:val="347B5D1E"/>
    <w:rsid w:val="34950E68"/>
    <w:rsid w:val="34986E94"/>
    <w:rsid w:val="34AF62C9"/>
    <w:rsid w:val="34CB4388"/>
    <w:rsid w:val="34EB2755"/>
    <w:rsid w:val="34FA6E12"/>
    <w:rsid w:val="354D7158"/>
    <w:rsid w:val="358D5588"/>
    <w:rsid w:val="36136070"/>
    <w:rsid w:val="363A3B40"/>
    <w:rsid w:val="365302AE"/>
    <w:rsid w:val="36607A0A"/>
    <w:rsid w:val="366E227C"/>
    <w:rsid w:val="366F2E0D"/>
    <w:rsid w:val="367B6A5C"/>
    <w:rsid w:val="36A74ADA"/>
    <w:rsid w:val="36AD60D5"/>
    <w:rsid w:val="36B224F9"/>
    <w:rsid w:val="36EC0CC9"/>
    <w:rsid w:val="37390A8E"/>
    <w:rsid w:val="373F410B"/>
    <w:rsid w:val="3756404C"/>
    <w:rsid w:val="376A0174"/>
    <w:rsid w:val="378C13F6"/>
    <w:rsid w:val="3793507E"/>
    <w:rsid w:val="37BD1A5A"/>
    <w:rsid w:val="37E16E9C"/>
    <w:rsid w:val="37EE7094"/>
    <w:rsid w:val="38296C89"/>
    <w:rsid w:val="383002EB"/>
    <w:rsid w:val="38586797"/>
    <w:rsid w:val="388843DC"/>
    <w:rsid w:val="38BC0149"/>
    <w:rsid w:val="38D87D1C"/>
    <w:rsid w:val="38DE6D4B"/>
    <w:rsid w:val="391F535F"/>
    <w:rsid w:val="392E73EA"/>
    <w:rsid w:val="39636459"/>
    <w:rsid w:val="396B7F6C"/>
    <w:rsid w:val="399C14F7"/>
    <w:rsid w:val="39B417A9"/>
    <w:rsid w:val="39F5707E"/>
    <w:rsid w:val="39FC5695"/>
    <w:rsid w:val="3A006D8E"/>
    <w:rsid w:val="3A3651E5"/>
    <w:rsid w:val="3A4E2342"/>
    <w:rsid w:val="3A744481"/>
    <w:rsid w:val="3A8C7BEF"/>
    <w:rsid w:val="3A906246"/>
    <w:rsid w:val="3AD52EAE"/>
    <w:rsid w:val="3B2349B7"/>
    <w:rsid w:val="3B4677B8"/>
    <w:rsid w:val="3B616CFF"/>
    <w:rsid w:val="3B6259F6"/>
    <w:rsid w:val="3B894B0B"/>
    <w:rsid w:val="3B976654"/>
    <w:rsid w:val="3B9B68EE"/>
    <w:rsid w:val="3BC01EFC"/>
    <w:rsid w:val="3BC52CC1"/>
    <w:rsid w:val="3BCA786A"/>
    <w:rsid w:val="3BD06659"/>
    <w:rsid w:val="3BD31E2F"/>
    <w:rsid w:val="3BF15831"/>
    <w:rsid w:val="3C105946"/>
    <w:rsid w:val="3C471448"/>
    <w:rsid w:val="3C556941"/>
    <w:rsid w:val="3C5F759A"/>
    <w:rsid w:val="3C616601"/>
    <w:rsid w:val="3C6C525A"/>
    <w:rsid w:val="3CA60D3D"/>
    <w:rsid w:val="3CCE23CB"/>
    <w:rsid w:val="3CD17D17"/>
    <w:rsid w:val="3CED249E"/>
    <w:rsid w:val="3CEE6358"/>
    <w:rsid w:val="3D3B2FFA"/>
    <w:rsid w:val="3D3C7F39"/>
    <w:rsid w:val="3D440F09"/>
    <w:rsid w:val="3D4504A0"/>
    <w:rsid w:val="3D5A1DE7"/>
    <w:rsid w:val="3D64467C"/>
    <w:rsid w:val="3D7E0A99"/>
    <w:rsid w:val="3D8734BB"/>
    <w:rsid w:val="3D9A11D4"/>
    <w:rsid w:val="3DA16D89"/>
    <w:rsid w:val="3DA364BE"/>
    <w:rsid w:val="3DA475D8"/>
    <w:rsid w:val="3DB67810"/>
    <w:rsid w:val="3DBF4A32"/>
    <w:rsid w:val="3DD50C8A"/>
    <w:rsid w:val="3DE041CB"/>
    <w:rsid w:val="3E0D48F6"/>
    <w:rsid w:val="3E1868B4"/>
    <w:rsid w:val="3E1D2DF9"/>
    <w:rsid w:val="3E377251"/>
    <w:rsid w:val="3E42664B"/>
    <w:rsid w:val="3E5A7334"/>
    <w:rsid w:val="3E7B5D6B"/>
    <w:rsid w:val="3E843E66"/>
    <w:rsid w:val="3E8F51FE"/>
    <w:rsid w:val="3E926F87"/>
    <w:rsid w:val="3E992734"/>
    <w:rsid w:val="3E9A59DE"/>
    <w:rsid w:val="3EA95CBD"/>
    <w:rsid w:val="3EAF4836"/>
    <w:rsid w:val="3EC33DFA"/>
    <w:rsid w:val="3EF66285"/>
    <w:rsid w:val="3F060E16"/>
    <w:rsid w:val="3F1D1096"/>
    <w:rsid w:val="3F2F0234"/>
    <w:rsid w:val="3F5707E4"/>
    <w:rsid w:val="3F6363FE"/>
    <w:rsid w:val="3F756B8F"/>
    <w:rsid w:val="3F8D4B70"/>
    <w:rsid w:val="3F95482B"/>
    <w:rsid w:val="3FAF4907"/>
    <w:rsid w:val="4019356B"/>
    <w:rsid w:val="401E1828"/>
    <w:rsid w:val="40592157"/>
    <w:rsid w:val="406E1CAE"/>
    <w:rsid w:val="40937DD1"/>
    <w:rsid w:val="40A0133A"/>
    <w:rsid w:val="40A6021E"/>
    <w:rsid w:val="40C31A53"/>
    <w:rsid w:val="40F33AA5"/>
    <w:rsid w:val="40F92A66"/>
    <w:rsid w:val="40FF545D"/>
    <w:rsid w:val="41001CEF"/>
    <w:rsid w:val="410067C8"/>
    <w:rsid w:val="413C45E3"/>
    <w:rsid w:val="4147433B"/>
    <w:rsid w:val="418F0D2A"/>
    <w:rsid w:val="419500D6"/>
    <w:rsid w:val="41D01505"/>
    <w:rsid w:val="4238518B"/>
    <w:rsid w:val="42474939"/>
    <w:rsid w:val="424C3C57"/>
    <w:rsid w:val="42613FF3"/>
    <w:rsid w:val="42660D96"/>
    <w:rsid w:val="428667D2"/>
    <w:rsid w:val="42CD1CE0"/>
    <w:rsid w:val="42D53E10"/>
    <w:rsid w:val="42E1381E"/>
    <w:rsid w:val="42ED6459"/>
    <w:rsid w:val="42FE58DD"/>
    <w:rsid w:val="43174B3D"/>
    <w:rsid w:val="433F0E43"/>
    <w:rsid w:val="434B790E"/>
    <w:rsid w:val="4360274F"/>
    <w:rsid w:val="43977AB6"/>
    <w:rsid w:val="43A17EE9"/>
    <w:rsid w:val="43A3342B"/>
    <w:rsid w:val="43C77C27"/>
    <w:rsid w:val="43DE09EE"/>
    <w:rsid w:val="44002FAD"/>
    <w:rsid w:val="4430589B"/>
    <w:rsid w:val="44356927"/>
    <w:rsid w:val="449101DD"/>
    <w:rsid w:val="449D00C3"/>
    <w:rsid w:val="44DE1391"/>
    <w:rsid w:val="44E72961"/>
    <w:rsid w:val="451B225C"/>
    <w:rsid w:val="452410C9"/>
    <w:rsid w:val="452B71EC"/>
    <w:rsid w:val="452E1696"/>
    <w:rsid w:val="45317DFB"/>
    <w:rsid w:val="456D3CE4"/>
    <w:rsid w:val="4579042C"/>
    <w:rsid w:val="457E4BFD"/>
    <w:rsid w:val="457F0571"/>
    <w:rsid w:val="45851176"/>
    <w:rsid w:val="45853C91"/>
    <w:rsid w:val="458A2D71"/>
    <w:rsid w:val="45C63B94"/>
    <w:rsid w:val="45F134FD"/>
    <w:rsid w:val="460E7DA5"/>
    <w:rsid w:val="461B579A"/>
    <w:rsid w:val="46422483"/>
    <w:rsid w:val="4659254A"/>
    <w:rsid w:val="465B0637"/>
    <w:rsid w:val="465E3F0D"/>
    <w:rsid w:val="466A16E6"/>
    <w:rsid w:val="46791209"/>
    <w:rsid w:val="46893F2B"/>
    <w:rsid w:val="46C4686E"/>
    <w:rsid w:val="46DF31DC"/>
    <w:rsid w:val="472A3E43"/>
    <w:rsid w:val="47391126"/>
    <w:rsid w:val="473D0E4D"/>
    <w:rsid w:val="477B778F"/>
    <w:rsid w:val="478203EC"/>
    <w:rsid w:val="478464A5"/>
    <w:rsid w:val="47B025FA"/>
    <w:rsid w:val="47EC7057"/>
    <w:rsid w:val="48010DED"/>
    <w:rsid w:val="4809698F"/>
    <w:rsid w:val="48097DF4"/>
    <w:rsid w:val="480A46D4"/>
    <w:rsid w:val="480C2553"/>
    <w:rsid w:val="4811697D"/>
    <w:rsid w:val="485765F3"/>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654FD"/>
    <w:rsid w:val="498F505D"/>
    <w:rsid w:val="49B64211"/>
    <w:rsid w:val="49F6167F"/>
    <w:rsid w:val="4A064FA0"/>
    <w:rsid w:val="4A16615C"/>
    <w:rsid w:val="4A4424D7"/>
    <w:rsid w:val="4A493572"/>
    <w:rsid w:val="4A6E0CA4"/>
    <w:rsid w:val="4A83134F"/>
    <w:rsid w:val="4AB82D0F"/>
    <w:rsid w:val="4AEB7664"/>
    <w:rsid w:val="4AEE5B50"/>
    <w:rsid w:val="4AFD7C19"/>
    <w:rsid w:val="4B0567D1"/>
    <w:rsid w:val="4B236AAE"/>
    <w:rsid w:val="4B261DA3"/>
    <w:rsid w:val="4B555D27"/>
    <w:rsid w:val="4B707271"/>
    <w:rsid w:val="4B9739F7"/>
    <w:rsid w:val="4B974368"/>
    <w:rsid w:val="4B9A6B21"/>
    <w:rsid w:val="4B9C1FA2"/>
    <w:rsid w:val="4BE96C25"/>
    <w:rsid w:val="4BEE2503"/>
    <w:rsid w:val="4C245A30"/>
    <w:rsid w:val="4C5D53ED"/>
    <w:rsid w:val="4C676029"/>
    <w:rsid w:val="4CAF7256"/>
    <w:rsid w:val="4CB6685F"/>
    <w:rsid w:val="4CC367FE"/>
    <w:rsid w:val="4D077F3C"/>
    <w:rsid w:val="4D123355"/>
    <w:rsid w:val="4D2A3B31"/>
    <w:rsid w:val="4D312C52"/>
    <w:rsid w:val="4D4B0F25"/>
    <w:rsid w:val="4D4C2FDB"/>
    <w:rsid w:val="4D905305"/>
    <w:rsid w:val="4D964A72"/>
    <w:rsid w:val="4D9C1254"/>
    <w:rsid w:val="4E526455"/>
    <w:rsid w:val="4E793892"/>
    <w:rsid w:val="4E800872"/>
    <w:rsid w:val="4E9532A8"/>
    <w:rsid w:val="4E9A20A5"/>
    <w:rsid w:val="4EC569ED"/>
    <w:rsid w:val="4ED50EA1"/>
    <w:rsid w:val="4EEC050C"/>
    <w:rsid w:val="4EF833C6"/>
    <w:rsid w:val="4F104EC3"/>
    <w:rsid w:val="4F47354A"/>
    <w:rsid w:val="4F911C54"/>
    <w:rsid w:val="4FE625E0"/>
    <w:rsid w:val="4FED5402"/>
    <w:rsid w:val="5021480F"/>
    <w:rsid w:val="50395EC1"/>
    <w:rsid w:val="505D15FC"/>
    <w:rsid w:val="50755E1B"/>
    <w:rsid w:val="50962ECB"/>
    <w:rsid w:val="50A42E38"/>
    <w:rsid w:val="50A4577F"/>
    <w:rsid w:val="50B73D1F"/>
    <w:rsid w:val="50BD5BC9"/>
    <w:rsid w:val="50C11EEE"/>
    <w:rsid w:val="50D73351"/>
    <w:rsid w:val="50E97CFC"/>
    <w:rsid w:val="50F1399D"/>
    <w:rsid w:val="50FA4028"/>
    <w:rsid w:val="50FE434C"/>
    <w:rsid w:val="510D65B7"/>
    <w:rsid w:val="511157AB"/>
    <w:rsid w:val="511426C0"/>
    <w:rsid w:val="5142540C"/>
    <w:rsid w:val="518832C8"/>
    <w:rsid w:val="519A7317"/>
    <w:rsid w:val="51A0432A"/>
    <w:rsid w:val="51A86090"/>
    <w:rsid w:val="51B7396D"/>
    <w:rsid w:val="51F4743E"/>
    <w:rsid w:val="522E4CC3"/>
    <w:rsid w:val="5244713B"/>
    <w:rsid w:val="52615633"/>
    <w:rsid w:val="526A04DD"/>
    <w:rsid w:val="52977FD4"/>
    <w:rsid w:val="52A25790"/>
    <w:rsid w:val="52A96B6F"/>
    <w:rsid w:val="52B45975"/>
    <w:rsid w:val="52D94AA4"/>
    <w:rsid w:val="52EA3A62"/>
    <w:rsid w:val="52F50BB8"/>
    <w:rsid w:val="53097272"/>
    <w:rsid w:val="53544462"/>
    <w:rsid w:val="53676980"/>
    <w:rsid w:val="53960CB2"/>
    <w:rsid w:val="5397158E"/>
    <w:rsid w:val="53D42C20"/>
    <w:rsid w:val="54013861"/>
    <w:rsid w:val="54487265"/>
    <w:rsid w:val="544B3BC9"/>
    <w:rsid w:val="544D6070"/>
    <w:rsid w:val="545B4ECF"/>
    <w:rsid w:val="54605E1E"/>
    <w:rsid w:val="54B3506A"/>
    <w:rsid w:val="54CA0D16"/>
    <w:rsid w:val="54DD4057"/>
    <w:rsid w:val="54E7490F"/>
    <w:rsid w:val="54FF4546"/>
    <w:rsid w:val="55061018"/>
    <w:rsid w:val="550764A4"/>
    <w:rsid w:val="550B2BF6"/>
    <w:rsid w:val="55214EB5"/>
    <w:rsid w:val="55364EFD"/>
    <w:rsid w:val="555D4828"/>
    <w:rsid w:val="557A4C8B"/>
    <w:rsid w:val="558931E1"/>
    <w:rsid w:val="55923347"/>
    <w:rsid w:val="55925180"/>
    <w:rsid w:val="55983B1B"/>
    <w:rsid w:val="55A8376B"/>
    <w:rsid w:val="55C248FD"/>
    <w:rsid w:val="55DC29B6"/>
    <w:rsid w:val="55DD4241"/>
    <w:rsid w:val="55F16964"/>
    <w:rsid w:val="55FA20BB"/>
    <w:rsid w:val="561C1BE8"/>
    <w:rsid w:val="566B6D1E"/>
    <w:rsid w:val="569E129D"/>
    <w:rsid w:val="56C76EC1"/>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917D2F"/>
    <w:rsid w:val="5894085C"/>
    <w:rsid w:val="58AE4F0C"/>
    <w:rsid w:val="58B85899"/>
    <w:rsid w:val="58C0702C"/>
    <w:rsid w:val="58E363A9"/>
    <w:rsid w:val="59272ECB"/>
    <w:rsid w:val="59307B25"/>
    <w:rsid w:val="595E1678"/>
    <w:rsid w:val="596D5BD4"/>
    <w:rsid w:val="597E3DD8"/>
    <w:rsid w:val="59AB1AC0"/>
    <w:rsid w:val="59B31026"/>
    <w:rsid w:val="59F80043"/>
    <w:rsid w:val="5A09252F"/>
    <w:rsid w:val="5A0B2778"/>
    <w:rsid w:val="5A2A7C7B"/>
    <w:rsid w:val="5A3E2560"/>
    <w:rsid w:val="5A5D3B6E"/>
    <w:rsid w:val="5A637A76"/>
    <w:rsid w:val="5A686384"/>
    <w:rsid w:val="5A6D33BA"/>
    <w:rsid w:val="5A792B1F"/>
    <w:rsid w:val="5A874767"/>
    <w:rsid w:val="5AA85BE2"/>
    <w:rsid w:val="5AAD6F28"/>
    <w:rsid w:val="5AD63A24"/>
    <w:rsid w:val="5AE51FB6"/>
    <w:rsid w:val="5B2E1A1D"/>
    <w:rsid w:val="5B843A1C"/>
    <w:rsid w:val="5B873E3F"/>
    <w:rsid w:val="5C02690E"/>
    <w:rsid w:val="5C196DA7"/>
    <w:rsid w:val="5C2A048C"/>
    <w:rsid w:val="5C35640B"/>
    <w:rsid w:val="5C7422AE"/>
    <w:rsid w:val="5C80234E"/>
    <w:rsid w:val="5C8A680C"/>
    <w:rsid w:val="5CE45C2B"/>
    <w:rsid w:val="5CEB387F"/>
    <w:rsid w:val="5D0C4701"/>
    <w:rsid w:val="5D0F0395"/>
    <w:rsid w:val="5D221076"/>
    <w:rsid w:val="5D397964"/>
    <w:rsid w:val="5D551783"/>
    <w:rsid w:val="5D5A391C"/>
    <w:rsid w:val="5D5F10C0"/>
    <w:rsid w:val="5D891B7B"/>
    <w:rsid w:val="5D8A5E82"/>
    <w:rsid w:val="5D930F65"/>
    <w:rsid w:val="5D945FAA"/>
    <w:rsid w:val="5DAD38EE"/>
    <w:rsid w:val="5E006862"/>
    <w:rsid w:val="5E0207B9"/>
    <w:rsid w:val="5E093CEF"/>
    <w:rsid w:val="5E1834A1"/>
    <w:rsid w:val="5E261785"/>
    <w:rsid w:val="5E4A7017"/>
    <w:rsid w:val="5E552BBA"/>
    <w:rsid w:val="5E611C10"/>
    <w:rsid w:val="5E626095"/>
    <w:rsid w:val="5E74631F"/>
    <w:rsid w:val="5E765627"/>
    <w:rsid w:val="5E7A0F3F"/>
    <w:rsid w:val="5E866777"/>
    <w:rsid w:val="5E93093D"/>
    <w:rsid w:val="5EF50A1B"/>
    <w:rsid w:val="5EFC7377"/>
    <w:rsid w:val="5F012A1A"/>
    <w:rsid w:val="5F06174D"/>
    <w:rsid w:val="5F3A3602"/>
    <w:rsid w:val="5F45733B"/>
    <w:rsid w:val="5F5B211E"/>
    <w:rsid w:val="5F6277C6"/>
    <w:rsid w:val="5F6D0B1D"/>
    <w:rsid w:val="5F8D0B82"/>
    <w:rsid w:val="5FCC5339"/>
    <w:rsid w:val="5FE34A5B"/>
    <w:rsid w:val="5FFE1E36"/>
    <w:rsid w:val="60172C7B"/>
    <w:rsid w:val="60232584"/>
    <w:rsid w:val="60305BC5"/>
    <w:rsid w:val="605864BB"/>
    <w:rsid w:val="607330CE"/>
    <w:rsid w:val="60825176"/>
    <w:rsid w:val="60873AD9"/>
    <w:rsid w:val="609F2AC4"/>
    <w:rsid w:val="60C413D5"/>
    <w:rsid w:val="60FA2EE8"/>
    <w:rsid w:val="61054A27"/>
    <w:rsid w:val="610A52BC"/>
    <w:rsid w:val="611D2366"/>
    <w:rsid w:val="61421856"/>
    <w:rsid w:val="615227C4"/>
    <w:rsid w:val="61654E3F"/>
    <w:rsid w:val="6182292A"/>
    <w:rsid w:val="618B5F69"/>
    <w:rsid w:val="61985864"/>
    <w:rsid w:val="619F7F92"/>
    <w:rsid w:val="61BB155E"/>
    <w:rsid w:val="61BD2EFD"/>
    <w:rsid w:val="61F94C26"/>
    <w:rsid w:val="62000E56"/>
    <w:rsid w:val="62244584"/>
    <w:rsid w:val="624F3E49"/>
    <w:rsid w:val="62632286"/>
    <w:rsid w:val="62775066"/>
    <w:rsid w:val="62885958"/>
    <w:rsid w:val="628903DB"/>
    <w:rsid w:val="62C860CC"/>
    <w:rsid w:val="62F40B65"/>
    <w:rsid w:val="62FC2CFE"/>
    <w:rsid w:val="63024505"/>
    <w:rsid w:val="63540CCD"/>
    <w:rsid w:val="635B1DB5"/>
    <w:rsid w:val="63711FED"/>
    <w:rsid w:val="63880DDC"/>
    <w:rsid w:val="63885935"/>
    <w:rsid w:val="638D750D"/>
    <w:rsid w:val="63AC52D2"/>
    <w:rsid w:val="63AC6CC0"/>
    <w:rsid w:val="63B048E8"/>
    <w:rsid w:val="64055776"/>
    <w:rsid w:val="64175397"/>
    <w:rsid w:val="64240056"/>
    <w:rsid w:val="643E143A"/>
    <w:rsid w:val="644A0C02"/>
    <w:rsid w:val="648B6EEF"/>
    <w:rsid w:val="64C158BF"/>
    <w:rsid w:val="64CE2EAA"/>
    <w:rsid w:val="65092215"/>
    <w:rsid w:val="653C3090"/>
    <w:rsid w:val="65854376"/>
    <w:rsid w:val="658767BE"/>
    <w:rsid w:val="65882CD5"/>
    <w:rsid w:val="65892531"/>
    <w:rsid w:val="65E616BA"/>
    <w:rsid w:val="66153939"/>
    <w:rsid w:val="66195831"/>
    <w:rsid w:val="662E75B1"/>
    <w:rsid w:val="66342C2E"/>
    <w:rsid w:val="663E784C"/>
    <w:rsid w:val="66551A38"/>
    <w:rsid w:val="666D1F69"/>
    <w:rsid w:val="667133EA"/>
    <w:rsid w:val="668B6A45"/>
    <w:rsid w:val="66DE04FB"/>
    <w:rsid w:val="66F85C8F"/>
    <w:rsid w:val="671E7365"/>
    <w:rsid w:val="672F3F24"/>
    <w:rsid w:val="673E055F"/>
    <w:rsid w:val="67551CE3"/>
    <w:rsid w:val="67A22552"/>
    <w:rsid w:val="67A530AB"/>
    <w:rsid w:val="67B22DCC"/>
    <w:rsid w:val="67BE71AA"/>
    <w:rsid w:val="67D90273"/>
    <w:rsid w:val="67DE5875"/>
    <w:rsid w:val="67E55852"/>
    <w:rsid w:val="67EB1AB4"/>
    <w:rsid w:val="67FA1285"/>
    <w:rsid w:val="68551F4F"/>
    <w:rsid w:val="68647B92"/>
    <w:rsid w:val="687C10C9"/>
    <w:rsid w:val="68840C16"/>
    <w:rsid w:val="68876EFB"/>
    <w:rsid w:val="68884654"/>
    <w:rsid w:val="689F444F"/>
    <w:rsid w:val="68B96DBB"/>
    <w:rsid w:val="68CA2805"/>
    <w:rsid w:val="68E85AE5"/>
    <w:rsid w:val="68E937A3"/>
    <w:rsid w:val="693E15D3"/>
    <w:rsid w:val="69627681"/>
    <w:rsid w:val="6977531D"/>
    <w:rsid w:val="69B51747"/>
    <w:rsid w:val="69BD5BBB"/>
    <w:rsid w:val="69CC2BFF"/>
    <w:rsid w:val="69D327F2"/>
    <w:rsid w:val="69FD55B8"/>
    <w:rsid w:val="6A0B1C62"/>
    <w:rsid w:val="6A0C584D"/>
    <w:rsid w:val="6A0D3F4C"/>
    <w:rsid w:val="6A2406C8"/>
    <w:rsid w:val="6A4B328A"/>
    <w:rsid w:val="6A4B36BE"/>
    <w:rsid w:val="6A8F2B46"/>
    <w:rsid w:val="6AAB4D4D"/>
    <w:rsid w:val="6AB20DE6"/>
    <w:rsid w:val="6ABA3454"/>
    <w:rsid w:val="6ADC5EF8"/>
    <w:rsid w:val="6ADE0BD1"/>
    <w:rsid w:val="6AE96859"/>
    <w:rsid w:val="6B147746"/>
    <w:rsid w:val="6B1C577E"/>
    <w:rsid w:val="6B24787C"/>
    <w:rsid w:val="6B573233"/>
    <w:rsid w:val="6B5B6274"/>
    <w:rsid w:val="6B694FD4"/>
    <w:rsid w:val="6B710BD6"/>
    <w:rsid w:val="6B935D53"/>
    <w:rsid w:val="6BF83CDE"/>
    <w:rsid w:val="6C196F71"/>
    <w:rsid w:val="6C226FCB"/>
    <w:rsid w:val="6C31226F"/>
    <w:rsid w:val="6C390C24"/>
    <w:rsid w:val="6C552F0B"/>
    <w:rsid w:val="6C8C2DF7"/>
    <w:rsid w:val="6C8C67B7"/>
    <w:rsid w:val="6C9D744C"/>
    <w:rsid w:val="6CC83FFB"/>
    <w:rsid w:val="6CFD6256"/>
    <w:rsid w:val="6CFE67A8"/>
    <w:rsid w:val="6D167928"/>
    <w:rsid w:val="6D261515"/>
    <w:rsid w:val="6D26299B"/>
    <w:rsid w:val="6D4772EC"/>
    <w:rsid w:val="6D6D4FC1"/>
    <w:rsid w:val="6D7A592E"/>
    <w:rsid w:val="6D8007DE"/>
    <w:rsid w:val="6D9078AF"/>
    <w:rsid w:val="6DAA3FEF"/>
    <w:rsid w:val="6DC0172B"/>
    <w:rsid w:val="6DCB690C"/>
    <w:rsid w:val="6DD41A5B"/>
    <w:rsid w:val="6DF43C2E"/>
    <w:rsid w:val="6DF51CA3"/>
    <w:rsid w:val="6E8335BD"/>
    <w:rsid w:val="6E8E12EF"/>
    <w:rsid w:val="6E9045AA"/>
    <w:rsid w:val="6E972936"/>
    <w:rsid w:val="6EB74327"/>
    <w:rsid w:val="6EC91D52"/>
    <w:rsid w:val="6ED446C5"/>
    <w:rsid w:val="6F184A18"/>
    <w:rsid w:val="6F2A7D94"/>
    <w:rsid w:val="6F802313"/>
    <w:rsid w:val="6F8331F1"/>
    <w:rsid w:val="6FAE1A09"/>
    <w:rsid w:val="6FD75BF8"/>
    <w:rsid w:val="6FEF3B3E"/>
    <w:rsid w:val="707723D0"/>
    <w:rsid w:val="70DB77AC"/>
    <w:rsid w:val="70F5661B"/>
    <w:rsid w:val="70FF0D7D"/>
    <w:rsid w:val="712E79D0"/>
    <w:rsid w:val="71360107"/>
    <w:rsid w:val="713B688E"/>
    <w:rsid w:val="7183561A"/>
    <w:rsid w:val="71866AAF"/>
    <w:rsid w:val="71BE6408"/>
    <w:rsid w:val="71D43752"/>
    <w:rsid w:val="71D7083C"/>
    <w:rsid w:val="71F1796A"/>
    <w:rsid w:val="720846CC"/>
    <w:rsid w:val="72154626"/>
    <w:rsid w:val="72202699"/>
    <w:rsid w:val="72262B5D"/>
    <w:rsid w:val="72283FF7"/>
    <w:rsid w:val="722E7212"/>
    <w:rsid w:val="723A0474"/>
    <w:rsid w:val="725923E4"/>
    <w:rsid w:val="72864BF7"/>
    <w:rsid w:val="729023FC"/>
    <w:rsid w:val="733470C6"/>
    <w:rsid w:val="73533CC2"/>
    <w:rsid w:val="73C0646E"/>
    <w:rsid w:val="742222F5"/>
    <w:rsid w:val="742348D0"/>
    <w:rsid w:val="74476126"/>
    <w:rsid w:val="74624977"/>
    <w:rsid w:val="74706664"/>
    <w:rsid w:val="7475702A"/>
    <w:rsid w:val="747F3682"/>
    <w:rsid w:val="749C4185"/>
    <w:rsid w:val="74A73931"/>
    <w:rsid w:val="74BE006A"/>
    <w:rsid w:val="75067759"/>
    <w:rsid w:val="752E6DCD"/>
    <w:rsid w:val="7551380D"/>
    <w:rsid w:val="75600BE5"/>
    <w:rsid w:val="7564475C"/>
    <w:rsid w:val="75834A5C"/>
    <w:rsid w:val="7583797F"/>
    <w:rsid w:val="75D20F1D"/>
    <w:rsid w:val="75DA2C18"/>
    <w:rsid w:val="75F54412"/>
    <w:rsid w:val="761969BC"/>
    <w:rsid w:val="761D08E0"/>
    <w:rsid w:val="76374196"/>
    <w:rsid w:val="76400B70"/>
    <w:rsid w:val="765D347C"/>
    <w:rsid w:val="76826699"/>
    <w:rsid w:val="76C87133"/>
    <w:rsid w:val="76CD08D5"/>
    <w:rsid w:val="76DB4B92"/>
    <w:rsid w:val="76E55F22"/>
    <w:rsid w:val="76FF4961"/>
    <w:rsid w:val="77052AA4"/>
    <w:rsid w:val="77136511"/>
    <w:rsid w:val="77340A39"/>
    <w:rsid w:val="77351FD0"/>
    <w:rsid w:val="77472422"/>
    <w:rsid w:val="777F31F2"/>
    <w:rsid w:val="77BC4C63"/>
    <w:rsid w:val="77D1700D"/>
    <w:rsid w:val="77E4568D"/>
    <w:rsid w:val="77EC04CC"/>
    <w:rsid w:val="78006A23"/>
    <w:rsid w:val="78775729"/>
    <w:rsid w:val="78A42DB0"/>
    <w:rsid w:val="78A656AB"/>
    <w:rsid w:val="78B2245C"/>
    <w:rsid w:val="78E172CC"/>
    <w:rsid w:val="78EA1D1F"/>
    <w:rsid w:val="7904172F"/>
    <w:rsid w:val="79062AD2"/>
    <w:rsid w:val="790F7E27"/>
    <w:rsid w:val="792A231A"/>
    <w:rsid w:val="79316829"/>
    <w:rsid w:val="79404FE3"/>
    <w:rsid w:val="797C7409"/>
    <w:rsid w:val="797E66A9"/>
    <w:rsid w:val="7994526A"/>
    <w:rsid w:val="79A97383"/>
    <w:rsid w:val="79DC7473"/>
    <w:rsid w:val="79E27E8B"/>
    <w:rsid w:val="79F850CE"/>
    <w:rsid w:val="79FD443C"/>
    <w:rsid w:val="7A1D1975"/>
    <w:rsid w:val="7A3902E6"/>
    <w:rsid w:val="7A3E5150"/>
    <w:rsid w:val="7A4670D6"/>
    <w:rsid w:val="7A534B63"/>
    <w:rsid w:val="7A615382"/>
    <w:rsid w:val="7A653600"/>
    <w:rsid w:val="7A67303B"/>
    <w:rsid w:val="7AAB1D04"/>
    <w:rsid w:val="7ABA4368"/>
    <w:rsid w:val="7AD05746"/>
    <w:rsid w:val="7B226FCC"/>
    <w:rsid w:val="7B257FFD"/>
    <w:rsid w:val="7B343476"/>
    <w:rsid w:val="7B5A2978"/>
    <w:rsid w:val="7B5A7E4C"/>
    <w:rsid w:val="7B667AF9"/>
    <w:rsid w:val="7B7468F8"/>
    <w:rsid w:val="7BE64CF7"/>
    <w:rsid w:val="7BEE0103"/>
    <w:rsid w:val="7C0A0FE4"/>
    <w:rsid w:val="7C254906"/>
    <w:rsid w:val="7C5022FF"/>
    <w:rsid w:val="7C590818"/>
    <w:rsid w:val="7C6E0182"/>
    <w:rsid w:val="7C7C10F6"/>
    <w:rsid w:val="7C853BEA"/>
    <w:rsid w:val="7C881368"/>
    <w:rsid w:val="7CE27788"/>
    <w:rsid w:val="7D0357E5"/>
    <w:rsid w:val="7D0C32F1"/>
    <w:rsid w:val="7D0F408D"/>
    <w:rsid w:val="7D491C6C"/>
    <w:rsid w:val="7D5429C0"/>
    <w:rsid w:val="7D5823FD"/>
    <w:rsid w:val="7D6E6D43"/>
    <w:rsid w:val="7D7069D2"/>
    <w:rsid w:val="7D894AA5"/>
    <w:rsid w:val="7DAD6DD7"/>
    <w:rsid w:val="7DB57A34"/>
    <w:rsid w:val="7DDB10A1"/>
    <w:rsid w:val="7DE60973"/>
    <w:rsid w:val="7DEF0916"/>
    <w:rsid w:val="7DF84555"/>
    <w:rsid w:val="7E1E5218"/>
    <w:rsid w:val="7E7514D4"/>
    <w:rsid w:val="7E9A4E1F"/>
    <w:rsid w:val="7EA7723A"/>
    <w:rsid w:val="7EB659FE"/>
    <w:rsid w:val="7EBC6AFC"/>
    <w:rsid w:val="7EF56FBB"/>
    <w:rsid w:val="7EFC38CE"/>
    <w:rsid w:val="7F06165B"/>
    <w:rsid w:val="7F067E4D"/>
    <w:rsid w:val="7F0768EB"/>
    <w:rsid w:val="7F09045D"/>
    <w:rsid w:val="7F143BEC"/>
    <w:rsid w:val="7F6137FA"/>
    <w:rsid w:val="7F715AF2"/>
    <w:rsid w:val="7F793597"/>
    <w:rsid w:val="7F886E69"/>
    <w:rsid w:val="7FCF2D12"/>
    <w:rsid w:val="7FFA1DC8"/>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qFormat/>
    <w:uiPriority w:val="0"/>
    <w:pPr>
      <w:ind w:left="2940"/>
    </w:p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3"/>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6"/>
    <w:qFormat/>
    <w:uiPriority w:val="0"/>
    <w:pPr>
      <w:shd w:val="clear" w:color="auto" w:fill="000080"/>
    </w:pPr>
  </w:style>
  <w:style w:type="paragraph" w:styleId="20">
    <w:name w:val="annotation text"/>
    <w:basedOn w:val="1"/>
    <w:link w:val="347"/>
    <w:qFormat/>
    <w:uiPriority w:val="99"/>
    <w:pPr>
      <w:jc w:val="left"/>
    </w:pPr>
  </w:style>
  <w:style w:type="paragraph" w:styleId="21">
    <w:name w:val="Salutation"/>
    <w:basedOn w:val="1"/>
    <w:next w:val="1"/>
    <w:link w:val="301"/>
    <w:qFormat/>
    <w:uiPriority w:val="0"/>
    <w:rPr>
      <w:rFonts w:ascii="仿宋_GB2312" w:eastAsia="仿宋_GB2312"/>
      <w:sz w:val="28"/>
      <w:szCs w:val="20"/>
    </w:rPr>
  </w:style>
  <w:style w:type="paragraph" w:styleId="22">
    <w:name w:val="Body Text 3"/>
    <w:basedOn w:val="1"/>
    <w:link w:val="333"/>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3"/>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4"/>
    <w:qFormat/>
    <w:uiPriority w:val="0"/>
    <w:pPr>
      <w:ind w:firstLine="420"/>
    </w:pPr>
    <w:rPr>
      <w:rFonts w:hAnsi="Calibri" w:cs="Times New Roman"/>
      <w:snapToGrid/>
      <w:szCs w:val="20"/>
    </w:rPr>
  </w:style>
  <w:style w:type="paragraph" w:styleId="26">
    <w:name w:val="Body Text Indent"/>
    <w:basedOn w:val="1"/>
    <w:next w:val="27"/>
    <w:link w:val="268"/>
    <w:qFormat/>
    <w:uiPriority w:val="0"/>
    <w:pPr>
      <w:spacing w:line="480" w:lineRule="exact"/>
      <w:ind w:firstLine="480" w:firstLineChars="200"/>
    </w:pPr>
    <w:rPr>
      <w:rFonts w:ascii="宋体" w:hAnsi="宋体"/>
      <w:sz w:val="24"/>
    </w:rPr>
  </w:style>
  <w:style w:type="paragraph" w:styleId="27">
    <w:name w:val="Body Text First Indent 2"/>
    <w:basedOn w:val="26"/>
    <w:next w:val="25"/>
    <w:link w:val="125"/>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9"/>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5"/>
    <w:qFormat/>
    <w:uiPriority w:val="0"/>
    <w:pPr>
      <w:ind w:left="100" w:leftChars="2500"/>
    </w:pPr>
    <w:rPr>
      <w:rFonts w:ascii="宋体"/>
      <w:sz w:val="24"/>
      <w:szCs w:val="21"/>
      <w:lang w:val="zh-CN"/>
    </w:rPr>
  </w:style>
  <w:style w:type="paragraph" w:styleId="39">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0">
    <w:name w:val="endnote text"/>
    <w:basedOn w:val="1"/>
    <w:link w:val="934"/>
    <w:qFormat/>
    <w:uiPriority w:val="0"/>
    <w:rPr>
      <w:lang w:val="zh-CN"/>
    </w:rPr>
  </w:style>
  <w:style w:type="paragraph" w:styleId="41">
    <w:name w:val="Balloon Text"/>
    <w:basedOn w:val="1"/>
    <w:link w:val="192"/>
    <w:qFormat/>
    <w:uiPriority w:val="0"/>
    <w:rPr>
      <w:sz w:val="18"/>
      <w:szCs w:val="18"/>
    </w:rPr>
  </w:style>
  <w:style w:type="paragraph" w:styleId="42">
    <w:name w:val="footer"/>
    <w:basedOn w:val="1"/>
    <w:link w:val="386"/>
    <w:qFormat/>
    <w:uiPriority w:val="99"/>
    <w:pPr>
      <w:tabs>
        <w:tab w:val="center" w:pos="4153"/>
        <w:tab w:val="right" w:pos="8306"/>
      </w:tabs>
      <w:snapToGrid w:val="0"/>
      <w:jc w:val="left"/>
    </w:pPr>
    <w:rPr>
      <w:sz w:val="18"/>
      <w:szCs w:val="18"/>
    </w:rPr>
  </w:style>
  <w:style w:type="paragraph" w:styleId="43">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313"/>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8"/>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5"/>
    <w:qFormat/>
    <w:uiPriority w:val="0"/>
    <w:pPr>
      <w:spacing w:after="120" w:line="480" w:lineRule="auto"/>
    </w:pPr>
  </w:style>
  <w:style w:type="paragraph" w:styleId="59">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00"/>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首行缩进1"/>
    <w:basedOn w:val="24"/>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1">
    <w:name w:val="Default"/>
    <w:next w:val="82"/>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3">
    <w:name w:val="[Normal]"/>
    <w:qFormat/>
    <w:uiPriority w:val="0"/>
    <w:rPr>
      <w:rFonts w:ascii="宋体" w:hAnsi="宋体" w:eastAsia="宋体" w:cs="Times New Roman"/>
      <w:sz w:val="24"/>
      <w:lang w:val="zh-CN" w:eastAsia="zh-CN" w:bidi="ar-SA"/>
    </w:rPr>
  </w:style>
  <w:style w:type="paragraph" w:styleId="84">
    <w:name w:val="List Paragraph"/>
    <w:basedOn w:val="1"/>
    <w:qFormat/>
    <w:uiPriority w:val="34"/>
    <w:pPr>
      <w:spacing w:line="360" w:lineRule="auto"/>
      <w:ind w:firstLine="200" w:firstLineChars="200"/>
    </w:pPr>
    <w:rPr>
      <w:rFonts w:eastAsia="楷体_GB2312" w:cs="Lucida Sans"/>
      <w:sz w:val="24"/>
    </w:rPr>
  </w:style>
  <w:style w:type="paragraph" w:customStyle="1" w:styleId="85">
    <w:name w:val="正文文本首行缩进 21"/>
    <w:basedOn w:val="26"/>
    <w:qFormat/>
    <w:uiPriority w:val="99"/>
    <w:pPr>
      <w:spacing w:line="200" w:lineRule="atLeast"/>
      <w:ind w:firstLine="420"/>
    </w:pPr>
    <w:rPr>
      <w:rFonts w:hAnsi="Courier New"/>
      <w:spacing w:val="-4"/>
      <w:sz w:val="18"/>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字符"/>
    <w:link w:val="62"/>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27"/>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0"/>
    <w:qFormat/>
    <w:uiPriority w:val="0"/>
    <w:rPr>
      <w:rFonts w:ascii="Arial" w:hAnsi="Arial" w:eastAsia="黑体" w:cs="Arial"/>
      <w:snapToGrid w:val="0"/>
      <w:kern w:val="0"/>
      <w:szCs w:val="21"/>
    </w:rPr>
  </w:style>
  <w:style w:type="character" w:customStyle="1" w:styleId="129">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字符"/>
    <w:link w:val="49"/>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字符"/>
    <w:link w:val="7"/>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2"/>
    <w:link w:val="174"/>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8"/>
    <w:qFormat/>
    <w:uiPriority w:val="0"/>
    <w:rPr>
      <w:rFonts w:ascii="宋体"/>
      <w:kern w:val="2"/>
      <w:sz w:val="24"/>
      <w:szCs w:val="21"/>
      <w:lang w:val="zh-CN"/>
    </w:rPr>
  </w:style>
  <w:style w:type="character" w:customStyle="1" w:styleId="186">
    <w:name w:val="标题 9 字符"/>
    <w:link w:val="10"/>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41"/>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16"/>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19"/>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0"/>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字符"/>
    <w:link w:val="32"/>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5"/>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字符"/>
    <w:link w:val="17"/>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81"/>
    <w:qFormat/>
    <w:uiPriority w:val="0"/>
    <w:rPr>
      <w:rFonts w:ascii="仿宋_GB2312" w:eastAsia="仿宋_GB2312" w:cs="仿宋_GB2312"/>
      <w:color w:val="000000"/>
      <w:sz w:val="24"/>
      <w:szCs w:val="24"/>
      <w:lang w:val="en-US" w:eastAsia="zh-CN" w:bidi="ar-SA"/>
    </w:rPr>
  </w:style>
  <w:style w:type="paragraph" w:customStyle="1" w:styleId="23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84"/>
    <w:link w:val="260"/>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26"/>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61"/>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6"/>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1"/>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59"/>
    <w:qFormat/>
    <w:uiPriority w:val="0"/>
    <w:rPr>
      <w:rFonts w:ascii="黑体" w:hAnsi="Courier New" w:eastAsia="黑体"/>
    </w:rPr>
  </w:style>
  <w:style w:type="character" w:customStyle="1" w:styleId="305">
    <w:name w:val="正文文本 2 字符1"/>
    <w:link w:val="58"/>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5"/>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8"/>
    <w:qFormat/>
    <w:uiPriority w:val="0"/>
    <w:rPr>
      <w:b/>
      <w:bCs/>
      <w:kern w:val="2"/>
      <w:sz w:val="24"/>
      <w:szCs w:val="24"/>
    </w:rPr>
  </w:style>
  <w:style w:type="character" w:customStyle="1" w:styleId="311">
    <w:name w:val="正文文本缩进 2 字符"/>
    <w:link w:val="39"/>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2"/>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25"/>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5"/>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2"/>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0"/>
    <w:qFormat/>
    <w:uiPriority w:val="0"/>
    <w:rPr>
      <w:kern w:val="2"/>
      <w:sz w:val="21"/>
      <w:szCs w:val="24"/>
    </w:rPr>
  </w:style>
  <w:style w:type="character" w:customStyle="1" w:styleId="348">
    <w:name w:val="签名 字符"/>
    <w:link w:val="44"/>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9"/>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5"/>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2"/>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3"/>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0"/>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6"/>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4">
    <w:name w:val="gray6"/>
    <w:basedOn w:val="70"/>
    <w:qFormat/>
    <w:uiPriority w:val="0"/>
    <w:rPr>
      <w:rFonts w:ascii="Arial" w:hAnsi="Arial" w:eastAsia="黑体" w:cs="Arial"/>
      <w:snapToGrid w:val="0"/>
      <w:kern w:val="0"/>
      <w:szCs w:val="21"/>
    </w:rPr>
  </w:style>
  <w:style w:type="character" w:customStyle="1" w:styleId="435">
    <w:name w:val="hui"/>
    <w:basedOn w:val="70"/>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5"/>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8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2"/>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6"/>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next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5"/>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1"/>
    <w:next w:val="81"/>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1"/>
    <w:next w:val="81"/>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8"/>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2"/>
    <w:next w:val="1"/>
    <w:qFormat/>
    <w:uiPriority w:val="0"/>
    <w:pPr>
      <w:tabs>
        <w:tab w:val="left" w:pos="578"/>
        <w:tab w:val="left" w:pos="900"/>
        <w:tab w:val="left" w:pos="1440"/>
      </w:tabs>
      <w:ind w:left="1440" w:hanging="360"/>
    </w:pPr>
    <w:rPr>
      <w:rFonts w:ascii="仿宋" w:eastAsia="仿宋" w:cs="宋体"/>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5"/>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9"/>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9"/>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84"/>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6"/>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6"/>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40"/>
    <w:qFormat/>
    <w:uiPriority w:val="0"/>
    <w:rPr>
      <w:kern w:val="2"/>
      <w:sz w:val="21"/>
      <w:szCs w:val="24"/>
      <w:lang w:val="zh-CN"/>
    </w:rPr>
  </w:style>
  <w:style w:type="character" w:customStyle="1" w:styleId="935">
    <w:name w:val="无间隔 字符"/>
    <w:link w:val="486"/>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84"/>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2"/>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Body text|1"/>
    <w:basedOn w:val="1"/>
    <w:qFormat/>
    <w:uiPriority w:val="0"/>
    <w:pPr>
      <w:spacing w:line="391" w:lineRule="auto"/>
      <w:ind w:firstLine="400"/>
    </w:pPr>
    <w:rPr>
      <w:rFonts w:ascii="宋体" w:hAnsi="宋体" w:cs="宋体"/>
      <w:lang w:val="zh-TW" w:eastAsia="zh-TW" w:bidi="zh-TW"/>
    </w:rPr>
  </w:style>
  <w:style w:type="character" w:customStyle="1" w:styleId="967">
    <w:name w:val="font101"/>
    <w:basedOn w:val="70"/>
    <w:qFormat/>
    <w:uiPriority w:val="0"/>
    <w:rPr>
      <w:rFonts w:hint="eastAsia" w:ascii="宋体" w:hAnsi="宋体" w:eastAsia="宋体" w:cs="宋体"/>
      <w:color w:val="FF0000"/>
      <w:sz w:val="20"/>
      <w:szCs w:val="20"/>
      <w:u w:val="none"/>
    </w:rPr>
  </w:style>
  <w:style w:type="paragraph" w:customStyle="1" w:styleId="968">
    <w:name w:val="封面编号"/>
    <w:basedOn w:val="1"/>
    <w:qFormat/>
    <w:uiPriority w:val="0"/>
    <w:pPr>
      <w:spacing w:line="360" w:lineRule="auto"/>
      <w:jc w:val="center"/>
    </w:pPr>
    <w:rPr>
      <w:rFonts w:ascii="黑体" w:hAnsi="宋体" w:eastAsia="黑体" w:cs="宋体"/>
      <w:b/>
      <w:bCs/>
      <w:sz w:val="38"/>
      <w:szCs w:val="20"/>
    </w:rPr>
  </w:style>
  <w:style w:type="table" w:customStyle="1" w:styleId="969">
    <w:name w:val="Table Normal"/>
    <w:semiHidden/>
    <w:unhideWhenUsed/>
    <w:qFormat/>
    <w:uiPriority w:val="0"/>
    <w:tblPr>
      <w:tblCellMar>
        <w:top w:w="0" w:type="dxa"/>
        <w:left w:w="0" w:type="dxa"/>
        <w:bottom w:w="0" w:type="dxa"/>
        <w:right w:w="0" w:type="dxa"/>
      </w:tblCellMar>
    </w:tblPr>
  </w:style>
  <w:style w:type="character" w:customStyle="1" w:styleId="970">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7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72">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73">
    <w:name w:val="正文首缩两字"/>
    <w:basedOn w:val="1"/>
    <w:uiPriority w:val="0"/>
    <w:pPr>
      <w:spacing w:afterLines="30" w:line="360" w:lineRule="auto"/>
      <w:ind w:left="210" w:right="210" w:firstLine="480" w:firstLineChars="200"/>
      <w:jc w:val="left"/>
    </w:pPr>
    <w:rPr>
      <w:rFonts w:ascii="宋体" w:hAnsi="宋体" w:eastAsia="仿宋_GB2312"/>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34D4D5-CF5A-4C24-9483-AA88572C14D4}">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49</Pages>
  <Words>3921</Words>
  <Characters>22350</Characters>
  <Lines>186</Lines>
  <Paragraphs>52</Paragraphs>
  <TotalTime>17</TotalTime>
  <ScaleCrop>false</ScaleCrop>
  <LinksUpToDate>false</LinksUpToDate>
  <CharactersWithSpaces>26219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2023-11-06T00:47:00Z</dcterms:created>
  <dc:creator>yuanly</dc:creator>
  <cp:lastModifiedBy>小布布</cp:lastModifiedBy>
  <cp:lastPrinted>2021-12-27T03:06:00Z</cp:lastPrinted>
  <dcterms:modified xsi:type="dcterms:W3CDTF">2023-11-20T06:07:35Z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E133FF7458B6476CBDCC6E3E0581B558_13</vt:lpwstr>
  </property>
  <property fmtid="{D5CDD505-2E9C-101B-9397-08002B2CF9AE}" pid="5" name="commondata">
    <vt:lpwstr>eyJoZGlkIjoiMzdkYTNjODAzOWEyZTBjZWI2OWE0Y2U2MTNhOGNiNmUifQ==</vt:lpwstr>
  </property>
</Properties>
</file>