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bookmarkStart w:id="67" w:name="_GoBack"/>
      <w:bookmarkEnd w:id="67"/>
    </w:p>
    <w:p>
      <w:pPr>
        <w:rPr>
          <w:color w:val="000000"/>
        </w:rPr>
      </w:pPr>
    </w:p>
    <w:p>
      <w:pPr>
        <w:pStyle w:val="48"/>
        <w:rPr>
          <w:rFonts w:hint="eastAsia" w:ascii="宋体" w:eastAsia="宋体" w:cs="宋体"/>
          <w:b/>
          <w:bCs/>
          <w:color w:val="000000"/>
          <w:lang w:eastAsia="zh-CN"/>
        </w:rPr>
      </w:pPr>
      <w:r>
        <w:rPr>
          <w:rFonts w:hint="eastAsia" w:ascii="宋体" w:hAnsi="宋体" w:eastAsia="宋体" w:cs="宋体"/>
          <w:b/>
          <w:bCs/>
          <w:color w:val="000000"/>
        </w:rPr>
        <w:t>市北交警中队过渡用房智能化弱</w:t>
      </w:r>
      <w:r>
        <w:rPr>
          <w:rFonts w:hint="eastAsia" w:ascii="宋体" w:eastAsia="宋体" w:cs="宋体"/>
          <w:b/>
          <w:bCs/>
          <w:color w:val="000000"/>
          <w:lang w:eastAsia="zh-CN"/>
        </w:rPr>
        <w:t>电</w:t>
      </w:r>
    </w:p>
    <w:p>
      <w:pPr>
        <w:pStyle w:val="48"/>
        <w:rPr>
          <w:rFonts w:hint="eastAsia" w:ascii="宋体" w:hAnsi="宋体" w:eastAsia="宋体" w:cs="宋体"/>
          <w:b/>
          <w:bCs/>
          <w:color w:val="000000"/>
        </w:rPr>
      </w:pPr>
      <w:r>
        <w:rPr>
          <w:rFonts w:hint="eastAsia" w:ascii="宋体" w:hAnsi="宋体" w:eastAsia="宋体" w:cs="宋体"/>
          <w:b/>
          <w:bCs/>
          <w:color w:val="000000"/>
        </w:rPr>
        <w:t>政府采购项目</w:t>
      </w:r>
    </w:p>
    <w:p>
      <w:pPr>
        <w:pStyle w:val="49"/>
        <w:rPr>
          <w:rFonts w:hint="eastAsia" w:ascii="宋体" w:hAnsi="宋体" w:eastAsia="宋体" w:cs="宋体"/>
          <w:b/>
          <w:bCs w:val="0"/>
          <w:color w:val="000000"/>
        </w:rPr>
      </w:pPr>
      <w:r>
        <w:rPr>
          <w:rFonts w:hint="eastAsia" w:ascii="宋体" w:hAnsi="宋体" w:eastAsia="宋体" w:cs="宋体"/>
          <w:b/>
          <w:bCs w:val="0"/>
          <w:color w:val="000000"/>
        </w:rPr>
        <w:t>编号：XZCGDL2019-GK-ZCY0</w:t>
      </w:r>
      <w:r>
        <w:rPr>
          <w:rFonts w:hint="eastAsia" w:ascii="宋体" w:hAnsi="宋体" w:eastAsia="宋体" w:cs="宋体"/>
          <w:b/>
          <w:bCs w:val="0"/>
          <w:color w:val="000000"/>
          <w:lang w:val="en-US" w:eastAsia="zh-CN"/>
        </w:rPr>
        <w:t>07</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pStyle w:val="45"/>
        <w:rPr>
          <w:rFonts w:hint="eastAsia"/>
          <w:b/>
          <w:bCs w:val="0"/>
          <w:color w:val="000000"/>
        </w:rPr>
      </w:pPr>
      <w:r>
        <w:rPr>
          <w:rFonts w:hint="eastAsia"/>
          <w:b/>
          <w:bCs w:val="0"/>
          <w:color w:val="000000"/>
        </w:rPr>
        <w:t>公</w:t>
      </w:r>
    </w:p>
    <w:p>
      <w:pPr>
        <w:pStyle w:val="45"/>
        <w:rPr>
          <w:rFonts w:hint="eastAsia"/>
          <w:b/>
          <w:bCs w:val="0"/>
          <w:color w:val="000000"/>
        </w:rPr>
      </w:pPr>
      <w:r>
        <w:rPr>
          <w:rFonts w:hint="eastAsia"/>
          <w:b/>
          <w:bCs w:val="0"/>
          <w:color w:val="000000"/>
        </w:rPr>
        <w:t>开</w:t>
      </w:r>
    </w:p>
    <w:p>
      <w:pPr>
        <w:pStyle w:val="45"/>
        <w:rPr>
          <w:rFonts w:hint="eastAsia"/>
          <w:b/>
          <w:bCs w:val="0"/>
          <w:color w:val="000000"/>
        </w:rPr>
      </w:pPr>
      <w:r>
        <w:rPr>
          <w:rFonts w:hint="eastAsia"/>
          <w:b/>
          <w:bCs w:val="0"/>
          <w:color w:val="000000"/>
        </w:rPr>
        <w:t>招</w:t>
      </w:r>
    </w:p>
    <w:p>
      <w:pPr>
        <w:pStyle w:val="45"/>
        <w:rPr>
          <w:rFonts w:hint="eastAsia"/>
          <w:b/>
          <w:bCs w:val="0"/>
          <w:color w:val="000000"/>
        </w:rPr>
      </w:pPr>
      <w:r>
        <w:rPr>
          <w:rFonts w:hint="eastAsia"/>
          <w:b/>
          <w:bCs w:val="0"/>
          <w:color w:val="000000"/>
        </w:rPr>
        <w:t>标</w:t>
      </w:r>
    </w:p>
    <w:p>
      <w:pPr>
        <w:pStyle w:val="45"/>
        <w:rPr>
          <w:rFonts w:hint="eastAsia"/>
          <w:b/>
          <w:bCs w:val="0"/>
          <w:color w:val="000000"/>
        </w:rPr>
      </w:pPr>
      <w:r>
        <w:rPr>
          <w:rFonts w:hint="eastAsia"/>
          <w:b/>
          <w:bCs w:val="0"/>
          <w:color w:val="000000"/>
        </w:rPr>
        <w:t>文</w:t>
      </w:r>
    </w:p>
    <w:p>
      <w:pPr>
        <w:pStyle w:val="45"/>
        <w:rPr>
          <w:rFonts w:hint="eastAsia"/>
          <w:b/>
          <w:bCs w:val="0"/>
          <w:color w:val="000000"/>
        </w:rPr>
      </w:pPr>
      <w:r>
        <w:rPr>
          <w:rFonts w:hint="eastAsia"/>
          <w:b/>
          <w:bCs w:val="0"/>
          <w:color w:val="000000"/>
        </w:rPr>
        <w:t>件</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ind w:left="0" w:leftChars="0" w:right="-38" w:rightChars="-18" w:hanging="17" w:firstLineChars="0"/>
        <w:rPr>
          <w:rFonts w:ascii="宋体" w:hAnsi="宋体"/>
          <w:b/>
          <w:color w:val="000000"/>
          <w:sz w:val="32"/>
          <w:szCs w:val="30"/>
        </w:rPr>
      </w:pPr>
      <w:r>
        <w:rPr>
          <w:rFonts w:hint="eastAsia" w:ascii="宋体" w:hAnsi="宋体"/>
          <w:b/>
          <w:color w:val="000000"/>
          <w:spacing w:val="20"/>
          <w:kern w:val="0"/>
          <w:sz w:val="32"/>
          <w:szCs w:val="30"/>
        </w:rPr>
        <w:t>采购人（盖章）</w:t>
      </w:r>
      <w:r>
        <w:rPr>
          <w:rFonts w:hint="eastAsia" w:ascii="宋体" w:hAnsi="宋体"/>
          <w:b/>
          <w:color w:val="000000"/>
          <w:sz w:val="32"/>
          <w:szCs w:val="30"/>
        </w:rPr>
        <w:t>：</w:t>
      </w:r>
      <w:r>
        <w:rPr>
          <w:rFonts w:hint="eastAsia" w:ascii="宋体" w:hAnsi="宋体"/>
          <w:b/>
          <w:color w:val="000000"/>
          <w:spacing w:val="-20"/>
          <w:sz w:val="32"/>
          <w:szCs w:val="30"/>
          <w:lang w:eastAsia="zh-CN"/>
        </w:rPr>
        <w:t>萧山经济技术开发区市政公用建设管理服务中心</w:t>
      </w:r>
    </w:p>
    <w:p>
      <w:pPr>
        <w:spacing w:line="360" w:lineRule="auto"/>
        <w:ind w:left="0" w:leftChars="0" w:right="-38" w:rightChars="-18" w:firstLine="0" w:firstLineChars="0"/>
        <w:rPr>
          <w:rFonts w:hint="eastAsia" w:ascii="宋体" w:hAnsi="宋体"/>
          <w:b/>
          <w:color w:val="000000"/>
          <w:sz w:val="32"/>
          <w:szCs w:val="30"/>
        </w:rPr>
      </w:pPr>
      <w:r>
        <w:rPr>
          <w:rFonts w:hint="eastAsia" w:ascii="宋体" w:hAnsi="宋体"/>
          <w:b/>
          <w:color w:val="000000"/>
          <w:w w:val="83"/>
          <w:kern w:val="0"/>
          <w:sz w:val="32"/>
          <w:szCs w:val="30"/>
        </w:rPr>
        <w:t>招标组织机构（盖章</w:t>
      </w:r>
      <w:r>
        <w:rPr>
          <w:rFonts w:hint="eastAsia" w:ascii="宋体" w:hAnsi="宋体"/>
          <w:b/>
          <w:color w:val="000000"/>
          <w:spacing w:val="-7"/>
          <w:w w:val="83"/>
          <w:kern w:val="0"/>
          <w:sz w:val="32"/>
          <w:szCs w:val="30"/>
        </w:rPr>
        <w:t>）</w:t>
      </w:r>
      <w:r>
        <w:rPr>
          <w:rFonts w:hint="eastAsia" w:ascii="宋体" w:hAnsi="宋体"/>
          <w:b/>
          <w:color w:val="000000"/>
          <w:sz w:val="32"/>
          <w:szCs w:val="30"/>
        </w:rPr>
        <w:t>：</w:t>
      </w:r>
      <w:r>
        <w:rPr>
          <w:rFonts w:hint="eastAsia" w:ascii="宋体" w:hAnsi="宋体"/>
          <w:b/>
          <w:color w:val="000000"/>
          <w:sz w:val="32"/>
          <w:szCs w:val="30"/>
          <w:lang w:eastAsia="zh-CN"/>
        </w:rPr>
        <w:t>杭州博望建设工程招标投标代理有限公司</w:t>
      </w:r>
      <w:r>
        <w:rPr>
          <w:rFonts w:hint="eastAsia" w:ascii="宋体" w:hAnsi="宋体"/>
          <w:b/>
          <w:color w:val="000000"/>
          <w:sz w:val="32"/>
          <w:szCs w:val="30"/>
        </w:rPr>
        <w:t xml:space="preserve"> </w:t>
      </w:r>
    </w:p>
    <w:p>
      <w:pPr>
        <w:spacing w:line="360" w:lineRule="auto"/>
        <w:ind w:firstLine="482" w:firstLineChars="200"/>
        <w:jc w:val="center"/>
        <w:rPr>
          <w:rFonts w:hint="eastAsia" w:ascii="宋体" w:hAnsi="宋体"/>
          <w:b/>
          <w:color w:val="000000"/>
          <w:sz w:val="24"/>
        </w:rPr>
      </w:pPr>
      <w:r>
        <w:rPr>
          <w:rFonts w:hint="eastAsia" w:ascii="宋体" w:hAnsi="宋体"/>
          <w:b/>
          <w:color w:val="000000"/>
          <w:sz w:val="24"/>
        </w:rPr>
        <w:t>本招标文件为2018年</w:t>
      </w:r>
      <w:r>
        <w:rPr>
          <w:rFonts w:ascii="宋体" w:hAnsi="宋体"/>
          <w:b/>
          <w:color w:val="000000"/>
          <w:sz w:val="24"/>
        </w:rPr>
        <w:t>9</w:t>
      </w:r>
      <w:r>
        <w:rPr>
          <w:rFonts w:hint="eastAsia" w:ascii="宋体" w:hAnsi="宋体"/>
          <w:b/>
          <w:color w:val="000000"/>
          <w:sz w:val="24"/>
        </w:rPr>
        <w:t>月新制版本，请各位投标人详细阅读各项条款</w:t>
      </w:r>
    </w:p>
    <w:p>
      <w:pPr>
        <w:spacing w:line="240" w:lineRule="exact"/>
        <w:ind w:left="718" w:leftChars="342"/>
        <w:rPr>
          <w:rFonts w:hint="eastAsia" w:ascii="宋体" w:hAnsi="宋体"/>
          <w:b/>
          <w:color w:val="000000"/>
          <w:sz w:val="30"/>
          <w:szCs w:val="30"/>
        </w:rPr>
      </w:pPr>
    </w:p>
    <w:p>
      <w:pPr>
        <w:spacing w:line="360" w:lineRule="auto"/>
        <w:ind w:right="21" w:rightChars="10"/>
        <w:jc w:val="center"/>
        <w:rPr>
          <w:rFonts w:hint="eastAsia" w:ascii="宋体" w:hAnsi="宋体"/>
          <w:b/>
          <w:color w:val="000000"/>
          <w:sz w:val="30"/>
          <w:szCs w:val="30"/>
        </w:rPr>
      </w:pPr>
      <w:r>
        <w:rPr>
          <w:rFonts w:hint="eastAsia" w:ascii="宋体" w:hAnsi="宋体"/>
          <w:b/>
          <w:color w:val="000000"/>
          <w:sz w:val="30"/>
          <w:szCs w:val="30"/>
          <w:lang w:val="en-US" w:eastAsia="zh-CN"/>
        </w:rPr>
        <w:t>2</w:t>
      </w:r>
      <w:r>
        <w:rPr>
          <w:rFonts w:hint="eastAsia" w:ascii="宋体" w:hAnsi="宋体"/>
          <w:b/>
          <w:color w:val="000000"/>
          <w:sz w:val="30"/>
          <w:szCs w:val="30"/>
          <w:lang w:val="en-US" w:eastAsia="zh-CN"/>
        </w:rPr>
        <w:t>019</w:t>
      </w:r>
      <w:r>
        <w:rPr>
          <w:rFonts w:hint="eastAsia" w:ascii="宋体" w:hAnsi="宋体"/>
          <w:b/>
          <w:color w:val="000000"/>
          <w:sz w:val="30"/>
          <w:szCs w:val="30"/>
        </w:rPr>
        <w:t>年</w:t>
      </w:r>
      <w:r>
        <w:rPr>
          <w:rFonts w:hint="eastAsia" w:ascii="宋体" w:hAnsi="宋体"/>
          <w:b/>
          <w:color w:val="000000"/>
          <w:sz w:val="30"/>
          <w:szCs w:val="30"/>
          <w:lang w:val="en-US" w:eastAsia="zh-CN"/>
        </w:rPr>
        <w:t>0</w:t>
      </w:r>
      <w:r>
        <w:rPr>
          <w:rFonts w:hint="eastAsia" w:ascii="宋体" w:hAnsi="宋体"/>
          <w:b/>
          <w:color w:val="000000"/>
          <w:sz w:val="30"/>
          <w:szCs w:val="30"/>
          <w:lang w:val="en-US" w:eastAsia="zh-CN"/>
        </w:rPr>
        <w:t>2</w:t>
      </w:r>
      <w:r>
        <w:rPr>
          <w:rFonts w:hint="eastAsia" w:ascii="宋体" w:hAnsi="宋体"/>
          <w:b/>
          <w:color w:val="000000"/>
          <w:sz w:val="30"/>
          <w:szCs w:val="30"/>
        </w:rPr>
        <w:t>月</w:t>
      </w:r>
      <w:r>
        <w:rPr>
          <w:rFonts w:hint="eastAsia" w:ascii="宋体" w:hAnsi="宋体"/>
          <w:b/>
          <w:color w:val="000000"/>
          <w:sz w:val="30"/>
          <w:szCs w:val="30"/>
          <w:lang w:val="en-US" w:eastAsia="zh-CN"/>
        </w:rPr>
        <w:t>1</w:t>
      </w:r>
      <w:r>
        <w:rPr>
          <w:rFonts w:hint="eastAsia" w:ascii="宋体" w:hAnsi="宋体"/>
          <w:b/>
          <w:color w:val="000000"/>
          <w:sz w:val="30"/>
          <w:szCs w:val="30"/>
          <w:lang w:val="en-US" w:eastAsia="zh-CN"/>
        </w:rPr>
        <w:t>3</w:t>
      </w:r>
      <w:r>
        <w:rPr>
          <w:rFonts w:hint="eastAsia" w:ascii="宋体" w:hAnsi="宋体"/>
          <w:b/>
          <w:color w:val="000000"/>
          <w:sz w:val="30"/>
          <w:szCs w:val="30"/>
        </w:rPr>
        <w:t>日</w:t>
      </w:r>
    </w:p>
    <w:p>
      <w:pPr>
        <w:spacing w:line="360" w:lineRule="auto"/>
        <w:ind w:firstLine="480" w:firstLineChars="200"/>
        <w:rPr>
          <w:rFonts w:hint="eastAsia" w:ascii="宋体" w:hAnsi="宋体"/>
          <w:color w:val="000000"/>
          <w:sz w:val="24"/>
        </w:rPr>
      </w:pPr>
    </w:p>
    <w:p>
      <w:pPr>
        <w:spacing w:line="440" w:lineRule="exact"/>
        <w:jc w:val="center"/>
        <w:rPr>
          <w:rFonts w:hint="eastAsia" w:ascii="黑体" w:hAnsi="宋体" w:eastAsia="黑体"/>
          <w:b/>
          <w:color w:val="000000"/>
          <w:sz w:val="32"/>
          <w:szCs w:val="32"/>
        </w:rPr>
      </w:pPr>
    </w:p>
    <w:p>
      <w:pPr>
        <w:spacing w:line="44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投标人注意事项</w:t>
      </w:r>
    </w:p>
    <w:p>
      <w:pPr>
        <w:spacing w:line="440" w:lineRule="exact"/>
        <w:jc w:val="center"/>
        <w:rPr>
          <w:rFonts w:hint="eastAsia" w:ascii="黑体" w:hAnsi="宋体" w:eastAsia="黑体"/>
          <w:b/>
          <w:color w:val="000000"/>
          <w:sz w:val="32"/>
          <w:szCs w:val="32"/>
        </w:rPr>
      </w:pPr>
    </w:p>
    <w:p>
      <w:pPr>
        <w:pageBreakBefore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一、投标人在制作投标文件前务必仔细阅读投标人须知中的前附表、评标程序、被拒绝投标、无效投标、废标等条款及有关表格样张。投标文件必须按要求胶装装订。</w:t>
      </w:r>
    </w:p>
    <w:p>
      <w:pPr>
        <w:pageBreakBefore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二、如遇开标截止时间推迟、招标需求变动等，招标组织机构将会在网上发布更正答疑，请投标人及时关注浙江政府采购网及杭州市萧山区招投标管理信息网相关信息板块动态,公告发布后视为书面传达信息。</w:t>
      </w:r>
    </w:p>
    <w:p>
      <w:pPr>
        <w:pageBreakBefore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三、投标人应按照招标文件的规定和要求在投标文件中附上所有的资格证明文件，要求提供的复印件须加盖投标人单位公章。</w:t>
      </w:r>
    </w:p>
    <w:p>
      <w:pPr>
        <w:pageBreakBefore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四、投标文件中应当包含投标人代表的有效身份证明材料（投标人代表的有效身份证件复印件及社会保险证明复印件；如委托的，还需提供有效的授权委托书）。投标文件未提供上述材料或提供无效者将做无效标处理。详见11.2（1）和24.1.4条款。</w:t>
      </w:r>
    </w:p>
    <w:p>
      <w:pPr>
        <w:pageBreakBefore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五、投标人代表是指法定代表人或负责人（特指符合浙财采监【2013】24号《关于规范政府采购供应商资格设定及资格审查的通知》第六条规定的情形）或经授权的委托人。</w:t>
      </w:r>
    </w:p>
    <w:p>
      <w:pPr>
        <w:pageBreakBefore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六、开标时间（投标截止时间）以开标厅悬挂时钟的提示时间为准，投标人应当在开标时间前到达开标厅并递交投标文件，否则投标文件将被拒绝接收。</w:t>
      </w:r>
    </w:p>
    <w:p>
      <w:pPr>
        <w:pageBreakBefore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七、开评标期间，投标人未经同意擅自离开开评标现场的将可能被作自动弃权处理。</w:t>
      </w:r>
    </w:p>
    <w:p>
      <w:pPr>
        <w:pageBreakBefore w:val="0"/>
        <w:kinsoku/>
        <w:wordWrap/>
        <w:overflowPunct/>
        <w:topLinePunct w:val="0"/>
        <w:autoSpaceDE/>
        <w:autoSpaceDN/>
        <w:bidi w:val="0"/>
        <w:adjustRightInd/>
        <w:snapToGrid/>
        <w:spacing w:line="500" w:lineRule="atLeas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八、凡使用区级财政性资金且单项合同金额在20万元（含）以上的或使用镇（街道、平台）财政性资金且合同金额在50万元（含）以上的货物类项目须由区市场监管局所属的质量计量监测中心进行验收，并出具验收报告，采购人凭验收报告和其他相关资料结算货款。</w:t>
      </w:r>
    </w:p>
    <w:p>
      <w:pPr>
        <w:pageBreakBefore w:val="0"/>
        <w:kinsoku/>
        <w:wordWrap/>
        <w:overflowPunct/>
        <w:topLinePunct w:val="0"/>
        <w:autoSpaceDE/>
        <w:autoSpaceDN/>
        <w:bidi w:val="0"/>
        <w:adjustRightInd/>
        <w:snapToGrid/>
        <w:spacing w:line="500" w:lineRule="atLeast"/>
        <w:ind w:firstLine="420"/>
        <w:jc w:val="center"/>
        <w:textAlignment w:val="auto"/>
        <w:outlineLvl w:val="9"/>
        <w:rPr>
          <w:rFonts w:ascii="宋体" w:hAnsi="宋体" w:cs="宋体"/>
          <w:color w:val="000000"/>
          <w:sz w:val="24"/>
        </w:rPr>
      </w:pPr>
      <w:r>
        <w:rPr>
          <w:rFonts w:hint="eastAsia" w:ascii="宋体" w:hAnsi="宋体" w:cs="宋体"/>
          <w:color w:val="000000"/>
          <w:sz w:val="24"/>
        </w:rPr>
        <w:t xml:space="preserve">萧山区招投标管理信息网网址    </w:t>
      </w:r>
      <w:r>
        <w:rPr>
          <w:rFonts w:ascii="宋体" w:hAnsi="宋体" w:cs="宋体"/>
          <w:color w:val="000000"/>
          <w:sz w:val="24"/>
        </w:rPr>
        <w:fldChar w:fldCharType="begin"/>
      </w:r>
      <w:r>
        <w:rPr>
          <w:rFonts w:ascii="宋体" w:hAnsi="宋体" w:cs="宋体"/>
          <w:color w:val="000000"/>
          <w:sz w:val="24"/>
        </w:rPr>
        <w:instrText xml:space="preserve"> HYPERLINK "http://zbjyw.xiaoshan.gov.cn/" </w:instrText>
      </w:r>
      <w:r>
        <w:rPr>
          <w:rFonts w:ascii="宋体" w:hAnsi="宋体" w:cs="宋体"/>
          <w:color w:val="000000"/>
          <w:sz w:val="24"/>
        </w:rPr>
        <w:fldChar w:fldCharType="separate"/>
      </w:r>
      <w:r>
        <w:rPr>
          <w:rStyle w:val="39"/>
          <w:rFonts w:ascii="宋体" w:hAnsi="宋体" w:cs="宋体"/>
          <w:color w:val="000000"/>
          <w:sz w:val="24"/>
        </w:rPr>
        <w:t>http://zbjyw.xiaoshan.gov.cn/</w:t>
      </w:r>
      <w:r>
        <w:rPr>
          <w:rFonts w:ascii="宋体" w:hAnsi="宋体" w:cs="宋体"/>
          <w:color w:val="000000"/>
          <w:sz w:val="24"/>
        </w:rPr>
        <w:fldChar w:fldCharType="end"/>
      </w:r>
    </w:p>
    <w:p>
      <w:pPr>
        <w:pageBreakBefore w:val="0"/>
        <w:kinsoku/>
        <w:wordWrap/>
        <w:overflowPunct/>
        <w:topLinePunct w:val="0"/>
        <w:autoSpaceDE/>
        <w:autoSpaceDN/>
        <w:bidi w:val="0"/>
        <w:adjustRightInd/>
        <w:snapToGrid/>
        <w:spacing w:line="500" w:lineRule="atLeast"/>
        <w:ind w:firstLine="960" w:firstLineChars="400"/>
        <w:jc w:val="center"/>
        <w:textAlignment w:val="auto"/>
        <w:outlineLvl w:val="9"/>
        <w:rPr>
          <w:rFonts w:hint="eastAsia" w:ascii="宋体" w:hAnsi="宋体" w:cs="宋体"/>
          <w:color w:val="000000"/>
          <w:sz w:val="24"/>
        </w:rPr>
      </w:pPr>
      <w:r>
        <w:rPr>
          <w:rFonts w:hint="eastAsia" w:ascii="宋体" w:hAnsi="宋体" w:cs="宋体"/>
          <w:color w:val="000000"/>
          <w:sz w:val="24"/>
        </w:rPr>
        <w:t xml:space="preserve">浙江政府采购网网址   </w:t>
      </w:r>
      <w:r>
        <w:rPr>
          <w:rFonts w:hint="eastAsia" w:ascii="宋体" w:hAnsi="宋体" w:cs="宋体"/>
          <w:bCs/>
          <w:color w:val="000000"/>
          <w:sz w:val="24"/>
        </w:rPr>
        <w:fldChar w:fldCharType="begin"/>
      </w:r>
      <w:r>
        <w:rPr>
          <w:rFonts w:hint="eastAsia" w:ascii="宋体" w:hAnsi="宋体" w:cs="宋体"/>
          <w:bCs/>
          <w:color w:val="000000"/>
          <w:sz w:val="24"/>
        </w:rPr>
        <w:instrText xml:space="preserve"> HYPERLINK "http://www.zjzfcg.gov.cn" </w:instrText>
      </w:r>
      <w:r>
        <w:rPr>
          <w:rFonts w:hint="eastAsia" w:ascii="宋体" w:hAnsi="宋体" w:cs="宋体"/>
          <w:bCs/>
          <w:color w:val="000000"/>
          <w:sz w:val="24"/>
        </w:rPr>
        <w:fldChar w:fldCharType="separate"/>
      </w:r>
      <w:r>
        <w:rPr>
          <w:rStyle w:val="39"/>
          <w:rFonts w:hint="eastAsia" w:ascii="宋体" w:hAnsi="宋体" w:cs="宋体"/>
          <w:bCs/>
          <w:color w:val="000000"/>
          <w:sz w:val="24"/>
          <w:u w:val="none"/>
        </w:rPr>
        <w:t>http://www.zjzfcg.gov.cn</w:t>
      </w:r>
      <w:r>
        <w:rPr>
          <w:rFonts w:hint="eastAsia" w:ascii="宋体" w:hAnsi="宋体" w:cs="宋体"/>
          <w:bCs/>
          <w:color w:val="000000"/>
          <w:sz w:val="24"/>
        </w:rPr>
        <w:fldChar w:fldCharType="end"/>
      </w:r>
    </w:p>
    <w:p>
      <w:pPr>
        <w:pStyle w:val="52"/>
        <w:pageBreakBefore w:val="0"/>
        <w:kinsoku/>
        <w:wordWrap/>
        <w:overflowPunct/>
        <w:topLinePunct w:val="0"/>
        <w:autoSpaceDE/>
        <w:autoSpaceDN/>
        <w:bidi w:val="0"/>
        <w:adjustRightInd/>
        <w:snapToGrid/>
        <w:spacing w:line="500" w:lineRule="atLeast"/>
        <w:jc w:val="center"/>
        <w:textAlignment w:val="auto"/>
        <w:outlineLvl w:val="9"/>
        <w:rPr>
          <w:b/>
          <w:color w:val="000000"/>
        </w:rPr>
      </w:pPr>
      <w:r>
        <w:rPr>
          <w:color w:val="000000"/>
          <w:lang w:val="zh-CN"/>
        </w:rPr>
        <w:br w:type="page"/>
      </w:r>
      <w:bookmarkStart w:id="0" w:name="_Toc315"/>
      <w:r>
        <w:rPr>
          <w:b/>
          <w:color w:val="000000"/>
          <w:lang w:val="zh-CN"/>
        </w:rPr>
        <w:t>目录</w:t>
      </w:r>
      <w:bookmarkEnd w:id="0"/>
    </w:p>
    <w:p>
      <w:pPr>
        <w:pStyle w:val="24"/>
        <w:tabs>
          <w:tab w:val="right" w:leader="dot" w:pos="9202"/>
        </w:tabs>
        <w:rPr>
          <w:color w:val="000000"/>
        </w:rPr>
      </w:pPr>
      <w:r>
        <w:rPr>
          <w:i/>
          <w:iCs/>
          <w:caps w:val="0"/>
          <w:color w:val="000000"/>
          <w:u w:val="single"/>
          <w:lang w:val="zh-CN"/>
        </w:rPr>
        <w:fldChar w:fldCharType="begin"/>
      </w:r>
      <w:r>
        <w:rPr>
          <w:i/>
          <w:iCs/>
          <w:caps w:val="0"/>
          <w:color w:val="000000"/>
          <w:u w:val="single"/>
          <w:lang w:val="zh-CN"/>
        </w:rPr>
        <w:instrText xml:space="preserve"> TOC \o "1-3" \h \z \u </w:instrText>
      </w:r>
      <w:r>
        <w:rPr>
          <w:i/>
          <w:iCs/>
          <w:caps w:val="0"/>
          <w:color w:val="000000"/>
          <w:u w:val="single"/>
          <w:lang w:val="zh-CN"/>
        </w:rPr>
        <w:fldChar w:fldCharType="separate"/>
      </w:r>
      <w:r>
        <w:rPr>
          <w:i/>
          <w:iCs/>
          <w:caps w:val="0"/>
          <w:color w:val="000000"/>
          <w:u w:val="single"/>
          <w:lang w:val="zh-CN"/>
        </w:rPr>
        <w:fldChar w:fldCharType="begin"/>
      </w:r>
      <w:r>
        <w:rPr>
          <w:i/>
          <w:iCs/>
          <w:caps w:val="0"/>
          <w:color w:val="000000"/>
          <w:lang w:val="zh-CN"/>
        </w:rPr>
        <w:instrText xml:space="preserve"> HYPERLINK \l _Toc315 </w:instrText>
      </w:r>
      <w:r>
        <w:rPr>
          <w:i/>
          <w:iCs/>
          <w:caps w:val="0"/>
          <w:color w:val="000000"/>
          <w:lang w:val="zh-CN"/>
        </w:rPr>
        <w:fldChar w:fldCharType="separate"/>
      </w:r>
      <w:r>
        <w:rPr>
          <w:color w:val="000000"/>
          <w:lang w:val="zh-CN"/>
        </w:rPr>
        <w:t>目录</w:t>
      </w:r>
      <w:r>
        <w:rPr>
          <w:color w:val="000000"/>
        </w:rPr>
        <w:tab/>
      </w:r>
      <w:r>
        <w:rPr>
          <w:color w:val="000000"/>
        </w:rPr>
        <w:fldChar w:fldCharType="begin"/>
      </w:r>
      <w:r>
        <w:rPr>
          <w:color w:val="000000"/>
        </w:rPr>
        <w:instrText xml:space="preserve"> PAGEREF _Toc315 </w:instrText>
      </w:r>
      <w:r>
        <w:rPr>
          <w:color w:val="000000"/>
        </w:rPr>
        <w:fldChar w:fldCharType="separate"/>
      </w:r>
      <w:r>
        <w:rPr>
          <w:color w:val="000000"/>
        </w:rPr>
        <w:t>3</w:t>
      </w:r>
      <w:r>
        <w:rPr>
          <w:color w:val="000000"/>
        </w:rPr>
        <w:fldChar w:fldCharType="end"/>
      </w:r>
      <w:r>
        <w:rPr>
          <w:i/>
          <w:iCs/>
          <w:caps w:val="0"/>
          <w:color w:val="000000"/>
          <w:u w:val="single"/>
          <w:lang w:val="zh-CN"/>
        </w:rPr>
        <w:fldChar w:fldCharType="end"/>
      </w:r>
    </w:p>
    <w:p>
      <w:pPr>
        <w:pStyle w:val="24"/>
        <w:tabs>
          <w:tab w:val="right" w:leader="dot" w:pos="9202"/>
        </w:tabs>
        <w:rPr>
          <w:color w:val="000000"/>
        </w:rPr>
      </w:pPr>
      <w:r>
        <w:rPr>
          <w:rFonts w:ascii="等线" w:eastAsia="等线"/>
          <w:i/>
          <w:iCs/>
          <w:caps w:val="0"/>
          <w:color w:val="000000"/>
          <w:szCs w:val="20"/>
          <w:u w:val="single"/>
          <w:lang w:val="zh-CN"/>
        </w:rPr>
        <w:fldChar w:fldCharType="begin"/>
      </w:r>
      <w:r>
        <w:rPr>
          <w:rFonts w:ascii="等线" w:eastAsia="等线"/>
          <w:i/>
          <w:iCs/>
          <w:caps w:val="0"/>
          <w:color w:val="000000"/>
          <w:szCs w:val="20"/>
          <w:lang w:val="zh-CN"/>
        </w:rPr>
        <w:instrText xml:space="preserve"> HYPERLINK \l _Toc7311 </w:instrText>
      </w:r>
      <w:r>
        <w:rPr>
          <w:rFonts w:ascii="等线" w:eastAsia="等线"/>
          <w:i/>
          <w:iCs/>
          <w:caps w:val="0"/>
          <w:color w:val="000000"/>
          <w:szCs w:val="20"/>
          <w:lang w:val="zh-CN"/>
        </w:rPr>
        <w:fldChar w:fldCharType="separate"/>
      </w:r>
      <w:r>
        <w:rPr>
          <w:rFonts w:hint="eastAsia"/>
          <w:color w:val="000000"/>
        </w:rPr>
        <w:t>第一部分  招标公告</w:t>
      </w:r>
      <w:r>
        <w:rPr>
          <w:color w:val="000000"/>
        </w:rPr>
        <w:tab/>
      </w:r>
      <w:r>
        <w:rPr>
          <w:color w:val="000000"/>
        </w:rPr>
        <w:fldChar w:fldCharType="begin"/>
      </w:r>
      <w:r>
        <w:rPr>
          <w:color w:val="000000"/>
        </w:rPr>
        <w:instrText xml:space="preserve"> PAGEREF _Toc7311 </w:instrText>
      </w:r>
      <w:r>
        <w:rPr>
          <w:color w:val="000000"/>
        </w:rPr>
        <w:fldChar w:fldCharType="separate"/>
      </w:r>
      <w:r>
        <w:rPr>
          <w:color w:val="000000"/>
        </w:rPr>
        <w:t>4</w:t>
      </w:r>
      <w:r>
        <w:rPr>
          <w:color w:val="000000"/>
        </w:rPr>
        <w:fldChar w:fldCharType="end"/>
      </w:r>
      <w:r>
        <w:rPr>
          <w:rFonts w:ascii="等线" w:eastAsia="等线"/>
          <w:i/>
          <w:iCs/>
          <w:caps w:val="0"/>
          <w:color w:val="000000"/>
          <w:szCs w:val="20"/>
          <w:u w:val="single"/>
          <w:lang w:val="zh-CN"/>
        </w:rPr>
        <w:fldChar w:fldCharType="end"/>
      </w:r>
    </w:p>
    <w:p>
      <w:pPr>
        <w:pStyle w:val="24"/>
        <w:tabs>
          <w:tab w:val="right" w:leader="dot" w:pos="9202"/>
        </w:tabs>
        <w:rPr>
          <w:color w:val="000000"/>
        </w:rPr>
      </w:pPr>
      <w:r>
        <w:rPr>
          <w:rFonts w:ascii="等线" w:eastAsia="等线"/>
          <w:i/>
          <w:iCs/>
          <w:caps w:val="0"/>
          <w:color w:val="000000"/>
          <w:szCs w:val="20"/>
          <w:u w:val="single"/>
          <w:lang w:val="zh-CN"/>
        </w:rPr>
        <w:fldChar w:fldCharType="begin"/>
      </w:r>
      <w:r>
        <w:rPr>
          <w:rFonts w:ascii="等线" w:eastAsia="等线"/>
          <w:i/>
          <w:iCs/>
          <w:caps w:val="0"/>
          <w:color w:val="000000"/>
          <w:szCs w:val="20"/>
          <w:lang w:val="zh-CN"/>
        </w:rPr>
        <w:instrText xml:space="preserve"> HYPERLINK \l _Toc5275 </w:instrText>
      </w:r>
      <w:r>
        <w:rPr>
          <w:rFonts w:ascii="等线" w:eastAsia="等线"/>
          <w:i/>
          <w:iCs/>
          <w:caps w:val="0"/>
          <w:color w:val="000000"/>
          <w:szCs w:val="20"/>
          <w:lang w:val="zh-CN"/>
        </w:rPr>
        <w:fldChar w:fldCharType="separate"/>
      </w:r>
      <w:r>
        <w:rPr>
          <w:rFonts w:hint="eastAsia"/>
          <w:color w:val="000000"/>
        </w:rPr>
        <w:t>第二部分  投标人须知</w:t>
      </w:r>
      <w:r>
        <w:rPr>
          <w:color w:val="000000"/>
        </w:rPr>
        <w:tab/>
      </w:r>
      <w:r>
        <w:rPr>
          <w:color w:val="000000"/>
        </w:rPr>
        <w:fldChar w:fldCharType="begin"/>
      </w:r>
      <w:r>
        <w:rPr>
          <w:color w:val="000000"/>
        </w:rPr>
        <w:instrText xml:space="preserve"> PAGEREF _Toc5275 </w:instrText>
      </w:r>
      <w:r>
        <w:rPr>
          <w:color w:val="000000"/>
        </w:rPr>
        <w:fldChar w:fldCharType="separate"/>
      </w:r>
      <w:r>
        <w:rPr>
          <w:color w:val="000000"/>
        </w:rPr>
        <w:t>7</w:t>
      </w:r>
      <w:r>
        <w:rPr>
          <w:color w:val="000000"/>
        </w:rPr>
        <w:fldChar w:fldCharType="end"/>
      </w:r>
      <w:r>
        <w:rPr>
          <w:rFonts w:ascii="等线" w:eastAsia="等线"/>
          <w:i/>
          <w:iCs/>
          <w:caps w:val="0"/>
          <w:color w:val="000000"/>
          <w:szCs w:val="20"/>
          <w:u w:val="single"/>
          <w:lang w:val="zh-CN"/>
        </w:rPr>
        <w:fldChar w:fldCharType="end"/>
      </w:r>
    </w:p>
    <w:p>
      <w:pPr>
        <w:pStyle w:val="27"/>
        <w:tabs>
          <w:tab w:val="right" w:leader="dot" w:pos="9202"/>
        </w:tabs>
        <w:rPr>
          <w:color w:val="000000"/>
        </w:rPr>
      </w:pPr>
      <w:r>
        <w:rPr>
          <w:rFonts w:ascii="等线" w:eastAsia="等线"/>
          <w:i/>
          <w:iCs/>
          <w:caps/>
          <w:color w:val="000000"/>
          <w:szCs w:val="20"/>
          <w:u w:val="single"/>
          <w:lang w:val="zh-CN"/>
        </w:rPr>
        <w:fldChar w:fldCharType="begin"/>
      </w:r>
      <w:r>
        <w:rPr>
          <w:rFonts w:ascii="等线" w:eastAsia="等线"/>
          <w:i/>
          <w:iCs/>
          <w:caps/>
          <w:color w:val="000000"/>
          <w:szCs w:val="20"/>
          <w:lang w:val="zh-CN"/>
        </w:rPr>
        <w:instrText xml:space="preserve"> HYPERLINK \l _Toc2190 </w:instrText>
      </w:r>
      <w:r>
        <w:rPr>
          <w:rFonts w:ascii="等线" w:eastAsia="等线"/>
          <w:i/>
          <w:iCs/>
          <w:caps/>
          <w:color w:val="000000"/>
          <w:szCs w:val="20"/>
          <w:lang w:val="zh-CN"/>
        </w:rPr>
        <w:fldChar w:fldCharType="separate"/>
      </w:r>
      <w:r>
        <w:rPr>
          <w:rFonts w:hint="eastAsia"/>
          <w:color w:val="000000"/>
        </w:rPr>
        <w:t>第一节  投标人须知之通用条款</w:t>
      </w:r>
      <w:r>
        <w:rPr>
          <w:color w:val="000000"/>
        </w:rPr>
        <w:tab/>
      </w:r>
      <w:r>
        <w:rPr>
          <w:color w:val="000000"/>
        </w:rPr>
        <w:fldChar w:fldCharType="begin"/>
      </w:r>
      <w:r>
        <w:rPr>
          <w:color w:val="000000"/>
        </w:rPr>
        <w:instrText xml:space="preserve"> PAGEREF _Toc2190 </w:instrText>
      </w:r>
      <w:r>
        <w:rPr>
          <w:color w:val="000000"/>
        </w:rPr>
        <w:fldChar w:fldCharType="separate"/>
      </w:r>
      <w:r>
        <w:rPr>
          <w:color w:val="000000"/>
        </w:rPr>
        <w:t>8</w:t>
      </w:r>
      <w:r>
        <w:rPr>
          <w:color w:val="000000"/>
        </w:rPr>
        <w:fldChar w:fldCharType="end"/>
      </w:r>
      <w:r>
        <w:rPr>
          <w:rFonts w:ascii="等线" w:eastAsia="等线"/>
          <w:i/>
          <w:iCs/>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_Toc10723 </w:instrText>
      </w:r>
      <w:r>
        <w:rPr>
          <w:rFonts w:ascii="等线" w:eastAsia="等线"/>
          <w:i w:val="0"/>
          <w:iCs w:val="0"/>
          <w:caps/>
          <w:color w:val="000000"/>
          <w:szCs w:val="20"/>
          <w:lang w:val="zh-CN"/>
        </w:rPr>
        <w:fldChar w:fldCharType="separate"/>
      </w:r>
      <w:r>
        <w:rPr>
          <w:rFonts w:hint="eastAsia"/>
          <w:color w:val="000000"/>
        </w:rPr>
        <w:t>一、总则</w:t>
      </w:r>
      <w:r>
        <w:rPr>
          <w:color w:val="000000"/>
        </w:rPr>
        <w:tab/>
      </w:r>
      <w:r>
        <w:rPr>
          <w:color w:val="000000"/>
        </w:rPr>
        <w:fldChar w:fldCharType="begin"/>
      </w:r>
      <w:r>
        <w:rPr>
          <w:color w:val="000000"/>
        </w:rPr>
        <w:instrText xml:space="preserve"> PAGEREF _Toc10723 </w:instrText>
      </w:r>
      <w:r>
        <w:rPr>
          <w:color w:val="000000"/>
        </w:rPr>
        <w:fldChar w:fldCharType="separate"/>
      </w:r>
      <w:r>
        <w:rPr>
          <w:color w:val="000000"/>
        </w:rPr>
        <w:t>8</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_Toc23046 </w:instrText>
      </w:r>
      <w:r>
        <w:rPr>
          <w:rFonts w:ascii="等线" w:eastAsia="等线"/>
          <w:i w:val="0"/>
          <w:iCs w:val="0"/>
          <w:caps/>
          <w:color w:val="000000"/>
          <w:szCs w:val="20"/>
          <w:lang w:val="zh-CN"/>
        </w:rPr>
        <w:fldChar w:fldCharType="separate"/>
      </w:r>
      <w:r>
        <w:rPr>
          <w:rFonts w:hint="eastAsia"/>
          <w:color w:val="000000"/>
        </w:rPr>
        <w:t>二、招标文件</w:t>
      </w:r>
      <w:r>
        <w:rPr>
          <w:color w:val="000000"/>
        </w:rPr>
        <w:tab/>
      </w:r>
      <w:r>
        <w:rPr>
          <w:color w:val="000000"/>
        </w:rPr>
        <w:fldChar w:fldCharType="begin"/>
      </w:r>
      <w:r>
        <w:rPr>
          <w:color w:val="000000"/>
        </w:rPr>
        <w:instrText xml:space="preserve"> PAGEREF _Toc23046 </w:instrText>
      </w:r>
      <w:r>
        <w:rPr>
          <w:color w:val="000000"/>
        </w:rPr>
        <w:fldChar w:fldCharType="separate"/>
      </w:r>
      <w:r>
        <w:rPr>
          <w:color w:val="000000"/>
        </w:rPr>
        <w:t>8</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_Toc10791 </w:instrText>
      </w:r>
      <w:r>
        <w:rPr>
          <w:rFonts w:ascii="等线" w:eastAsia="等线"/>
          <w:i w:val="0"/>
          <w:iCs w:val="0"/>
          <w:caps/>
          <w:color w:val="000000"/>
          <w:szCs w:val="20"/>
          <w:lang w:val="zh-CN"/>
        </w:rPr>
        <w:fldChar w:fldCharType="separate"/>
      </w:r>
      <w:r>
        <w:rPr>
          <w:rFonts w:hint="eastAsia"/>
          <w:color w:val="000000"/>
        </w:rPr>
        <w:t>三、投标文件的编制</w:t>
      </w:r>
      <w:r>
        <w:rPr>
          <w:color w:val="000000"/>
        </w:rPr>
        <w:tab/>
      </w:r>
      <w:r>
        <w:rPr>
          <w:color w:val="000000"/>
        </w:rPr>
        <w:fldChar w:fldCharType="begin"/>
      </w:r>
      <w:r>
        <w:rPr>
          <w:color w:val="000000"/>
        </w:rPr>
        <w:instrText xml:space="preserve"> PAGEREF _Toc10791 </w:instrText>
      </w:r>
      <w:r>
        <w:rPr>
          <w:color w:val="000000"/>
        </w:rPr>
        <w:fldChar w:fldCharType="separate"/>
      </w:r>
      <w:r>
        <w:rPr>
          <w:color w:val="000000"/>
        </w:rPr>
        <w:t>10</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_Toc347 </w:instrText>
      </w:r>
      <w:r>
        <w:rPr>
          <w:rFonts w:ascii="等线" w:eastAsia="等线"/>
          <w:i w:val="0"/>
          <w:iCs w:val="0"/>
          <w:caps/>
          <w:color w:val="000000"/>
          <w:szCs w:val="20"/>
          <w:lang w:val="zh-CN"/>
        </w:rPr>
        <w:fldChar w:fldCharType="separate"/>
      </w:r>
      <w:r>
        <w:rPr>
          <w:rFonts w:hint="eastAsia"/>
          <w:color w:val="000000"/>
        </w:rPr>
        <w:t>四、投标文件的递交</w:t>
      </w:r>
      <w:r>
        <w:rPr>
          <w:color w:val="000000"/>
        </w:rPr>
        <w:tab/>
      </w:r>
      <w:r>
        <w:rPr>
          <w:color w:val="000000"/>
        </w:rPr>
        <w:fldChar w:fldCharType="begin"/>
      </w:r>
      <w:r>
        <w:rPr>
          <w:color w:val="000000"/>
        </w:rPr>
        <w:instrText xml:space="preserve"> PAGEREF _Toc347 </w:instrText>
      </w:r>
      <w:r>
        <w:rPr>
          <w:color w:val="000000"/>
        </w:rPr>
        <w:fldChar w:fldCharType="separate"/>
      </w:r>
      <w:r>
        <w:rPr>
          <w:color w:val="000000"/>
        </w:rPr>
        <w:t>13</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_Toc10604 </w:instrText>
      </w:r>
      <w:r>
        <w:rPr>
          <w:rFonts w:ascii="等线" w:eastAsia="等线"/>
          <w:i w:val="0"/>
          <w:iCs w:val="0"/>
          <w:caps/>
          <w:color w:val="000000"/>
          <w:szCs w:val="20"/>
          <w:lang w:val="zh-CN"/>
        </w:rPr>
        <w:fldChar w:fldCharType="separate"/>
      </w:r>
      <w:r>
        <w:rPr>
          <w:rFonts w:hint="eastAsia"/>
          <w:color w:val="000000"/>
        </w:rPr>
        <w:t>五、开标</w:t>
      </w:r>
      <w:r>
        <w:rPr>
          <w:color w:val="000000"/>
        </w:rPr>
        <w:tab/>
      </w:r>
      <w:r>
        <w:rPr>
          <w:color w:val="000000"/>
        </w:rPr>
        <w:fldChar w:fldCharType="begin"/>
      </w:r>
      <w:r>
        <w:rPr>
          <w:color w:val="000000"/>
        </w:rPr>
        <w:instrText xml:space="preserve"> PAGEREF _Toc10604 </w:instrText>
      </w:r>
      <w:r>
        <w:rPr>
          <w:color w:val="000000"/>
        </w:rPr>
        <w:fldChar w:fldCharType="separate"/>
      </w:r>
      <w:r>
        <w:rPr>
          <w:color w:val="000000"/>
        </w:rPr>
        <w:t>14</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_Toc23265 </w:instrText>
      </w:r>
      <w:r>
        <w:rPr>
          <w:rFonts w:ascii="等线" w:eastAsia="等线"/>
          <w:i w:val="0"/>
          <w:iCs w:val="0"/>
          <w:caps/>
          <w:color w:val="000000"/>
          <w:szCs w:val="20"/>
          <w:lang w:val="zh-CN"/>
        </w:rPr>
        <w:fldChar w:fldCharType="separate"/>
      </w:r>
      <w:r>
        <w:rPr>
          <w:rFonts w:hint="eastAsia"/>
          <w:color w:val="000000"/>
        </w:rPr>
        <w:t>六、评标</w:t>
      </w:r>
      <w:r>
        <w:rPr>
          <w:color w:val="000000"/>
        </w:rPr>
        <w:tab/>
      </w:r>
      <w:r>
        <w:rPr>
          <w:color w:val="000000"/>
        </w:rPr>
        <w:fldChar w:fldCharType="begin"/>
      </w:r>
      <w:r>
        <w:rPr>
          <w:color w:val="000000"/>
        </w:rPr>
        <w:instrText xml:space="preserve"> PAGEREF _Toc23265 </w:instrText>
      </w:r>
      <w:r>
        <w:rPr>
          <w:color w:val="000000"/>
        </w:rPr>
        <w:fldChar w:fldCharType="separate"/>
      </w:r>
      <w:r>
        <w:rPr>
          <w:color w:val="000000"/>
        </w:rPr>
        <w:t>15</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_Toc29047 </w:instrText>
      </w:r>
      <w:r>
        <w:rPr>
          <w:rFonts w:ascii="等线" w:eastAsia="等线"/>
          <w:i w:val="0"/>
          <w:iCs w:val="0"/>
          <w:caps/>
          <w:color w:val="000000"/>
          <w:szCs w:val="20"/>
          <w:lang w:val="zh-CN"/>
        </w:rPr>
        <w:fldChar w:fldCharType="separate"/>
      </w:r>
      <w:r>
        <w:rPr>
          <w:rFonts w:hint="eastAsia"/>
          <w:color w:val="000000"/>
        </w:rPr>
        <w:t>七、定标</w:t>
      </w:r>
      <w:r>
        <w:rPr>
          <w:color w:val="000000"/>
        </w:rPr>
        <w:tab/>
      </w:r>
      <w:r>
        <w:rPr>
          <w:color w:val="000000"/>
        </w:rPr>
        <w:fldChar w:fldCharType="begin"/>
      </w:r>
      <w:r>
        <w:rPr>
          <w:color w:val="000000"/>
        </w:rPr>
        <w:instrText xml:space="preserve"> PAGEREF _Toc29047 </w:instrText>
      </w:r>
      <w:r>
        <w:rPr>
          <w:color w:val="000000"/>
        </w:rPr>
        <w:fldChar w:fldCharType="separate"/>
      </w:r>
      <w:r>
        <w:rPr>
          <w:color w:val="000000"/>
        </w:rPr>
        <w:t>19</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_Toc29960 </w:instrText>
      </w:r>
      <w:r>
        <w:rPr>
          <w:rFonts w:ascii="等线" w:eastAsia="等线"/>
          <w:i w:val="0"/>
          <w:iCs w:val="0"/>
          <w:caps/>
          <w:color w:val="000000"/>
          <w:szCs w:val="20"/>
          <w:lang w:val="zh-CN"/>
        </w:rPr>
        <w:fldChar w:fldCharType="separate"/>
      </w:r>
      <w:r>
        <w:rPr>
          <w:rFonts w:hint="eastAsia"/>
          <w:color w:val="000000"/>
        </w:rPr>
        <w:t>八、合同签订及其他</w:t>
      </w:r>
      <w:r>
        <w:rPr>
          <w:color w:val="000000"/>
        </w:rPr>
        <w:tab/>
      </w:r>
      <w:r>
        <w:rPr>
          <w:color w:val="000000"/>
        </w:rPr>
        <w:fldChar w:fldCharType="begin"/>
      </w:r>
      <w:r>
        <w:rPr>
          <w:color w:val="000000"/>
        </w:rPr>
        <w:instrText xml:space="preserve"> PAGEREF _Toc29960 </w:instrText>
      </w:r>
      <w:r>
        <w:rPr>
          <w:color w:val="000000"/>
        </w:rPr>
        <w:fldChar w:fldCharType="separate"/>
      </w:r>
      <w:r>
        <w:rPr>
          <w:color w:val="000000"/>
        </w:rPr>
        <w:t>19</w:t>
      </w:r>
      <w:r>
        <w:rPr>
          <w:color w:val="000000"/>
        </w:rPr>
        <w:fldChar w:fldCharType="end"/>
      </w:r>
      <w:r>
        <w:rPr>
          <w:rFonts w:ascii="等线" w:eastAsia="等线"/>
          <w:i w:val="0"/>
          <w:iCs w:val="0"/>
          <w:caps/>
          <w:color w:val="000000"/>
          <w:szCs w:val="20"/>
          <w:u w:val="single"/>
          <w:lang w:val="zh-CN"/>
        </w:rPr>
        <w:fldChar w:fldCharType="end"/>
      </w:r>
    </w:p>
    <w:p>
      <w:pPr>
        <w:pStyle w:val="27"/>
        <w:tabs>
          <w:tab w:val="right" w:leader="dot" w:pos="9202"/>
        </w:tabs>
        <w:rPr>
          <w:color w:val="000000"/>
        </w:rPr>
      </w:pPr>
      <w:r>
        <w:rPr>
          <w:rFonts w:ascii="等线" w:eastAsia="等线"/>
          <w:i/>
          <w:iCs/>
          <w:caps/>
          <w:color w:val="000000"/>
          <w:szCs w:val="20"/>
          <w:u w:val="single"/>
          <w:lang w:val="zh-CN"/>
        </w:rPr>
        <w:fldChar w:fldCharType="begin"/>
      </w:r>
      <w:r>
        <w:rPr>
          <w:rFonts w:ascii="等线" w:eastAsia="等线"/>
          <w:i/>
          <w:iCs/>
          <w:caps/>
          <w:color w:val="000000"/>
          <w:szCs w:val="20"/>
          <w:lang w:val="zh-CN"/>
        </w:rPr>
        <w:instrText xml:space="preserve"> HYPERLINK \l _Toc31692 </w:instrText>
      </w:r>
      <w:r>
        <w:rPr>
          <w:rFonts w:ascii="等线" w:eastAsia="等线"/>
          <w:i/>
          <w:iCs/>
          <w:caps/>
          <w:color w:val="000000"/>
          <w:szCs w:val="20"/>
          <w:lang w:val="zh-CN"/>
        </w:rPr>
        <w:fldChar w:fldCharType="separate"/>
      </w:r>
      <w:r>
        <w:rPr>
          <w:rFonts w:hint="eastAsia"/>
          <w:color w:val="000000"/>
        </w:rPr>
        <w:t>第二节  投标人须知之专用条款</w:t>
      </w:r>
      <w:r>
        <w:rPr>
          <w:color w:val="000000"/>
        </w:rPr>
        <w:tab/>
      </w:r>
      <w:r>
        <w:rPr>
          <w:color w:val="000000"/>
        </w:rPr>
        <w:fldChar w:fldCharType="begin"/>
      </w:r>
      <w:r>
        <w:rPr>
          <w:color w:val="000000"/>
        </w:rPr>
        <w:instrText xml:space="preserve"> PAGEREF _Toc31692 </w:instrText>
      </w:r>
      <w:r>
        <w:rPr>
          <w:color w:val="000000"/>
        </w:rPr>
        <w:fldChar w:fldCharType="separate"/>
      </w:r>
      <w:r>
        <w:rPr>
          <w:color w:val="000000"/>
        </w:rPr>
        <w:t>22</w:t>
      </w:r>
      <w:r>
        <w:rPr>
          <w:color w:val="000000"/>
        </w:rPr>
        <w:fldChar w:fldCharType="end"/>
      </w:r>
      <w:r>
        <w:rPr>
          <w:rFonts w:ascii="等线" w:eastAsia="等线"/>
          <w:i/>
          <w:iCs/>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_Toc15562 </w:instrText>
      </w:r>
      <w:r>
        <w:rPr>
          <w:rFonts w:ascii="等线" w:eastAsia="等线"/>
          <w:i w:val="0"/>
          <w:iCs w:val="0"/>
          <w:caps/>
          <w:color w:val="000000"/>
          <w:szCs w:val="20"/>
          <w:lang w:val="zh-CN"/>
        </w:rPr>
        <w:fldChar w:fldCharType="separate"/>
      </w:r>
      <w:r>
        <w:rPr>
          <w:rFonts w:hint="eastAsia"/>
          <w:color w:val="000000"/>
        </w:rPr>
        <w:t>一、专用条款</w:t>
      </w:r>
      <w:r>
        <w:rPr>
          <w:color w:val="000000"/>
        </w:rPr>
        <w:tab/>
      </w:r>
      <w:r>
        <w:rPr>
          <w:color w:val="000000"/>
        </w:rPr>
        <w:fldChar w:fldCharType="begin"/>
      </w:r>
      <w:r>
        <w:rPr>
          <w:color w:val="000000"/>
        </w:rPr>
        <w:instrText xml:space="preserve"> PAGEREF _Toc15562 </w:instrText>
      </w:r>
      <w:r>
        <w:rPr>
          <w:color w:val="000000"/>
        </w:rPr>
        <w:fldChar w:fldCharType="separate"/>
      </w:r>
      <w:r>
        <w:rPr>
          <w:color w:val="000000"/>
        </w:rPr>
        <w:t>22</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_Toc7387 </w:instrText>
      </w:r>
      <w:r>
        <w:rPr>
          <w:rFonts w:ascii="等线" w:eastAsia="等线"/>
          <w:i w:val="0"/>
          <w:iCs w:val="0"/>
          <w:caps/>
          <w:color w:val="000000"/>
          <w:szCs w:val="20"/>
          <w:lang w:val="zh-CN"/>
        </w:rPr>
        <w:fldChar w:fldCharType="separate"/>
      </w:r>
      <w:r>
        <w:rPr>
          <w:rFonts w:hint="eastAsia"/>
          <w:color w:val="000000"/>
        </w:rPr>
        <w:t>二、评分细则</w:t>
      </w:r>
      <w:r>
        <w:rPr>
          <w:color w:val="000000"/>
        </w:rPr>
        <w:tab/>
      </w:r>
      <w:r>
        <w:rPr>
          <w:color w:val="000000"/>
        </w:rPr>
        <w:fldChar w:fldCharType="begin"/>
      </w:r>
      <w:r>
        <w:rPr>
          <w:color w:val="000000"/>
        </w:rPr>
        <w:instrText xml:space="preserve"> PAGEREF _Toc7387 </w:instrText>
      </w:r>
      <w:r>
        <w:rPr>
          <w:color w:val="000000"/>
        </w:rPr>
        <w:fldChar w:fldCharType="separate"/>
      </w:r>
      <w:r>
        <w:rPr>
          <w:color w:val="000000"/>
        </w:rPr>
        <w:t>23</w:t>
      </w:r>
      <w:r>
        <w:rPr>
          <w:color w:val="000000"/>
        </w:rPr>
        <w:fldChar w:fldCharType="end"/>
      </w:r>
      <w:r>
        <w:rPr>
          <w:rFonts w:ascii="等线" w:eastAsia="等线"/>
          <w:i w:val="0"/>
          <w:iCs w:val="0"/>
          <w:caps/>
          <w:color w:val="000000"/>
          <w:szCs w:val="20"/>
          <w:u w:val="single"/>
          <w:lang w:val="zh-CN"/>
        </w:rPr>
        <w:fldChar w:fldCharType="end"/>
      </w:r>
    </w:p>
    <w:p>
      <w:pPr>
        <w:pStyle w:val="24"/>
        <w:tabs>
          <w:tab w:val="right" w:leader="dot" w:pos="9202"/>
        </w:tabs>
        <w:rPr>
          <w:color w:val="000000"/>
        </w:rPr>
      </w:pPr>
      <w:r>
        <w:rPr>
          <w:rFonts w:ascii="等线" w:eastAsia="等线"/>
          <w:i/>
          <w:iCs/>
          <w:caps w:val="0"/>
          <w:color w:val="000000"/>
          <w:szCs w:val="20"/>
          <w:u w:val="single"/>
          <w:lang w:val="zh-CN"/>
        </w:rPr>
        <w:fldChar w:fldCharType="begin"/>
      </w:r>
      <w:r>
        <w:rPr>
          <w:rFonts w:ascii="等线" w:eastAsia="等线"/>
          <w:i/>
          <w:iCs/>
          <w:caps w:val="0"/>
          <w:color w:val="000000"/>
          <w:szCs w:val="20"/>
          <w:lang w:val="zh-CN"/>
        </w:rPr>
        <w:instrText xml:space="preserve"> HYPERLINK \l _Toc27316 </w:instrText>
      </w:r>
      <w:r>
        <w:rPr>
          <w:rFonts w:ascii="等线" w:eastAsia="等线"/>
          <w:i/>
          <w:iCs/>
          <w:caps w:val="0"/>
          <w:color w:val="000000"/>
          <w:szCs w:val="20"/>
          <w:lang w:val="zh-CN"/>
        </w:rPr>
        <w:fldChar w:fldCharType="separate"/>
      </w:r>
      <w:r>
        <w:rPr>
          <w:rFonts w:hint="eastAsia"/>
          <w:color w:val="000000"/>
        </w:rPr>
        <w:t>第三部分  采购需求</w:t>
      </w:r>
      <w:r>
        <w:rPr>
          <w:color w:val="000000"/>
        </w:rPr>
        <w:tab/>
      </w:r>
      <w:r>
        <w:rPr>
          <w:color w:val="000000"/>
        </w:rPr>
        <w:fldChar w:fldCharType="begin"/>
      </w:r>
      <w:r>
        <w:rPr>
          <w:color w:val="000000"/>
        </w:rPr>
        <w:instrText xml:space="preserve"> PAGEREF _Toc27316 </w:instrText>
      </w:r>
      <w:r>
        <w:rPr>
          <w:color w:val="000000"/>
        </w:rPr>
        <w:fldChar w:fldCharType="separate"/>
      </w:r>
      <w:r>
        <w:rPr>
          <w:color w:val="000000"/>
        </w:rPr>
        <w:t>25</w:t>
      </w:r>
      <w:r>
        <w:rPr>
          <w:color w:val="000000"/>
        </w:rPr>
        <w:fldChar w:fldCharType="end"/>
      </w:r>
      <w:r>
        <w:rPr>
          <w:rFonts w:ascii="等线" w:eastAsia="等线"/>
          <w:i/>
          <w:iCs/>
          <w:caps w:val="0"/>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_Toc29046 </w:instrText>
      </w:r>
      <w:r>
        <w:rPr>
          <w:rFonts w:ascii="等线" w:eastAsia="等线"/>
          <w:i w:val="0"/>
          <w:iCs w:val="0"/>
          <w:caps/>
          <w:color w:val="000000"/>
          <w:szCs w:val="20"/>
          <w:lang w:val="zh-CN"/>
        </w:rPr>
        <w:fldChar w:fldCharType="separate"/>
      </w:r>
      <w:r>
        <w:rPr>
          <w:rFonts w:hint="eastAsia"/>
          <w:color w:val="000000"/>
        </w:rPr>
        <w:t>一、招标一览表</w:t>
      </w:r>
      <w:r>
        <w:rPr>
          <w:color w:val="000000"/>
        </w:rPr>
        <w:tab/>
      </w:r>
      <w:r>
        <w:rPr>
          <w:color w:val="000000"/>
        </w:rPr>
        <w:fldChar w:fldCharType="begin"/>
      </w:r>
      <w:r>
        <w:rPr>
          <w:color w:val="000000"/>
        </w:rPr>
        <w:instrText xml:space="preserve"> PAGEREF _Toc29046 </w:instrText>
      </w:r>
      <w:r>
        <w:rPr>
          <w:color w:val="000000"/>
        </w:rPr>
        <w:fldChar w:fldCharType="separate"/>
      </w:r>
      <w:r>
        <w:rPr>
          <w:color w:val="000000"/>
        </w:rPr>
        <w:t>25</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_Toc7420 </w:instrText>
      </w:r>
      <w:r>
        <w:rPr>
          <w:rFonts w:ascii="等线" w:eastAsia="等线"/>
          <w:i w:val="0"/>
          <w:iCs w:val="0"/>
          <w:caps/>
          <w:color w:val="000000"/>
          <w:szCs w:val="20"/>
          <w:lang w:val="zh-CN"/>
        </w:rPr>
        <w:fldChar w:fldCharType="separate"/>
      </w:r>
      <w:r>
        <w:rPr>
          <w:rFonts w:hint="eastAsia"/>
          <w:color w:val="000000"/>
        </w:rPr>
        <w:t>二、招标需求</w:t>
      </w:r>
      <w:r>
        <w:rPr>
          <w:color w:val="000000"/>
        </w:rPr>
        <w:tab/>
      </w:r>
      <w:r>
        <w:rPr>
          <w:color w:val="000000"/>
        </w:rPr>
        <w:fldChar w:fldCharType="begin"/>
      </w:r>
      <w:r>
        <w:rPr>
          <w:color w:val="000000"/>
        </w:rPr>
        <w:instrText xml:space="preserve"> PAGEREF _Toc7420 </w:instrText>
      </w:r>
      <w:r>
        <w:rPr>
          <w:color w:val="000000"/>
        </w:rPr>
        <w:fldChar w:fldCharType="separate"/>
      </w:r>
      <w:r>
        <w:rPr>
          <w:color w:val="000000"/>
        </w:rPr>
        <w:t>25</w:t>
      </w:r>
      <w:r>
        <w:rPr>
          <w:color w:val="000000"/>
        </w:rPr>
        <w:fldChar w:fldCharType="end"/>
      </w:r>
      <w:r>
        <w:rPr>
          <w:rFonts w:ascii="等线" w:eastAsia="等线"/>
          <w:i w:val="0"/>
          <w:iCs w:val="0"/>
          <w:caps/>
          <w:color w:val="000000"/>
          <w:szCs w:val="20"/>
          <w:u w:val="single"/>
          <w:lang w:val="zh-CN"/>
        </w:rPr>
        <w:fldChar w:fldCharType="end"/>
      </w:r>
    </w:p>
    <w:p>
      <w:pPr>
        <w:pStyle w:val="18"/>
        <w:tabs>
          <w:tab w:val="right" w:leader="dot" w:pos="9202"/>
          <w:tab w:val="clear" w:pos="9192"/>
        </w:tabs>
        <w:rPr>
          <w:color w:val="000000"/>
        </w:rPr>
      </w:pPr>
      <w:r>
        <w:rPr>
          <w:rFonts w:ascii="等线" w:eastAsia="等线"/>
          <w:i w:val="0"/>
          <w:iCs w:val="0"/>
          <w:caps/>
          <w:color w:val="000000"/>
          <w:szCs w:val="20"/>
          <w:u w:val="single"/>
          <w:lang w:val="zh-CN"/>
        </w:rPr>
        <w:fldChar w:fldCharType="begin"/>
      </w:r>
      <w:r>
        <w:rPr>
          <w:rFonts w:ascii="等线" w:eastAsia="等线"/>
          <w:i w:val="0"/>
          <w:iCs w:val="0"/>
          <w:caps/>
          <w:color w:val="000000"/>
          <w:szCs w:val="20"/>
          <w:lang w:val="zh-CN"/>
        </w:rPr>
        <w:instrText xml:space="preserve"> HYPERLINK \l _Toc26874 </w:instrText>
      </w:r>
      <w:r>
        <w:rPr>
          <w:rFonts w:ascii="等线" w:eastAsia="等线"/>
          <w:i w:val="0"/>
          <w:iCs w:val="0"/>
          <w:caps/>
          <w:color w:val="000000"/>
          <w:szCs w:val="20"/>
          <w:lang w:val="zh-CN"/>
        </w:rPr>
        <w:fldChar w:fldCharType="separate"/>
      </w:r>
      <w:r>
        <w:rPr>
          <w:rFonts w:hint="eastAsia"/>
          <w:color w:val="000000"/>
          <w:lang w:val="en-US" w:eastAsia="zh-CN"/>
        </w:rPr>
        <w:t>1、</w:t>
      </w:r>
      <w:r>
        <w:rPr>
          <w:rFonts w:hint="eastAsia"/>
          <w:color w:val="000000"/>
          <w:lang w:eastAsia="zh-CN"/>
        </w:rPr>
        <w:t>技术需求：</w:t>
      </w:r>
      <w:r>
        <w:rPr>
          <w:color w:val="000000"/>
        </w:rPr>
        <w:tab/>
      </w:r>
      <w:r>
        <w:rPr>
          <w:color w:val="000000"/>
        </w:rPr>
        <w:fldChar w:fldCharType="begin"/>
      </w:r>
      <w:r>
        <w:rPr>
          <w:color w:val="000000"/>
        </w:rPr>
        <w:instrText xml:space="preserve"> PAGEREF _Toc26874 </w:instrText>
      </w:r>
      <w:r>
        <w:rPr>
          <w:color w:val="000000"/>
        </w:rPr>
        <w:fldChar w:fldCharType="separate"/>
      </w:r>
      <w:r>
        <w:rPr>
          <w:color w:val="000000"/>
        </w:rPr>
        <w:t>25</w:t>
      </w:r>
      <w:r>
        <w:rPr>
          <w:color w:val="000000"/>
        </w:rPr>
        <w:fldChar w:fldCharType="end"/>
      </w:r>
      <w:r>
        <w:rPr>
          <w:rFonts w:ascii="等线" w:eastAsia="等线"/>
          <w:i w:val="0"/>
          <w:iCs w:val="0"/>
          <w:caps/>
          <w:color w:val="000000"/>
          <w:szCs w:val="20"/>
          <w:u w:val="single"/>
          <w:lang w:val="zh-CN"/>
        </w:rPr>
        <w:fldChar w:fldCharType="end"/>
      </w:r>
    </w:p>
    <w:p>
      <w:pPr>
        <w:pStyle w:val="24"/>
        <w:tabs>
          <w:tab w:val="right" w:leader="dot" w:pos="9202"/>
        </w:tabs>
        <w:rPr>
          <w:color w:val="000000"/>
        </w:rPr>
      </w:pPr>
      <w:r>
        <w:rPr>
          <w:rFonts w:ascii="等线" w:eastAsia="等线"/>
          <w:i/>
          <w:iCs/>
          <w:caps w:val="0"/>
          <w:color w:val="000000"/>
          <w:szCs w:val="20"/>
          <w:u w:val="single"/>
          <w:lang w:val="zh-CN"/>
        </w:rPr>
        <w:fldChar w:fldCharType="begin"/>
      </w:r>
      <w:r>
        <w:rPr>
          <w:rFonts w:ascii="等线" w:eastAsia="等线"/>
          <w:i/>
          <w:iCs/>
          <w:caps w:val="0"/>
          <w:color w:val="000000"/>
          <w:szCs w:val="20"/>
          <w:lang w:val="zh-CN"/>
        </w:rPr>
        <w:instrText xml:space="preserve"> HYPERLINK \l _Toc12160 </w:instrText>
      </w:r>
      <w:r>
        <w:rPr>
          <w:rFonts w:ascii="等线" w:eastAsia="等线"/>
          <w:i/>
          <w:iCs/>
          <w:caps w:val="0"/>
          <w:color w:val="000000"/>
          <w:szCs w:val="20"/>
          <w:lang w:val="zh-CN"/>
        </w:rPr>
        <w:fldChar w:fldCharType="separate"/>
      </w:r>
      <w:r>
        <w:rPr>
          <w:rFonts w:hint="eastAsia"/>
          <w:color w:val="000000"/>
        </w:rPr>
        <w:t>第四部分  投标文件格式</w:t>
      </w:r>
      <w:r>
        <w:rPr>
          <w:color w:val="000000"/>
        </w:rPr>
        <w:tab/>
      </w:r>
      <w:r>
        <w:rPr>
          <w:color w:val="000000"/>
        </w:rPr>
        <w:fldChar w:fldCharType="begin"/>
      </w:r>
      <w:r>
        <w:rPr>
          <w:color w:val="000000"/>
        </w:rPr>
        <w:instrText xml:space="preserve"> PAGEREF _Toc12160 </w:instrText>
      </w:r>
      <w:r>
        <w:rPr>
          <w:color w:val="000000"/>
        </w:rPr>
        <w:fldChar w:fldCharType="separate"/>
      </w:r>
      <w:r>
        <w:rPr>
          <w:color w:val="000000"/>
        </w:rPr>
        <w:t>74</w:t>
      </w:r>
      <w:r>
        <w:rPr>
          <w:color w:val="000000"/>
        </w:rPr>
        <w:fldChar w:fldCharType="end"/>
      </w:r>
      <w:r>
        <w:rPr>
          <w:rFonts w:ascii="等线" w:eastAsia="等线"/>
          <w:i/>
          <w:iCs/>
          <w:caps w:val="0"/>
          <w:color w:val="000000"/>
          <w:szCs w:val="20"/>
          <w:u w:val="single"/>
          <w:lang w:val="zh-CN"/>
        </w:rPr>
        <w:fldChar w:fldCharType="end"/>
      </w:r>
    </w:p>
    <w:p>
      <w:pPr>
        <w:pStyle w:val="24"/>
        <w:tabs>
          <w:tab w:val="right" w:leader="dot" w:pos="9202"/>
        </w:tabs>
        <w:rPr>
          <w:color w:val="000000"/>
        </w:rPr>
      </w:pPr>
      <w:r>
        <w:rPr>
          <w:rFonts w:ascii="等线" w:eastAsia="等线"/>
          <w:i/>
          <w:iCs/>
          <w:caps w:val="0"/>
          <w:color w:val="000000"/>
          <w:szCs w:val="20"/>
          <w:u w:val="single"/>
          <w:lang w:val="zh-CN"/>
        </w:rPr>
        <w:fldChar w:fldCharType="begin"/>
      </w:r>
      <w:r>
        <w:rPr>
          <w:rFonts w:ascii="等线" w:eastAsia="等线"/>
          <w:i/>
          <w:iCs/>
          <w:caps w:val="0"/>
          <w:color w:val="000000"/>
          <w:szCs w:val="20"/>
          <w:lang w:val="zh-CN"/>
        </w:rPr>
        <w:instrText xml:space="preserve"> HYPERLINK \l _Toc23003 </w:instrText>
      </w:r>
      <w:r>
        <w:rPr>
          <w:rFonts w:ascii="等线" w:eastAsia="等线"/>
          <w:i/>
          <w:iCs/>
          <w:caps w:val="0"/>
          <w:color w:val="000000"/>
          <w:szCs w:val="20"/>
          <w:lang w:val="zh-CN"/>
        </w:rPr>
        <w:fldChar w:fldCharType="separate"/>
      </w:r>
      <w:r>
        <w:rPr>
          <w:rFonts w:hint="eastAsia"/>
          <w:color w:val="000000"/>
        </w:rPr>
        <w:t>第五部分  杭州市萧山区政府采购合同</w:t>
      </w:r>
      <w:r>
        <w:rPr>
          <w:color w:val="000000"/>
        </w:rPr>
        <w:tab/>
      </w:r>
      <w:r>
        <w:rPr>
          <w:color w:val="000000"/>
        </w:rPr>
        <w:fldChar w:fldCharType="begin"/>
      </w:r>
      <w:r>
        <w:rPr>
          <w:color w:val="000000"/>
        </w:rPr>
        <w:instrText xml:space="preserve"> PAGEREF _Toc23003 </w:instrText>
      </w:r>
      <w:r>
        <w:rPr>
          <w:color w:val="000000"/>
        </w:rPr>
        <w:fldChar w:fldCharType="separate"/>
      </w:r>
      <w:r>
        <w:rPr>
          <w:color w:val="000000"/>
        </w:rPr>
        <w:t>85</w:t>
      </w:r>
      <w:r>
        <w:rPr>
          <w:color w:val="000000"/>
        </w:rPr>
        <w:fldChar w:fldCharType="end"/>
      </w:r>
      <w:r>
        <w:rPr>
          <w:rFonts w:ascii="等线" w:eastAsia="等线"/>
          <w:i/>
          <w:iCs/>
          <w:caps w:val="0"/>
          <w:color w:val="000000"/>
          <w:szCs w:val="20"/>
          <w:u w:val="single"/>
          <w:lang w:val="zh-CN"/>
        </w:rPr>
        <w:fldChar w:fldCharType="end"/>
      </w:r>
    </w:p>
    <w:p>
      <w:pPr>
        <w:rPr>
          <w:color w:val="000000"/>
        </w:rPr>
      </w:pPr>
      <w:r>
        <w:rPr>
          <w:rFonts w:ascii="等线" w:eastAsia="等线"/>
          <w:i/>
          <w:iCs/>
          <w:caps/>
          <w:color w:val="000000"/>
          <w:szCs w:val="20"/>
          <w:u w:val="single"/>
          <w:lang w:val="zh-CN"/>
        </w:rPr>
        <w:fldChar w:fldCharType="end"/>
      </w:r>
    </w:p>
    <w:p>
      <w:pPr>
        <w:spacing w:line="400" w:lineRule="exact"/>
        <w:ind w:firstLine="960" w:firstLineChars="400"/>
        <w:rPr>
          <w:rFonts w:hint="eastAsia" w:ascii="宋体" w:hAnsi="宋体" w:cs="宋体"/>
          <w:color w:val="000000"/>
          <w:sz w:val="24"/>
        </w:rPr>
      </w:pPr>
    </w:p>
    <w:p>
      <w:pPr>
        <w:spacing w:line="400" w:lineRule="exact"/>
        <w:rPr>
          <w:rFonts w:hint="eastAsia" w:ascii="宋体" w:hAnsi="宋体" w:cs="宋体"/>
          <w:bCs/>
          <w:color w:val="000000"/>
          <w:sz w:val="24"/>
        </w:rPr>
      </w:pPr>
      <w:r>
        <w:rPr>
          <w:rFonts w:hint="eastAsia" w:ascii="宋体" w:hAnsi="宋体" w:cs="宋体"/>
          <w:color w:val="000000"/>
          <w:sz w:val="24"/>
        </w:rPr>
        <w:t xml:space="preserve">             </w:t>
      </w:r>
    </w:p>
    <w:p>
      <w:pPr>
        <w:ind w:left="643" w:hanging="643"/>
        <w:jc w:val="center"/>
        <w:rPr>
          <w:rFonts w:hint="eastAsia" w:ascii="宋体" w:hAnsi="宋体"/>
          <w:color w:val="000000"/>
          <w:sz w:val="24"/>
        </w:rPr>
      </w:pPr>
    </w:p>
    <w:p>
      <w:pPr>
        <w:spacing w:line="360" w:lineRule="auto"/>
        <w:ind w:firstLine="480" w:firstLineChars="200"/>
        <w:rPr>
          <w:rFonts w:ascii="宋体" w:hAnsi="宋体"/>
          <w:color w:val="000000"/>
          <w:sz w:val="24"/>
        </w:rPr>
        <w:sectPr>
          <w:headerReference r:id="rId4" w:type="first"/>
          <w:footerReference r:id="rId7" w:type="first"/>
          <w:headerReference r:id="rId3" w:type="default"/>
          <w:footerReference r:id="rId5" w:type="default"/>
          <w:footerReference r:id="rId6" w:type="even"/>
          <w:pgSz w:w="11906" w:h="16838"/>
          <w:pgMar w:top="1418" w:right="1286" w:bottom="1134" w:left="1418" w:header="851" w:footer="992" w:gutter="0"/>
          <w:pgNumType w:fmt="decimal"/>
          <w:cols w:space="720" w:num="1"/>
          <w:titlePg/>
          <w:docGrid w:linePitch="312" w:charSpace="0"/>
        </w:sectPr>
      </w:pPr>
    </w:p>
    <w:p>
      <w:pPr>
        <w:pStyle w:val="2"/>
        <w:rPr>
          <w:color w:val="000000"/>
        </w:rPr>
      </w:pPr>
      <w:bookmarkStart w:id="1" w:name="_Toc331323737"/>
      <w:bookmarkStart w:id="2" w:name="_Toc7311"/>
      <w:bookmarkStart w:id="3" w:name="_Toc91899870"/>
      <w:r>
        <w:rPr>
          <w:rFonts w:hint="eastAsia"/>
          <w:color w:val="000000"/>
        </w:rPr>
        <w:t>第一部分  招标公告</w:t>
      </w:r>
      <w:bookmarkEnd w:id="1"/>
      <w:bookmarkEnd w:id="2"/>
    </w:p>
    <w:p>
      <w:pPr>
        <w:keepNext w:val="0"/>
        <w:keepLines w:val="0"/>
        <w:pageBreakBefore w:val="0"/>
        <w:widowControl/>
        <w:kinsoku/>
        <w:wordWrap/>
        <w:overflowPunct/>
        <w:topLinePunct w:val="0"/>
        <w:autoSpaceDE/>
        <w:autoSpaceDN/>
        <w:bidi w:val="0"/>
        <w:adjustRightInd/>
        <w:snapToGrid/>
        <w:spacing w:before="75" w:after="75" w:line="440" w:lineRule="exact"/>
        <w:ind w:firstLine="720" w:firstLineChars="300"/>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根据《中华人民共和国政府采购法》等有关规定，</w:t>
      </w:r>
      <w:r>
        <w:rPr>
          <w:rFonts w:hint="eastAsia" w:ascii="宋体" w:hAnsi="宋体" w:cs="Arial"/>
          <w:color w:val="000000"/>
          <w:kern w:val="0"/>
          <w:sz w:val="24"/>
          <w:lang w:eastAsia="zh-CN"/>
        </w:rPr>
        <w:t>杭州博望建设工程招标投标代理有限公司</w:t>
      </w:r>
      <w:r>
        <w:rPr>
          <w:rFonts w:hint="eastAsia" w:ascii="宋体" w:hAnsi="宋体" w:cs="Arial"/>
          <w:color w:val="000000"/>
          <w:kern w:val="0"/>
          <w:sz w:val="24"/>
        </w:rPr>
        <w:t>受</w:t>
      </w:r>
      <w:r>
        <w:rPr>
          <w:rFonts w:hint="eastAsia" w:ascii="宋体" w:hAnsi="宋体" w:cs="Arial"/>
          <w:color w:val="000000"/>
          <w:kern w:val="0"/>
          <w:sz w:val="24"/>
          <w:lang w:eastAsia="zh-CN"/>
        </w:rPr>
        <w:t>萧山经济技术开发区市政公用建设管理服务中心</w:t>
      </w:r>
      <w:r>
        <w:rPr>
          <w:rFonts w:hint="eastAsia" w:ascii="宋体" w:hAnsi="宋体" w:cs="Arial"/>
          <w:color w:val="000000"/>
          <w:kern w:val="0"/>
          <w:sz w:val="24"/>
        </w:rPr>
        <w:t>委托，现就</w:t>
      </w:r>
      <w:r>
        <w:rPr>
          <w:rFonts w:hint="eastAsia" w:ascii="宋体" w:hAnsi="宋体" w:cs="宋体"/>
          <w:color w:val="000000"/>
          <w:sz w:val="24"/>
        </w:rPr>
        <w:t>市北交警中队过渡用房智能化弱电政府采购项目</w:t>
      </w:r>
      <w:r>
        <w:rPr>
          <w:rFonts w:hint="eastAsia" w:ascii="宋体" w:hAnsi="宋体" w:cs="Arial"/>
          <w:color w:val="000000"/>
          <w:kern w:val="0"/>
          <w:sz w:val="24"/>
        </w:rPr>
        <w:t>进行公开招标，欢迎国内合格的供应商前来投标。</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cs="Arial"/>
          <w:b/>
          <w:bCs/>
          <w:color w:val="000000"/>
          <w:kern w:val="0"/>
          <w:sz w:val="24"/>
        </w:rPr>
        <w:t xml:space="preserve">一．招标项目编号: </w:t>
      </w:r>
      <w:r>
        <w:rPr>
          <w:rFonts w:ascii="宋体" w:hAnsi="宋体" w:cs="Arial"/>
          <w:color w:val="000000"/>
          <w:kern w:val="0"/>
          <w:sz w:val="24"/>
        </w:rPr>
        <w:t xml:space="preserve"> </w:t>
      </w:r>
      <w:r>
        <w:rPr>
          <w:rFonts w:hint="eastAsia" w:ascii="宋体" w:hAnsi="宋体" w:cs="宋体"/>
          <w:color w:val="000000"/>
          <w:sz w:val="24"/>
        </w:rPr>
        <w:t>XZCGDL2019-GK-ZCY0</w:t>
      </w:r>
      <w:r>
        <w:rPr>
          <w:rFonts w:hint="eastAsia" w:ascii="宋体" w:hAnsi="宋体" w:cs="宋体"/>
          <w:color w:val="000000"/>
          <w:sz w:val="24"/>
          <w:lang w:val="en-US" w:eastAsia="zh-CN"/>
        </w:rPr>
        <w:t>07</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hint="eastAsia" w:ascii="宋体" w:hAnsi="宋体" w:cs="Arial"/>
          <w:b/>
          <w:bCs/>
          <w:color w:val="000000"/>
          <w:kern w:val="0"/>
          <w:sz w:val="24"/>
        </w:rPr>
      </w:pPr>
      <w:r>
        <w:rPr>
          <w:rFonts w:hint="eastAsia" w:ascii="宋体" w:hAnsi="宋体" w:cs="Arial"/>
          <w:b/>
          <w:bCs/>
          <w:color w:val="000000"/>
          <w:kern w:val="0"/>
          <w:sz w:val="24"/>
        </w:rPr>
        <w:t>二．采购组织类型：</w:t>
      </w:r>
      <w:r>
        <w:rPr>
          <w:rFonts w:hint="eastAsia" w:ascii="宋体" w:hAnsi="宋体" w:cs="Arial"/>
          <w:b w:val="0"/>
          <w:bCs w:val="0"/>
          <w:color w:val="000000"/>
          <w:kern w:val="0"/>
          <w:sz w:val="24"/>
        </w:rPr>
        <w:t>政府分散采购-分散委托中介</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宋体" w:hAnsi="宋体" w:cs="Arial"/>
          <w:b/>
          <w:bCs/>
          <w:color w:val="000000"/>
          <w:kern w:val="0"/>
          <w:sz w:val="24"/>
        </w:rPr>
      </w:pPr>
      <w:r>
        <w:rPr>
          <w:rFonts w:hint="eastAsia" w:ascii="宋体" w:hAnsi="宋体" w:cs="Arial"/>
          <w:b/>
          <w:bCs/>
          <w:color w:val="000000"/>
          <w:kern w:val="0"/>
          <w:sz w:val="24"/>
        </w:rPr>
        <w:t>三．招标项目概况：</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027"/>
        <w:gridCol w:w="1158"/>
        <w:gridCol w:w="1158"/>
        <w:gridCol w:w="1211"/>
        <w:gridCol w:w="2136"/>
        <w:gridCol w:w="1314"/>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0" w:hRule="atLeast"/>
          <w:jc w:val="center"/>
        </w:trPr>
        <w:tc>
          <w:tcPr>
            <w:tcW w:w="827" w:type="dxa"/>
            <w:tcBorders>
              <w:top w:val="single" w:color="auto" w:sz="4"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ascii="Arial" w:hAnsi="Arial" w:cs="Arial"/>
                <w:color w:val="000000"/>
                <w:kern w:val="0"/>
                <w:sz w:val="24"/>
              </w:rPr>
            </w:pPr>
            <w:r>
              <w:rPr>
                <w:rFonts w:hint="eastAsia" w:ascii="Arial" w:hAnsi="Arial" w:cs="Arial"/>
                <w:color w:val="000000"/>
                <w:kern w:val="0"/>
                <w:sz w:val="24"/>
              </w:rPr>
              <w:t>标项序号</w:t>
            </w:r>
          </w:p>
        </w:tc>
        <w:tc>
          <w:tcPr>
            <w:tcW w:w="2027" w:type="dxa"/>
            <w:tcBorders>
              <w:top w:val="single" w:color="auto" w:sz="4"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ascii="Arial" w:hAnsi="Arial" w:cs="Arial"/>
                <w:color w:val="000000"/>
                <w:kern w:val="0"/>
                <w:sz w:val="24"/>
              </w:rPr>
            </w:pPr>
            <w:r>
              <w:rPr>
                <w:rFonts w:hint="eastAsia" w:ascii="Arial" w:hAnsi="Arial" w:cs="Arial"/>
                <w:color w:val="000000"/>
                <w:kern w:val="0"/>
                <w:sz w:val="24"/>
              </w:rPr>
              <w:t>项目名称</w:t>
            </w:r>
          </w:p>
        </w:tc>
        <w:tc>
          <w:tcPr>
            <w:tcW w:w="1158" w:type="dxa"/>
            <w:tcBorders>
              <w:top w:val="single" w:color="auto" w:sz="4"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ascii="Arial" w:hAnsi="Arial" w:cs="Arial"/>
                <w:color w:val="000000"/>
                <w:kern w:val="0"/>
                <w:sz w:val="24"/>
              </w:rPr>
            </w:pPr>
            <w:r>
              <w:rPr>
                <w:rFonts w:hint="eastAsia" w:ascii="Arial" w:hAnsi="Arial" w:cs="Arial"/>
                <w:color w:val="000000"/>
                <w:kern w:val="0"/>
                <w:sz w:val="24"/>
              </w:rPr>
              <w:t>数量</w:t>
            </w:r>
          </w:p>
        </w:tc>
        <w:tc>
          <w:tcPr>
            <w:tcW w:w="1158" w:type="dxa"/>
            <w:tcBorders>
              <w:top w:val="single" w:color="auto" w:sz="4"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ascii="Arial" w:hAnsi="Arial" w:cs="Arial"/>
                <w:color w:val="000000"/>
                <w:kern w:val="0"/>
                <w:sz w:val="24"/>
              </w:rPr>
            </w:pPr>
            <w:r>
              <w:rPr>
                <w:rFonts w:hint="eastAsia" w:ascii="Arial" w:hAnsi="Arial" w:cs="Arial"/>
                <w:color w:val="000000"/>
                <w:kern w:val="0"/>
                <w:sz w:val="24"/>
              </w:rPr>
              <w:t>单位</w:t>
            </w:r>
          </w:p>
        </w:tc>
        <w:tc>
          <w:tcPr>
            <w:tcW w:w="1211" w:type="dxa"/>
            <w:tcBorders>
              <w:top w:val="single" w:color="auto" w:sz="4"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hint="eastAsia" w:ascii="Arial" w:hAnsi="Arial" w:cs="Arial"/>
                <w:color w:val="000000"/>
                <w:kern w:val="0"/>
                <w:sz w:val="24"/>
              </w:rPr>
            </w:pPr>
            <w:r>
              <w:rPr>
                <w:rFonts w:hint="eastAsia" w:ascii="Arial" w:hAnsi="Arial" w:cs="Arial"/>
                <w:color w:val="000000"/>
                <w:kern w:val="0"/>
                <w:sz w:val="24"/>
              </w:rPr>
              <w:t>预算</w:t>
            </w:r>
          </w:p>
          <w:p>
            <w:pPr>
              <w:widowControl/>
              <w:spacing w:before="75" w:after="75" w:line="360" w:lineRule="atLeast"/>
              <w:jc w:val="center"/>
              <w:rPr>
                <w:rFonts w:ascii="Arial" w:hAnsi="Arial" w:cs="Arial"/>
                <w:color w:val="000000"/>
                <w:kern w:val="0"/>
                <w:sz w:val="24"/>
              </w:rPr>
            </w:pPr>
            <w:r>
              <w:rPr>
                <w:rFonts w:hint="eastAsia" w:ascii="Arial" w:hAnsi="Arial" w:cs="Arial"/>
                <w:color w:val="000000"/>
                <w:kern w:val="0"/>
                <w:sz w:val="24"/>
              </w:rPr>
              <w:t>（万</w:t>
            </w:r>
            <w:r>
              <w:rPr>
                <w:rFonts w:hint="eastAsia" w:ascii="Arial" w:hAnsi="Arial" w:cs="Arial"/>
                <w:color w:val="000000"/>
                <w:kern w:val="0"/>
                <w:sz w:val="24"/>
                <w:lang w:eastAsia="zh-CN"/>
              </w:rPr>
              <w:t>元</w:t>
            </w:r>
            <w:r>
              <w:rPr>
                <w:rFonts w:hint="eastAsia" w:ascii="Arial" w:hAnsi="Arial" w:cs="Arial"/>
                <w:color w:val="000000"/>
                <w:kern w:val="0"/>
                <w:sz w:val="24"/>
              </w:rPr>
              <w:t>）</w:t>
            </w:r>
          </w:p>
        </w:tc>
        <w:tc>
          <w:tcPr>
            <w:tcW w:w="2136" w:type="dxa"/>
            <w:tcBorders>
              <w:top w:val="single" w:color="auto" w:sz="4"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hint="eastAsia" w:ascii="Arial" w:hAnsi="Arial" w:cs="Arial"/>
                <w:color w:val="000000"/>
                <w:kern w:val="0"/>
                <w:sz w:val="24"/>
              </w:rPr>
            </w:pPr>
            <w:r>
              <w:rPr>
                <w:rFonts w:hint="eastAsia" w:ascii="宋体" w:hAnsi="宋体"/>
                <w:color w:val="000000"/>
                <w:sz w:val="24"/>
                <w:szCs w:val="28"/>
              </w:rPr>
              <w:t>简要规格描述或标项</w:t>
            </w:r>
            <w:r>
              <w:rPr>
                <w:rFonts w:ascii="宋体" w:hAnsi="宋体"/>
                <w:color w:val="000000"/>
                <w:sz w:val="24"/>
                <w:szCs w:val="28"/>
              </w:rPr>
              <w:t>基本概况介绍</w:t>
            </w:r>
          </w:p>
        </w:tc>
        <w:tc>
          <w:tcPr>
            <w:tcW w:w="1314" w:type="dxa"/>
            <w:tcBorders>
              <w:top w:val="single" w:color="auto" w:sz="4"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ascii="Arial" w:hAnsi="Arial" w:cs="Arial"/>
                <w:color w:val="000000"/>
                <w:kern w:val="0"/>
                <w:sz w:val="24"/>
              </w:rPr>
            </w:pPr>
            <w:r>
              <w:rPr>
                <w:rFonts w:hint="eastAsia" w:ascii="Arial" w:hAnsi="Arial" w:cs="Arial"/>
                <w:color w:val="000000"/>
                <w:kern w:val="0"/>
                <w:sz w:val="24"/>
              </w:rPr>
              <w:t>最高限价（万</w:t>
            </w:r>
            <w:r>
              <w:rPr>
                <w:rFonts w:hint="eastAsia" w:ascii="Arial" w:hAnsi="Arial" w:cs="Arial"/>
                <w:color w:val="000000"/>
                <w:kern w:val="0"/>
                <w:sz w:val="24"/>
                <w:lang w:eastAsia="zh-CN"/>
              </w:rPr>
              <w:t>元</w:t>
            </w:r>
            <w:r>
              <w:rPr>
                <w:rFonts w:hint="eastAsia" w:ascii="Arial" w:hAnsi="Arial" w:cs="Arial"/>
                <w:color w:val="000000"/>
                <w:kern w:val="0"/>
                <w:sz w:val="24"/>
              </w:rPr>
              <w:t>）</w:t>
            </w:r>
          </w:p>
        </w:tc>
        <w:tc>
          <w:tcPr>
            <w:tcW w:w="838" w:type="dxa"/>
            <w:tcBorders>
              <w:top w:val="single" w:color="auto" w:sz="4"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hint="eastAsia" w:ascii="Arial" w:hAnsi="Arial" w:cs="Arial"/>
                <w:color w:val="000000"/>
                <w:kern w:val="0"/>
                <w:sz w:val="24"/>
              </w:rPr>
            </w:pPr>
            <w:r>
              <w:rPr>
                <w:rFonts w:hint="eastAsia" w:ascii="Arial" w:hAnsi="Arial" w:cs="Arial"/>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6" w:hRule="atLeast"/>
          <w:jc w:val="center"/>
        </w:trPr>
        <w:tc>
          <w:tcPr>
            <w:tcW w:w="827" w:type="dxa"/>
            <w:tcBorders>
              <w:top w:val="single" w:color="auto" w:sz="12"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hint="eastAsia" w:ascii="Arial" w:hAnsi="Arial" w:eastAsia="宋体" w:cs="Arial"/>
                <w:color w:val="000000"/>
                <w:kern w:val="0"/>
                <w:sz w:val="24"/>
                <w:lang w:val="en-US" w:eastAsia="zh-CN"/>
              </w:rPr>
            </w:pPr>
            <w:r>
              <w:rPr>
                <w:rFonts w:hint="eastAsia" w:ascii="Arial" w:hAnsi="Arial" w:cs="Arial"/>
                <w:color w:val="000000"/>
                <w:kern w:val="0"/>
                <w:sz w:val="24"/>
                <w:lang w:val="en-US" w:eastAsia="zh-CN"/>
              </w:rPr>
              <w:t>1</w:t>
            </w:r>
          </w:p>
        </w:tc>
        <w:tc>
          <w:tcPr>
            <w:tcW w:w="2027" w:type="dxa"/>
            <w:tcBorders>
              <w:top w:val="single" w:color="auto" w:sz="12"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left"/>
              <w:rPr>
                <w:rFonts w:ascii="Arial" w:hAnsi="Arial" w:cs="Arial"/>
                <w:color w:val="000000"/>
                <w:kern w:val="0"/>
                <w:sz w:val="24"/>
              </w:rPr>
            </w:pPr>
            <w:r>
              <w:rPr>
                <w:rFonts w:hint="eastAsia" w:ascii="宋体" w:hAnsi="宋体" w:cs="宋体"/>
                <w:color w:val="000000"/>
                <w:sz w:val="24"/>
              </w:rPr>
              <w:t>市北交警中队过渡用房智能化弱电政府采购项目</w:t>
            </w:r>
          </w:p>
        </w:tc>
        <w:tc>
          <w:tcPr>
            <w:tcW w:w="1158" w:type="dxa"/>
            <w:tcBorders>
              <w:top w:val="single" w:color="auto" w:sz="12"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hint="eastAsia" w:ascii="Arial" w:hAnsi="Arial" w:eastAsia="宋体" w:cs="Arial"/>
                <w:color w:val="000000"/>
                <w:kern w:val="0"/>
                <w:sz w:val="24"/>
                <w:lang w:val="en-US" w:eastAsia="zh-CN"/>
              </w:rPr>
            </w:pPr>
            <w:r>
              <w:rPr>
                <w:rFonts w:hint="eastAsia" w:ascii="Arial" w:hAnsi="Arial" w:cs="Arial"/>
                <w:color w:val="000000"/>
                <w:kern w:val="0"/>
                <w:sz w:val="24"/>
                <w:lang w:val="en-US" w:eastAsia="zh-CN"/>
              </w:rPr>
              <w:t>1</w:t>
            </w:r>
          </w:p>
        </w:tc>
        <w:tc>
          <w:tcPr>
            <w:tcW w:w="1158" w:type="dxa"/>
            <w:tcBorders>
              <w:top w:val="single" w:color="auto" w:sz="12"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hint="eastAsia" w:ascii="Arial" w:hAnsi="Arial" w:eastAsia="宋体" w:cs="Arial"/>
                <w:color w:val="000000"/>
                <w:kern w:val="0"/>
                <w:sz w:val="24"/>
                <w:lang w:eastAsia="zh-CN"/>
              </w:rPr>
            </w:pPr>
            <w:r>
              <w:rPr>
                <w:rFonts w:hint="eastAsia" w:ascii="Arial" w:hAnsi="Arial" w:cs="Arial"/>
                <w:color w:val="000000"/>
                <w:kern w:val="0"/>
                <w:sz w:val="24"/>
                <w:lang w:eastAsia="zh-CN"/>
              </w:rPr>
              <w:t>批</w:t>
            </w:r>
          </w:p>
        </w:tc>
        <w:tc>
          <w:tcPr>
            <w:tcW w:w="1211" w:type="dxa"/>
            <w:tcBorders>
              <w:top w:val="single" w:color="auto" w:sz="12"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hint="eastAsia" w:ascii="Arial" w:hAnsi="Arial" w:eastAsia="宋体" w:cs="Arial"/>
                <w:color w:val="000000"/>
                <w:kern w:val="0"/>
                <w:sz w:val="24"/>
                <w:lang w:val="en-US" w:eastAsia="zh-CN"/>
              </w:rPr>
            </w:pPr>
            <w:r>
              <w:rPr>
                <w:rFonts w:hint="eastAsia" w:ascii="Arial" w:hAnsi="Arial" w:cs="Arial"/>
                <w:color w:val="000000"/>
                <w:kern w:val="0"/>
                <w:sz w:val="24"/>
                <w:lang w:val="en-US" w:eastAsia="zh-CN"/>
              </w:rPr>
              <w:t>600.00</w:t>
            </w:r>
          </w:p>
        </w:tc>
        <w:tc>
          <w:tcPr>
            <w:tcW w:w="2136" w:type="dxa"/>
            <w:tcBorders>
              <w:top w:val="single" w:color="auto" w:sz="12"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ascii="Arial" w:hAnsi="Arial" w:cs="Arial"/>
                <w:color w:val="000000"/>
                <w:kern w:val="0"/>
                <w:sz w:val="24"/>
              </w:rPr>
            </w:pPr>
            <w:r>
              <w:rPr>
                <w:rFonts w:hint="eastAsia" w:ascii="Arial" w:hAnsi="Arial" w:cs="Arial"/>
                <w:color w:val="000000"/>
                <w:kern w:val="0"/>
                <w:sz w:val="24"/>
              </w:rPr>
              <w:t>详见采购需求</w:t>
            </w:r>
          </w:p>
        </w:tc>
        <w:tc>
          <w:tcPr>
            <w:tcW w:w="1314" w:type="dxa"/>
            <w:tcBorders>
              <w:top w:val="single" w:color="auto" w:sz="12"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ascii="Arial" w:hAnsi="Arial" w:cs="Arial"/>
                <w:color w:val="000000"/>
                <w:kern w:val="0"/>
                <w:sz w:val="24"/>
                <w:lang w:val="en-US"/>
              </w:rPr>
            </w:pPr>
            <w:r>
              <w:rPr>
                <w:rFonts w:hint="eastAsia" w:ascii="Arial" w:hAnsi="Arial" w:cs="Arial"/>
                <w:color w:val="000000"/>
                <w:kern w:val="0"/>
                <w:sz w:val="24"/>
                <w:lang w:val="en-US" w:eastAsia="zh-CN"/>
              </w:rPr>
              <w:t>530.00</w:t>
            </w:r>
          </w:p>
        </w:tc>
        <w:tc>
          <w:tcPr>
            <w:tcW w:w="838" w:type="dxa"/>
            <w:tcBorders>
              <w:top w:val="single" w:color="auto" w:sz="12" w:space="0"/>
              <w:left w:val="single" w:color="auto" w:sz="12" w:space="0"/>
              <w:bottom w:val="single" w:color="auto" w:sz="12" w:space="0"/>
              <w:right w:val="single" w:color="auto" w:sz="12" w:space="0"/>
            </w:tcBorders>
            <w:shd w:val="clear" w:color="auto" w:fill="D9D9D9"/>
            <w:noWrap w:val="0"/>
            <w:vAlign w:val="center"/>
          </w:tcPr>
          <w:p>
            <w:pPr>
              <w:widowControl/>
              <w:spacing w:before="75" w:after="75" w:line="360" w:lineRule="atLeast"/>
              <w:jc w:val="center"/>
              <w:rPr>
                <w:rFonts w:ascii="Arial" w:hAnsi="Arial" w:cs="Arial"/>
                <w:color w:val="000000"/>
                <w:kern w:val="0"/>
                <w:sz w:val="24"/>
              </w:rPr>
            </w:pPr>
          </w:p>
        </w:tc>
      </w:tr>
    </w:tbl>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cs="Arial"/>
          <w:b/>
          <w:bCs/>
          <w:color w:val="000000"/>
          <w:kern w:val="0"/>
          <w:sz w:val="24"/>
        </w:rPr>
        <w:t>四．投标供应商资格要求:</w:t>
      </w:r>
    </w:p>
    <w:p>
      <w:pPr>
        <w:keepNext w:val="0"/>
        <w:keepLines w:val="0"/>
        <w:pageBreakBefore w:val="0"/>
        <w:widowControl/>
        <w:kinsoku/>
        <w:wordWrap/>
        <w:overflowPunct/>
        <w:topLinePunct w:val="0"/>
        <w:autoSpaceDE/>
        <w:autoSpaceDN/>
        <w:bidi w:val="0"/>
        <w:adjustRightInd/>
        <w:snapToGrid/>
        <w:spacing w:before="75" w:after="75" w:line="440" w:lineRule="exact"/>
        <w:ind w:firstLine="540"/>
        <w:jc w:val="left"/>
        <w:textAlignment w:val="auto"/>
        <w:outlineLvl w:val="9"/>
        <w:rPr>
          <w:rFonts w:ascii="宋体" w:hAnsi="宋体" w:cs="Arial"/>
          <w:color w:val="000000"/>
          <w:kern w:val="0"/>
          <w:sz w:val="24"/>
        </w:rPr>
      </w:pPr>
      <w:r>
        <w:rPr>
          <w:rFonts w:hint="eastAsia" w:ascii="宋体" w:hAnsi="宋体" w:cs="Arial"/>
          <w:color w:val="000000"/>
          <w:kern w:val="0"/>
          <w:sz w:val="24"/>
        </w:rPr>
        <w:t>1、符合《中华人民共和国政府采购法》第二十二条的规定或符合浙财采监【2013】24号《关于规范政府采购供应商资格设定及资格审查的通知》第六条规定。</w:t>
      </w:r>
    </w:p>
    <w:p>
      <w:pPr>
        <w:keepNext w:val="0"/>
        <w:keepLines w:val="0"/>
        <w:pageBreakBefore w:val="0"/>
        <w:widowControl/>
        <w:kinsoku/>
        <w:wordWrap/>
        <w:overflowPunct/>
        <w:topLinePunct w:val="0"/>
        <w:autoSpaceDE/>
        <w:autoSpaceDN/>
        <w:bidi w:val="0"/>
        <w:adjustRightInd/>
        <w:snapToGrid/>
        <w:spacing w:before="75" w:after="75" w:line="440" w:lineRule="exact"/>
        <w:ind w:firstLine="540"/>
        <w:jc w:val="left"/>
        <w:textAlignment w:val="auto"/>
        <w:outlineLvl w:val="9"/>
        <w:rPr>
          <w:rFonts w:ascii="宋体" w:hAnsi="宋体" w:cs="Arial"/>
          <w:color w:val="000000"/>
          <w:kern w:val="0"/>
          <w:sz w:val="24"/>
        </w:rPr>
      </w:pPr>
      <w:r>
        <w:rPr>
          <w:rFonts w:hint="eastAsia" w:ascii="宋体" w:hAnsi="宋体" w:cs="Arial"/>
          <w:color w:val="000000"/>
          <w:kern w:val="0"/>
          <w:sz w:val="24"/>
        </w:rPr>
        <w:t>2、未被“信用中国”（www.creditchina.gov.cn）、中国政府采购网（www.ccgp.gov.cn）列入失信被执行人、重大税收违法案件当事人名单、政府采购严重违法失信行为记录名单。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before="75" w:after="75" w:line="440" w:lineRule="exact"/>
        <w:ind w:firstLine="540"/>
        <w:jc w:val="left"/>
        <w:textAlignment w:val="auto"/>
        <w:outlineLvl w:val="9"/>
        <w:rPr>
          <w:rFonts w:hint="eastAsia" w:ascii="Arial" w:hAnsi="Arial" w:cs="Arial"/>
          <w:color w:val="000000"/>
          <w:kern w:val="0"/>
          <w:sz w:val="24"/>
        </w:rPr>
      </w:pPr>
      <w:r>
        <w:rPr>
          <w:rFonts w:ascii="宋体" w:hAnsi="宋体" w:cs="Arial"/>
          <w:color w:val="000000"/>
          <w:kern w:val="0"/>
          <w:sz w:val="24"/>
        </w:rPr>
        <w:t>3</w:t>
      </w:r>
      <w:r>
        <w:rPr>
          <w:rFonts w:hint="eastAsia" w:ascii="宋体" w:hAnsi="宋体" w:cs="Arial"/>
          <w:color w:val="000000"/>
          <w:kern w:val="0"/>
          <w:sz w:val="24"/>
        </w:rPr>
        <w:t>、本项目不接受联合体投标(</w:t>
      </w:r>
      <w:r>
        <w:rPr>
          <w:rFonts w:ascii="宋体" w:hAnsi="宋体" w:cs="Arial"/>
          <w:color w:val="000000"/>
          <w:kern w:val="0"/>
          <w:sz w:val="24"/>
        </w:rPr>
        <w:t>潜在</w:t>
      </w:r>
      <w:r>
        <w:rPr>
          <w:rFonts w:hint="eastAsia" w:ascii="宋体" w:hAnsi="宋体" w:cs="Arial"/>
          <w:color w:val="000000"/>
          <w:kern w:val="0"/>
          <w:sz w:val="24"/>
        </w:rPr>
        <w:t>供应商</w:t>
      </w:r>
      <w:r>
        <w:rPr>
          <w:rFonts w:ascii="宋体" w:hAnsi="宋体" w:cs="Arial"/>
          <w:color w:val="000000"/>
          <w:kern w:val="0"/>
          <w:sz w:val="24"/>
        </w:rPr>
        <w:t>能独立完成项目</w:t>
      </w:r>
      <w:r>
        <w:rPr>
          <w:rFonts w:hint="eastAsia" w:ascii="宋体" w:hAnsi="宋体" w:cs="Arial"/>
          <w:color w:val="000000"/>
          <w:kern w:val="0"/>
          <w:sz w:val="24"/>
        </w:rPr>
        <w:t>)。</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cs="Arial"/>
          <w:b/>
          <w:bCs/>
          <w:color w:val="000000"/>
          <w:kern w:val="0"/>
          <w:sz w:val="24"/>
        </w:rPr>
        <w:t>五．网上自助报名:</w:t>
      </w:r>
    </w:p>
    <w:p>
      <w:pPr>
        <w:keepNext w:val="0"/>
        <w:keepLines w:val="0"/>
        <w:pageBreakBefore w:val="0"/>
        <w:widowControl/>
        <w:kinsoku/>
        <w:wordWrap/>
        <w:overflowPunct/>
        <w:topLinePunct w:val="0"/>
        <w:autoSpaceDE/>
        <w:autoSpaceDN/>
        <w:bidi w:val="0"/>
        <w:adjustRightInd/>
        <w:snapToGrid/>
        <w:spacing w:before="75" w:after="75" w:line="440" w:lineRule="exact"/>
        <w:ind w:firstLine="480" w:firstLineChars="200"/>
        <w:jc w:val="left"/>
        <w:textAlignment w:val="auto"/>
        <w:outlineLvl w:val="9"/>
        <w:rPr>
          <w:rFonts w:ascii="宋体" w:hAnsi="宋体" w:cs="Arial"/>
          <w:color w:val="000000"/>
          <w:kern w:val="0"/>
          <w:sz w:val="24"/>
        </w:rPr>
      </w:pPr>
      <w:r>
        <w:rPr>
          <w:rFonts w:hint="eastAsia" w:ascii="宋体" w:hAnsi="宋体" w:cs="Arial"/>
          <w:color w:val="000000"/>
          <w:kern w:val="0"/>
          <w:sz w:val="24"/>
        </w:rPr>
        <w:t>1、网上</w:t>
      </w:r>
      <w:r>
        <w:rPr>
          <w:rFonts w:ascii="宋体" w:hAnsi="宋体" w:cs="Arial"/>
          <w:color w:val="000000"/>
          <w:kern w:val="0"/>
          <w:sz w:val="24"/>
        </w:rPr>
        <w:t>自助报名</w:t>
      </w:r>
      <w:r>
        <w:rPr>
          <w:rFonts w:hint="eastAsia" w:ascii="宋体" w:hAnsi="宋体" w:cs="Arial"/>
          <w:color w:val="000000"/>
          <w:kern w:val="0"/>
          <w:sz w:val="24"/>
        </w:rPr>
        <w:t>时间：公告</w:t>
      </w:r>
      <w:r>
        <w:rPr>
          <w:rFonts w:ascii="宋体" w:hAnsi="宋体" w:cs="Arial"/>
          <w:color w:val="000000"/>
          <w:kern w:val="0"/>
          <w:sz w:val="24"/>
        </w:rPr>
        <w:t>发布之日起</w:t>
      </w:r>
      <w:r>
        <w:rPr>
          <w:rFonts w:hint="eastAsia" w:ascii="宋体" w:hAnsi="宋体" w:cs="Arial"/>
          <w:color w:val="000000"/>
          <w:kern w:val="0"/>
          <w:sz w:val="24"/>
        </w:rPr>
        <w:t>至</w:t>
      </w:r>
      <w:r>
        <w:rPr>
          <w:rFonts w:ascii="宋体" w:hAnsi="宋体" w:cs="Arial"/>
          <w:color w:val="000000"/>
          <w:kern w:val="0"/>
          <w:sz w:val="24"/>
        </w:rPr>
        <w:t>201</w:t>
      </w:r>
      <w:r>
        <w:rPr>
          <w:rFonts w:hint="eastAsia" w:ascii="宋体" w:hAnsi="宋体" w:cs="Arial"/>
          <w:color w:val="000000"/>
          <w:kern w:val="0"/>
          <w:sz w:val="24"/>
          <w:lang w:val="en-US" w:eastAsia="zh-CN"/>
        </w:rPr>
        <w:t>9</w:t>
      </w:r>
      <w:r>
        <w:rPr>
          <w:rFonts w:hint="eastAsia" w:ascii="宋体" w:hAnsi="宋体" w:cs="Arial"/>
          <w:color w:val="000000"/>
          <w:kern w:val="0"/>
          <w:sz w:val="24"/>
        </w:rPr>
        <w:t>年</w:t>
      </w:r>
      <w:r>
        <w:rPr>
          <w:rFonts w:hint="eastAsia" w:ascii="宋体" w:hAnsi="宋体" w:cs="Arial"/>
          <w:color w:val="000000"/>
          <w:kern w:val="0"/>
          <w:sz w:val="24"/>
          <w:lang w:val="en-US" w:eastAsia="zh-CN"/>
        </w:rPr>
        <w:t>03</w:t>
      </w:r>
      <w:r>
        <w:rPr>
          <w:rFonts w:hint="eastAsia" w:ascii="宋体" w:hAnsi="宋体" w:cs="Arial"/>
          <w:color w:val="000000"/>
          <w:kern w:val="0"/>
          <w:sz w:val="24"/>
        </w:rPr>
        <w:t>月</w:t>
      </w:r>
      <w:r>
        <w:rPr>
          <w:rFonts w:hint="eastAsia" w:ascii="宋体" w:hAnsi="宋体" w:cs="Arial"/>
          <w:color w:val="000000"/>
          <w:kern w:val="0"/>
          <w:sz w:val="24"/>
          <w:lang w:val="en-US" w:eastAsia="zh-CN"/>
        </w:rPr>
        <w:t>04</w:t>
      </w:r>
      <w:r>
        <w:rPr>
          <w:rFonts w:hint="eastAsia" w:ascii="宋体" w:hAnsi="宋体" w:cs="Arial"/>
          <w:color w:val="000000"/>
          <w:kern w:val="0"/>
          <w:sz w:val="24"/>
        </w:rPr>
        <w:t>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u w:val="single"/>
        </w:rPr>
      </w:pPr>
      <w:r>
        <w:rPr>
          <w:rFonts w:hint="eastAsia" w:ascii="宋体" w:hAnsi="宋体"/>
          <w:color w:val="000000"/>
          <w:sz w:val="24"/>
        </w:rPr>
        <w:t>2、自助报名方式：政采云网上报名登记，招标文件获取方式：公告页面网上下载</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ascii="宋体" w:hAnsi="宋体"/>
          <w:b/>
          <w:color w:val="000000"/>
        </w:rPr>
      </w:pPr>
      <w:r>
        <w:rPr>
          <w:rFonts w:ascii="宋体" w:hAnsi="宋体"/>
          <w:color w:val="000000"/>
          <w:sz w:val="24"/>
        </w:rPr>
        <w:t>3</w:t>
      </w:r>
      <w:r>
        <w:rPr>
          <w:rFonts w:hint="eastAsia" w:ascii="宋体" w:hAnsi="宋体"/>
          <w:color w:val="000000"/>
          <w:sz w:val="24"/>
        </w:rPr>
        <w:t>、自助报名所需条件：</w:t>
      </w:r>
      <w:r>
        <w:rPr>
          <w:rFonts w:hint="eastAsia" w:ascii="宋体" w:hAnsi="宋体"/>
          <w:b/>
          <w:color w:val="000000"/>
          <w:sz w:val="24"/>
        </w:rPr>
        <w:t>投标人已按照《浙江省政府采购投标人注册及诚信管理暂行办法》的规定在“浙江政府采购网</w:t>
      </w:r>
      <w:r>
        <w:rPr>
          <w:rFonts w:hint="eastAsia" w:ascii="宋体" w:hAnsi="宋体" w:cs="Arial"/>
          <w:b/>
          <w:color w:val="000000"/>
          <w:sz w:val="24"/>
        </w:rPr>
        <w:t>(</w:t>
      </w:r>
      <w:r>
        <w:rPr>
          <w:rFonts w:ascii="宋体" w:hAnsi="宋体" w:cs="Arial"/>
          <w:b/>
          <w:color w:val="000000"/>
          <w:sz w:val="24"/>
        </w:rPr>
        <w:fldChar w:fldCharType="begin"/>
      </w:r>
      <w:r>
        <w:rPr>
          <w:rFonts w:ascii="宋体" w:hAnsi="宋体" w:cs="Arial"/>
          <w:b/>
          <w:color w:val="000000"/>
          <w:sz w:val="24"/>
        </w:rPr>
        <w:instrText xml:space="preserve"> HYPERLINK "</w:instrText>
      </w:r>
      <w:r>
        <w:rPr>
          <w:rFonts w:hint="eastAsia" w:ascii="宋体" w:hAnsi="宋体" w:cs="Arial"/>
          <w:b/>
          <w:color w:val="000000"/>
          <w:sz w:val="24"/>
        </w:rPr>
        <w:instrText xml:space="preserve">http://www.zjzfcg.gov.cn</w:instrText>
      </w:r>
      <w:r>
        <w:rPr>
          <w:rFonts w:ascii="宋体" w:hAnsi="宋体" w:cs="Arial"/>
          <w:b/>
          <w:color w:val="000000"/>
          <w:sz w:val="24"/>
        </w:rPr>
        <w:instrText xml:space="preserve">" </w:instrText>
      </w:r>
      <w:r>
        <w:rPr>
          <w:rFonts w:ascii="宋体" w:hAnsi="宋体" w:cs="Arial"/>
          <w:b/>
          <w:color w:val="000000"/>
          <w:sz w:val="24"/>
        </w:rPr>
        <w:fldChar w:fldCharType="separate"/>
      </w:r>
      <w:r>
        <w:rPr>
          <w:rStyle w:val="39"/>
          <w:rFonts w:hint="eastAsia" w:cs="Arial"/>
          <w:b/>
          <w:color w:val="000000"/>
          <w:sz w:val="24"/>
        </w:rPr>
        <w:t>http://www.zjzfcg.gov.cn</w:t>
      </w:r>
      <w:r>
        <w:rPr>
          <w:rFonts w:ascii="宋体" w:hAnsi="宋体" w:cs="Arial"/>
          <w:b/>
          <w:color w:val="000000"/>
          <w:sz w:val="24"/>
        </w:rPr>
        <w:fldChar w:fldCharType="end"/>
      </w:r>
      <w:r>
        <w:rPr>
          <w:rFonts w:hint="eastAsia" w:ascii="宋体" w:hAnsi="宋体" w:cs="Arial"/>
          <w:b/>
          <w:color w:val="000000"/>
          <w:sz w:val="24"/>
        </w:rPr>
        <w:t>)</w:t>
      </w:r>
      <w:r>
        <w:rPr>
          <w:rFonts w:hint="eastAsia" w:ascii="宋体" w:hAnsi="宋体"/>
          <w:b/>
          <w:color w:val="000000"/>
          <w:sz w:val="24"/>
        </w:rPr>
        <w:t>”上注册登记，成为浙江省政府采购注册投标人。如需新注册的投标人，请注意注册手续所需时间。政采云供应商注册温馨提示参见</w:t>
      </w:r>
      <w:r>
        <w:rPr>
          <w:rFonts w:hint="eastAsia" w:ascii="宋体" w:hAnsi="宋体"/>
          <w:b/>
          <w:color w:val="000000"/>
        </w:rPr>
        <w:t>（</w:t>
      </w:r>
      <w:r>
        <w:rPr>
          <w:rFonts w:ascii="宋体" w:hAnsi="宋体"/>
          <w:b/>
          <w:color w:val="000000"/>
        </w:rPr>
        <w:fldChar w:fldCharType="begin"/>
      </w:r>
      <w:r>
        <w:rPr>
          <w:rFonts w:ascii="宋体" w:hAnsi="宋体"/>
          <w:b/>
          <w:color w:val="000000"/>
        </w:rPr>
        <w:instrText xml:space="preserve"> HYPERLINK "</w:instrText>
      </w:r>
      <w:r>
        <w:rPr>
          <w:rFonts w:hint="eastAsia" w:ascii="宋体" w:hAnsi="宋体"/>
          <w:b/>
          <w:color w:val="000000"/>
        </w:rPr>
        <w:instrText xml:space="preserve">http://zbjyw.xiaoshan.gov.cn/web_news/WebFromList.aspx?news_bigclass=6&amp;news_id=5925</w:instrText>
      </w:r>
      <w:r>
        <w:rPr>
          <w:rFonts w:ascii="宋体" w:hAnsi="宋体"/>
          <w:b/>
          <w:color w:val="000000"/>
        </w:rPr>
        <w:instrText xml:space="preserve">" </w:instrText>
      </w:r>
      <w:r>
        <w:rPr>
          <w:rFonts w:ascii="宋体" w:hAnsi="宋体"/>
          <w:b/>
          <w:color w:val="000000"/>
        </w:rPr>
        <w:fldChar w:fldCharType="separate"/>
      </w:r>
      <w:r>
        <w:rPr>
          <w:rStyle w:val="39"/>
          <w:rFonts w:hint="eastAsia" w:ascii="宋体" w:hAnsi="宋体"/>
          <w:b/>
          <w:color w:val="000000"/>
        </w:rPr>
        <w:t>http://zbjyw.xiaoshan.gov.cn/web_news/WebFromList.aspx?news_bigclass=6&amp;news_id=5925</w:t>
      </w:r>
      <w:r>
        <w:rPr>
          <w:rFonts w:ascii="宋体" w:hAnsi="宋体"/>
          <w:b/>
          <w:color w:val="000000"/>
        </w:rPr>
        <w:fldChar w:fldCharType="end"/>
      </w:r>
      <w:r>
        <w:rPr>
          <w:rFonts w:hint="eastAsia" w:ascii="宋体" w:hAnsi="宋体"/>
          <w:b/>
          <w:color w:val="000000"/>
        </w:rPr>
        <w:t>）</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cs="Arial"/>
          <w:b/>
          <w:bCs/>
          <w:color w:val="000000"/>
          <w:kern w:val="0"/>
          <w:sz w:val="24"/>
        </w:rPr>
        <w:t>六．投标截止时间：</w:t>
      </w:r>
      <w:r>
        <w:rPr>
          <w:rFonts w:ascii="宋体" w:hAnsi="宋体" w:cs="Arial"/>
          <w:color w:val="000000"/>
          <w:kern w:val="0"/>
          <w:sz w:val="24"/>
        </w:rPr>
        <w:t>201</w:t>
      </w:r>
      <w:r>
        <w:rPr>
          <w:rFonts w:hint="eastAsia" w:ascii="宋体" w:hAnsi="宋体" w:cs="Arial"/>
          <w:color w:val="000000"/>
          <w:kern w:val="0"/>
          <w:sz w:val="24"/>
          <w:lang w:val="en-US" w:eastAsia="zh-CN"/>
        </w:rPr>
        <w:t>9</w:t>
      </w:r>
      <w:r>
        <w:rPr>
          <w:rFonts w:hint="eastAsia" w:ascii="宋体" w:hAnsi="宋体" w:cs="Arial"/>
          <w:color w:val="000000"/>
          <w:kern w:val="0"/>
          <w:sz w:val="24"/>
        </w:rPr>
        <w:t>年</w:t>
      </w:r>
      <w:r>
        <w:rPr>
          <w:rFonts w:hint="eastAsia" w:ascii="宋体" w:hAnsi="宋体" w:cs="Arial"/>
          <w:color w:val="000000"/>
          <w:kern w:val="0"/>
          <w:sz w:val="24"/>
          <w:lang w:val="en-US" w:eastAsia="zh-CN"/>
        </w:rPr>
        <w:t>03</w:t>
      </w:r>
      <w:r>
        <w:rPr>
          <w:rFonts w:hint="eastAsia" w:ascii="宋体" w:hAnsi="宋体" w:cs="Arial"/>
          <w:color w:val="000000"/>
          <w:kern w:val="0"/>
          <w:sz w:val="24"/>
        </w:rPr>
        <w:t>月</w:t>
      </w:r>
      <w:r>
        <w:rPr>
          <w:rFonts w:hint="eastAsia" w:ascii="宋体" w:hAnsi="宋体" w:cs="Arial"/>
          <w:color w:val="000000"/>
          <w:kern w:val="0"/>
          <w:sz w:val="24"/>
          <w:lang w:val="en-US" w:eastAsia="zh-CN"/>
        </w:rPr>
        <w:t>06</w:t>
      </w:r>
      <w:r>
        <w:rPr>
          <w:rFonts w:hint="eastAsia" w:ascii="宋体" w:hAnsi="宋体" w:cs="Arial"/>
          <w:color w:val="000000"/>
          <w:kern w:val="0"/>
          <w:sz w:val="24"/>
        </w:rPr>
        <w:t>日</w:t>
      </w:r>
      <w:r>
        <w:rPr>
          <w:rFonts w:hint="eastAsia" w:ascii="宋体" w:hAnsi="宋体" w:cs="Arial"/>
          <w:b/>
          <w:bCs/>
          <w:color w:val="000000"/>
          <w:kern w:val="0"/>
          <w:sz w:val="24"/>
        </w:rPr>
        <w:t xml:space="preserve"> 09:00:00</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hint="eastAsia" w:ascii="宋体" w:hAnsi="宋体"/>
          <w:b w:val="0"/>
          <w:bCs/>
          <w:color w:val="000000"/>
          <w:sz w:val="24"/>
          <w:u w:val="none"/>
        </w:rPr>
      </w:pPr>
      <w:r>
        <w:rPr>
          <w:rFonts w:hint="eastAsia" w:ascii="宋体" w:hAnsi="宋体" w:cs="Arial"/>
          <w:b/>
          <w:bCs/>
          <w:color w:val="000000"/>
          <w:kern w:val="0"/>
          <w:sz w:val="24"/>
        </w:rPr>
        <w:t>七．投标地址：</w:t>
      </w:r>
      <w:r>
        <w:rPr>
          <w:rFonts w:hint="eastAsia" w:ascii="宋体" w:hAnsi="宋体"/>
          <w:b w:val="0"/>
          <w:bCs/>
          <w:color w:val="000000"/>
          <w:sz w:val="24"/>
          <w:u w:val="none"/>
        </w:rPr>
        <w:t>杭州市萧山区市心路1069号科技创新中心B楼萧山区行政服务中心4楼404室</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cs="Arial"/>
          <w:b/>
          <w:bCs/>
          <w:color w:val="000000"/>
          <w:kern w:val="0"/>
          <w:sz w:val="24"/>
        </w:rPr>
        <w:t>八．开标时间：</w:t>
      </w:r>
      <w:r>
        <w:rPr>
          <w:rFonts w:ascii="宋体" w:hAnsi="宋体" w:cs="Arial"/>
          <w:color w:val="000000"/>
          <w:kern w:val="0"/>
          <w:sz w:val="24"/>
        </w:rPr>
        <w:t>201</w:t>
      </w:r>
      <w:r>
        <w:rPr>
          <w:rFonts w:hint="eastAsia" w:ascii="宋体" w:hAnsi="宋体" w:cs="Arial"/>
          <w:color w:val="000000"/>
          <w:kern w:val="0"/>
          <w:sz w:val="24"/>
          <w:lang w:val="en-US" w:eastAsia="zh-CN"/>
        </w:rPr>
        <w:t>9</w:t>
      </w:r>
      <w:r>
        <w:rPr>
          <w:rFonts w:hint="eastAsia" w:ascii="宋体" w:hAnsi="宋体" w:cs="Arial"/>
          <w:color w:val="000000"/>
          <w:kern w:val="0"/>
          <w:sz w:val="24"/>
        </w:rPr>
        <w:t>年</w:t>
      </w:r>
      <w:r>
        <w:rPr>
          <w:rFonts w:hint="eastAsia" w:ascii="宋体" w:hAnsi="宋体" w:cs="Arial"/>
          <w:color w:val="000000"/>
          <w:kern w:val="0"/>
          <w:sz w:val="24"/>
          <w:lang w:val="en-US" w:eastAsia="zh-CN"/>
        </w:rPr>
        <w:t>03</w:t>
      </w:r>
      <w:r>
        <w:rPr>
          <w:rFonts w:hint="eastAsia" w:ascii="宋体" w:hAnsi="宋体" w:cs="Arial"/>
          <w:color w:val="000000"/>
          <w:kern w:val="0"/>
          <w:sz w:val="24"/>
        </w:rPr>
        <w:t>月</w:t>
      </w:r>
      <w:r>
        <w:rPr>
          <w:rFonts w:hint="eastAsia" w:ascii="宋体" w:hAnsi="宋体" w:cs="Arial"/>
          <w:color w:val="000000"/>
          <w:kern w:val="0"/>
          <w:sz w:val="24"/>
          <w:lang w:val="en-US" w:eastAsia="zh-CN"/>
        </w:rPr>
        <w:t>06</w:t>
      </w:r>
      <w:r>
        <w:rPr>
          <w:rFonts w:hint="eastAsia" w:ascii="宋体" w:hAnsi="宋体" w:cs="Arial"/>
          <w:color w:val="000000"/>
          <w:kern w:val="0"/>
          <w:sz w:val="24"/>
        </w:rPr>
        <w:t>日09:00:00</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hint="eastAsia" w:ascii="Arial" w:hAnsi="Arial" w:cs="Arial"/>
          <w:color w:val="000000"/>
          <w:kern w:val="0"/>
          <w:sz w:val="24"/>
        </w:rPr>
      </w:pPr>
      <w:r>
        <w:rPr>
          <w:rFonts w:hint="eastAsia" w:ascii="宋体" w:hAnsi="宋体" w:cs="Arial"/>
          <w:b/>
          <w:bCs/>
          <w:color w:val="000000"/>
          <w:kern w:val="0"/>
          <w:sz w:val="24"/>
        </w:rPr>
        <w:t>九．开标地址</w:t>
      </w:r>
      <w:r>
        <w:rPr>
          <w:rFonts w:hint="eastAsia" w:ascii="宋体" w:hAnsi="宋体" w:cs="Arial"/>
          <w:color w:val="000000"/>
          <w:kern w:val="0"/>
          <w:sz w:val="24"/>
        </w:rPr>
        <w:t>：</w:t>
      </w:r>
      <w:r>
        <w:rPr>
          <w:rFonts w:hint="eastAsia" w:ascii="宋体" w:hAnsi="宋体"/>
          <w:b w:val="0"/>
          <w:bCs/>
          <w:color w:val="000000"/>
          <w:sz w:val="24"/>
          <w:u w:val="none"/>
        </w:rPr>
        <w:t>杭州市萧山区市心路1069号科技创新中心B楼萧山区行政服务中心4楼404室</w:t>
      </w:r>
      <w:r>
        <w:rPr>
          <w:rFonts w:hint="eastAsia" w:ascii="宋体" w:hAnsi="宋体" w:cs="Arial"/>
          <w:color w:val="000000"/>
          <w:kern w:val="0"/>
          <w:sz w:val="24"/>
        </w:rPr>
        <w:t>(标书</w:t>
      </w:r>
      <w:r>
        <w:rPr>
          <w:rFonts w:ascii="宋体" w:hAnsi="宋体" w:cs="Arial"/>
          <w:color w:val="000000"/>
          <w:kern w:val="0"/>
          <w:sz w:val="24"/>
        </w:rPr>
        <w:t>递交时间为开标前半小时到开标时间止</w:t>
      </w:r>
      <w:r>
        <w:rPr>
          <w:rFonts w:hint="eastAsia" w:ascii="宋体" w:hAnsi="宋体" w:cs="Arial"/>
          <w:color w:val="000000"/>
          <w:kern w:val="0"/>
          <w:sz w:val="24"/>
        </w:rPr>
        <w:t>)</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cs="Arial"/>
          <w:b/>
          <w:bCs/>
          <w:color w:val="000000"/>
          <w:kern w:val="0"/>
          <w:sz w:val="24"/>
        </w:rPr>
        <w:t>十．投标保证金：</w:t>
      </w:r>
    </w:p>
    <w:p>
      <w:pPr>
        <w:keepNext w:val="0"/>
        <w:keepLines w:val="0"/>
        <w:pageBreakBefore w:val="0"/>
        <w:widowControl/>
        <w:kinsoku/>
        <w:wordWrap/>
        <w:overflowPunct/>
        <w:topLinePunct w:val="0"/>
        <w:autoSpaceDE/>
        <w:autoSpaceDN/>
        <w:bidi w:val="0"/>
        <w:adjustRightInd/>
        <w:snapToGrid/>
        <w:spacing w:before="75" w:after="75" w:line="440" w:lineRule="exact"/>
        <w:ind w:firstLine="420"/>
        <w:jc w:val="left"/>
        <w:textAlignment w:val="auto"/>
        <w:outlineLvl w:val="9"/>
        <w:rPr>
          <w:rFonts w:hint="eastAsia" w:ascii="Arial" w:hAnsi="Arial" w:cs="Arial"/>
          <w:color w:val="000000"/>
          <w:kern w:val="0"/>
          <w:sz w:val="24"/>
        </w:rPr>
      </w:pPr>
      <w:r>
        <w:rPr>
          <w:rFonts w:hint="eastAsia" w:ascii="宋体" w:hAnsi="宋体" w:cs="Arial"/>
          <w:color w:val="000000"/>
          <w:kern w:val="0"/>
          <w:sz w:val="24"/>
        </w:rPr>
        <w:t xml:space="preserve">投标保证金(元)：标项一: </w:t>
      </w:r>
      <w:r>
        <w:rPr>
          <w:rFonts w:hint="eastAsia" w:ascii="宋体" w:hAnsi="宋体" w:cs="Arial"/>
          <w:color w:val="000000"/>
          <w:kern w:val="0"/>
          <w:sz w:val="24"/>
          <w:u w:val="single"/>
          <w:lang w:val="en-US" w:eastAsia="zh-CN"/>
        </w:rPr>
        <w:t>100000.00</w:t>
      </w:r>
      <w:r>
        <w:rPr>
          <w:rFonts w:hint="eastAsia" w:ascii="宋体" w:hAnsi="宋体" w:cs="Arial"/>
          <w:color w:val="000000"/>
          <w:kern w:val="0"/>
          <w:sz w:val="24"/>
        </w:rPr>
        <w:t>元</w:t>
      </w:r>
      <w:r>
        <w:rPr>
          <w:rFonts w:hint="eastAsia" w:ascii="宋体" w:hAnsi="宋体" w:cs="Arial"/>
          <w:b/>
          <w:color w:val="000000"/>
          <w:kern w:val="0"/>
          <w:sz w:val="24"/>
        </w:rPr>
        <w:t>(必须在规定</w:t>
      </w:r>
      <w:r>
        <w:rPr>
          <w:rFonts w:ascii="宋体" w:hAnsi="宋体" w:cs="Arial"/>
          <w:b/>
          <w:color w:val="000000"/>
          <w:kern w:val="0"/>
          <w:sz w:val="24"/>
        </w:rPr>
        <w:t>时间前</w:t>
      </w:r>
      <w:r>
        <w:rPr>
          <w:rFonts w:hint="eastAsia" w:ascii="宋体" w:hAnsi="宋体" w:cs="Arial"/>
          <w:b/>
          <w:color w:val="000000"/>
          <w:kern w:val="0"/>
          <w:sz w:val="24"/>
        </w:rPr>
        <w:t>换取投标</w:t>
      </w:r>
      <w:r>
        <w:rPr>
          <w:rFonts w:ascii="宋体" w:hAnsi="宋体" w:cs="Arial"/>
          <w:b/>
          <w:color w:val="000000"/>
          <w:kern w:val="0"/>
          <w:sz w:val="24"/>
        </w:rPr>
        <w:t>保证金递交函</w:t>
      </w:r>
      <w:r>
        <w:rPr>
          <w:rFonts w:hint="eastAsia" w:ascii="宋体" w:hAnsi="宋体" w:cs="Arial"/>
          <w:b/>
          <w:color w:val="000000"/>
          <w:kern w:val="0"/>
          <w:sz w:val="24"/>
        </w:rPr>
        <w:t>并做入标书为准</w:t>
      </w:r>
      <w:r>
        <w:rPr>
          <w:rFonts w:ascii="宋体" w:hAnsi="宋体" w:cs="Arial"/>
          <w:b/>
          <w:color w:val="000000"/>
          <w:kern w:val="0"/>
          <w:sz w:val="24"/>
        </w:rPr>
        <w:t>！</w:t>
      </w:r>
      <w:r>
        <w:rPr>
          <w:rFonts w:hint="eastAsia" w:ascii="宋体" w:hAnsi="宋体" w:cs="Arial"/>
          <w:b/>
          <w:color w:val="000000"/>
          <w:kern w:val="0"/>
          <w:sz w:val="24"/>
        </w:rPr>
        <w:t>)</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b/>
          <w:color w:val="000000"/>
          <w:sz w:val="24"/>
        </w:rPr>
        <w:t>缴纳</w:t>
      </w:r>
      <w:r>
        <w:rPr>
          <w:rFonts w:hint="eastAsia" w:ascii="宋体" w:hAnsi="宋体" w:cs="Arial"/>
          <w:color w:val="000000"/>
          <w:kern w:val="0"/>
          <w:sz w:val="24"/>
        </w:rPr>
        <w:t>方式：网银、汇票、本票、电汇方式从投标人</w:t>
      </w:r>
      <w:r>
        <w:rPr>
          <w:rFonts w:ascii="宋体" w:hAnsi="宋体" w:cs="Arial"/>
          <w:color w:val="000000"/>
          <w:kern w:val="0"/>
          <w:sz w:val="24"/>
        </w:rPr>
        <w:t>账户汇出</w:t>
      </w:r>
      <w:r>
        <w:rPr>
          <w:rFonts w:hint="eastAsia" w:ascii="宋体" w:hAnsi="宋体" w:cs="Arial"/>
          <w:color w:val="000000"/>
          <w:kern w:val="0"/>
          <w:sz w:val="24"/>
        </w:rPr>
        <w:t>（不接受以现金支票、现金及个人转账方式）</w:t>
      </w:r>
    </w:p>
    <w:p>
      <w:pPr>
        <w:keepNext w:val="0"/>
        <w:keepLines w:val="0"/>
        <w:pageBreakBefore w:val="0"/>
        <w:widowControl/>
        <w:kinsoku/>
        <w:wordWrap/>
        <w:overflowPunct/>
        <w:topLinePunct w:val="0"/>
        <w:autoSpaceDE/>
        <w:autoSpaceDN/>
        <w:bidi w:val="0"/>
        <w:adjustRightInd/>
        <w:snapToGrid/>
        <w:spacing w:before="75" w:after="75" w:line="440" w:lineRule="exact"/>
        <w:ind w:left="1680" w:leftChars="800" w:firstLine="540"/>
        <w:jc w:val="left"/>
        <w:textAlignment w:val="auto"/>
        <w:outlineLvl w:val="9"/>
        <w:rPr>
          <w:rFonts w:ascii="Arial" w:hAnsi="Arial" w:cs="Arial"/>
          <w:color w:val="000000"/>
          <w:kern w:val="0"/>
          <w:sz w:val="24"/>
        </w:rPr>
      </w:pPr>
      <w:r>
        <w:rPr>
          <w:rFonts w:hint="eastAsia" w:ascii="宋体" w:hAnsi="宋体" w:cs="Arial"/>
          <w:color w:val="000000"/>
          <w:kern w:val="0"/>
          <w:sz w:val="24"/>
        </w:rPr>
        <w:t>收款单位（户名）：杭州市公共资源交易中心萧山分中心</w:t>
      </w:r>
    </w:p>
    <w:p>
      <w:pPr>
        <w:keepNext w:val="0"/>
        <w:keepLines w:val="0"/>
        <w:pageBreakBefore w:val="0"/>
        <w:widowControl/>
        <w:kinsoku/>
        <w:wordWrap/>
        <w:overflowPunct/>
        <w:topLinePunct w:val="0"/>
        <w:autoSpaceDE/>
        <w:autoSpaceDN/>
        <w:bidi w:val="0"/>
        <w:adjustRightInd/>
        <w:snapToGrid/>
        <w:spacing w:before="75" w:after="75" w:line="440" w:lineRule="exact"/>
        <w:ind w:left="1680" w:leftChars="800" w:firstLine="540"/>
        <w:jc w:val="left"/>
        <w:textAlignment w:val="auto"/>
        <w:outlineLvl w:val="9"/>
        <w:rPr>
          <w:rFonts w:ascii="Arial" w:hAnsi="Arial" w:cs="Arial"/>
          <w:color w:val="000000"/>
          <w:kern w:val="0"/>
          <w:sz w:val="24"/>
        </w:rPr>
      </w:pPr>
      <w:r>
        <w:rPr>
          <w:rFonts w:hint="eastAsia" w:ascii="宋体" w:hAnsi="宋体" w:cs="Arial"/>
          <w:color w:val="000000"/>
          <w:kern w:val="0"/>
          <w:sz w:val="24"/>
        </w:rPr>
        <w:t>开户银行：建行萧山支行</w:t>
      </w:r>
    </w:p>
    <w:p>
      <w:pPr>
        <w:keepNext w:val="0"/>
        <w:keepLines w:val="0"/>
        <w:pageBreakBefore w:val="0"/>
        <w:widowControl/>
        <w:kinsoku/>
        <w:wordWrap/>
        <w:overflowPunct/>
        <w:topLinePunct w:val="0"/>
        <w:autoSpaceDE/>
        <w:autoSpaceDN/>
        <w:bidi w:val="0"/>
        <w:adjustRightInd/>
        <w:snapToGrid/>
        <w:spacing w:before="75" w:after="75" w:line="440" w:lineRule="exact"/>
        <w:ind w:left="1680" w:leftChars="800" w:firstLine="540"/>
        <w:jc w:val="left"/>
        <w:textAlignment w:val="auto"/>
        <w:outlineLvl w:val="9"/>
        <w:rPr>
          <w:rFonts w:ascii="宋体" w:hAnsi="宋体" w:cs="Arial"/>
          <w:color w:val="000000"/>
          <w:kern w:val="0"/>
          <w:sz w:val="24"/>
        </w:rPr>
      </w:pPr>
      <w:r>
        <w:rPr>
          <w:rFonts w:hint="eastAsia" w:ascii="宋体" w:hAnsi="宋体" w:cs="Arial"/>
          <w:color w:val="000000"/>
          <w:kern w:val="0"/>
          <w:sz w:val="24"/>
        </w:rPr>
        <w:t>银行账号：3300 1617 0350 5300 0389</w:t>
      </w:r>
    </w:p>
    <w:p>
      <w:pPr>
        <w:keepNext w:val="0"/>
        <w:keepLines w:val="0"/>
        <w:pageBreakBefore w:val="0"/>
        <w:kinsoku/>
        <w:wordWrap/>
        <w:overflowPunct/>
        <w:topLinePunct w:val="0"/>
        <w:autoSpaceDE/>
        <w:autoSpaceDN/>
        <w:bidi w:val="0"/>
        <w:adjustRightInd/>
        <w:snapToGrid/>
        <w:spacing w:line="440" w:lineRule="exact"/>
        <w:ind w:firstLine="420"/>
        <w:jc w:val="left"/>
        <w:textAlignment w:val="auto"/>
        <w:outlineLvl w:val="9"/>
        <w:rPr>
          <w:rFonts w:hint="eastAsia" w:ascii="宋体" w:hAnsi="宋体"/>
          <w:color w:val="000000"/>
          <w:sz w:val="24"/>
        </w:rPr>
      </w:pPr>
      <w:r>
        <w:rPr>
          <w:rFonts w:hint="eastAsia" w:ascii="宋体" w:hAnsi="宋体"/>
          <w:b/>
          <w:color w:val="000000"/>
          <w:sz w:val="24"/>
        </w:rPr>
        <w:t>投标保证金递交函获取方式</w:t>
      </w:r>
      <w:r>
        <w:rPr>
          <w:rFonts w:hint="eastAsia" w:ascii="宋体" w:hAnsi="宋体"/>
          <w:color w:val="000000"/>
          <w:sz w:val="24"/>
        </w:rPr>
        <w:t>：投标人凭项目公告打印页面（包含更正、补遗等）及保证金汇款凭证至杭州市萧山区市心路1069号科技创新中心B楼1楼建设银行窗口获取。</w:t>
      </w:r>
    </w:p>
    <w:p>
      <w:pPr>
        <w:keepNext w:val="0"/>
        <w:keepLines w:val="0"/>
        <w:pageBreakBefore w:val="0"/>
        <w:kinsoku/>
        <w:wordWrap/>
        <w:overflowPunct/>
        <w:topLinePunct w:val="0"/>
        <w:autoSpaceDE/>
        <w:autoSpaceDN/>
        <w:bidi w:val="0"/>
        <w:adjustRightInd/>
        <w:snapToGrid/>
        <w:spacing w:line="440" w:lineRule="exact"/>
        <w:ind w:firstLine="420"/>
        <w:textAlignment w:val="auto"/>
        <w:outlineLvl w:val="9"/>
        <w:rPr>
          <w:rFonts w:hint="eastAsia" w:ascii="宋体" w:hAnsi="宋体"/>
          <w:color w:val="000000"/>
          <w:sz w:val="24"/>
        </w:rPr>
      </w:pPr>
      <w:r>
        <w:rPr>
          <w:rFonts w:hint="eastAsia" w:ascii="宋体" w:hAnsi="宋体"/>
          <w:b/>
          <w:color w:val="000000"/>
          <w:sz w:val="24"/>
        </w:rPr>
        <w:t>保证金缴纳及获取保证金递交函截止时间</w:t>
      </w:r>
      <w:r>
        <w:rPr>
          <w:rFonts w:hint="eastAsia" w:ascii="宋体" w:hAnsi="宋体"/>
          <w:color w:val="000000"/>
          <w:sz w:val="24"/>
        </w:rPr>
        <w:t>：同</w:t>
      </w:r>
      <w:r>
        <w:rPr>
          <w:rFonts w:ascii="宋体" w:hAnsi="宋体"/>
          <w:color w:val="000000"/>
          <w:sz w:val="24"/>
        </w:rPr>
        <w:t>投标截止时间</w:t>
      </w:r>
      <w:r>
        <w:rPr>
          <w:rFonts w:hint="eastAsia" w:ascii="宋体" w:hAnsi="宋体"/>
          <w:color w:val="000000"/>
          <w:sz w:val="24"/>
        </w:rPr>
        <w:t>，以实际到帐并获取银行提供的投标保证金递交函为准，逾期缴纳者投标将被拒绝。</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hint="eastAsia" w:ascii="宋体" w:hAnsi="宋体" w:cs="Arial"/>
          <w:b/>
          <w:bCs/>
          <w:color w:val="000000"/>
          <w:kern w:val="0"/>
          <w:sz w:val="24"/>
        </w:rPr>
      </w:pPr>
      <w:r>
        <w:rPr>
          <w:rFonts w:hint="eastAsia" w:ascii="宋体" w:hAnsi="宋体" w:cs="Arial"/>
          <w:b/>
          <w:bCs/>
          <w:color w:val="000000"/>
          <w:kern w:val="0"/>
          <w:sz w:val="24"/>
        </w:rPr>
        <w:t>十一．公告有效期：5个工作日</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cs="Arial"/>
          <w:b/>
          <w:bCs/>
          <w:color w:val="000000"/>
          <w:kern w:val="0"/>
          <w:sz w:val="24"/>
        </w:rPr>
        <w:t>十二．其他事项：</w:t>
      </w:r>
    </w:p>
    <w:p>
      <w:pPr>
        <w:pStyle w:val="43"/>
        <w:keepNext w:val="0"/>
        <w:keepLines w:val="0"/>
        <w:pageBreakBefore w:val="0"/>
        <w:widowControl/>
        <w:numPr>
          <w:ilvl w:val="0"/>
          <w:numId w:val="2"/>
        </w:numPr>
        <w:kinsoku/>
        <w:wordWrap/>
        <w:overflowPunct/>
        <w:topLinePunct w:val="0"/>
        <w:autoSpaceDE/>
        <w:autoSpaceDN/>
        <w:bidi w:val="0"/>
        <w:adjustRightInd/>
        <w:snapToGrid/>
        <w:spacing w:before="75" w:after="75" w:line="440" w:lineRule="exact"/>
        <w:ind w:firstLineChars="0"/>
        <w:jc w:val="left"/>
        <w:textAlignment w:val="auto"/>
        <w:outlineLvl w:val="9"/>
        <w:rPr>
          <w:rFonts w:ascii="宋体" w:hAnsi="宋体" w:cs="Arial"/>
          <w:color w:val="000000"/>
          <w:kern w:val="0"/>
          <w:sz w:val="24"/>
          <w:szCs w:val="24"/>
        </w:rPr>
      </w:pPr>
      <w:r>
        <w:rPr>
          <w:rFonts w:hint="eastAsia" w:ascii="宋体" w:hAnsi="宋体" w:cs="Arial"/>
          <w:color w:val="000000"/>
          <w:kern w:val="0"/>
          <w:sz w:val="24"/>
          <w:szCs w:val="24"/>
        </w:rPr>
        <w:t>供应商认为采购文件使自己的权益受到损害的，可以自收到采购文件之日（发售</w:t>
      </w:r>
    </w:p>
    <w:p>
      <w:pPr>
        <w:pStyle w:val="43"/>
        <w:keepNext w:val="0"/>
        <w:keepLines w:val="0"/>
        <w:pageBreakBefore w:val="0"/>
        <w:widowControl/>
        <w:numPr>
          <w:ilvl w:val="0"/>
          <w:numId w:val="0"/>
        </w:numPr>
        <w:kinsoku/>
        <w:wordWrap/>
        <w:overflowPunct/>
        <w:topLinePunct w:val="0"/>
        <w:autoSpaceDE/>
        <w:autoSpaceDN/>
        <w:bidi w:val="0"/>
        <w:adjustRightInd/>
        <w:snapToGrid/>
        <w:spacing w:before="75" w:after="75" w:line="440" w:lineRule="exact"/>
        <w:jc w:val="left"/>
        <w:textAlignment w:val="auto"/>
        <w:outlineLvl w:val="9"/>
        <w:rPr>
          <w:rFonts w:ascii="宋体" w:hAnsi="宋体" w:cs="Arial"/>
          <w:color w:val="000000"/>
          <w:kern w:val="0"/>
          <w:sz w:val="24"/>
          <w:szCs w:val="24"/>
        </w:rPr>
      </w:pPr>
      <w:r>
        <w:rPr>
          <w:rFonts w:hint="eastAsia" w:ascii="宋体" w:hAnsi="宋体" w:cs="Arial"/>
          <w:color w:val="000000"/>
          <w:kern w:val="0"/>
          <w:sz w:val="24"/>
          <w:szCs w:val="24"/>
        </w:rPr>
        <w:t>截止日之后收到采购文件的，以发售截止日为准）或者采购文件公告期限届满之日（招标公告为公告发布后至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43"/>
        <w:keepNext w:val="0"/>
        <w:keepLines w:val="0"/>
        <w:pageBreakBefore w:val="0"/>
        <w:numPr>
          <w:ilvl w:val="0"/>
          <w:numId w:val="2"/>
        </w:numPr>
        <w:kinsoku/>
        <w:wordWrap/>
        <w:overflowPunct/>
        <w:topLinePunct w:val="0"/>
        <w:autoSpaceDE/>
        <w:autoSpaceDN/>
        <w:bidi w:val="0"/>
        <w:adjustRightInd/>
        <w:snapToGrid/>
        <w:spacing w:line="440" w:lineRule="exact"/>
        <w:ind w:firstLineChars="0"/>
        <w:textAlignment w:val="auto"/>
        <w:outlineLvl w:val="9"/>
        <w:rPr>
          <w:rFonts w:ascii="宋体" w:hAnsi="宋体"/>
          <w:b/>
          <w:color w:val="000000"/>
          <w:sz w:val="24"/>
        </w:rPr>
      </w:pPr>
      <w:r>
        <w:rPr>
          <w:rFonts w:hint="eastAsia" w:ascii="宋体" w:hAnsi="宋体"/>
          <w:b/>
          <w:color w:val="000000"/>
          <w:sz w:val="24"/>
        </w:rPr>
        <w:t>本项目投标人在报名后未前来参加开标活动的，将予以记录，记录次数达到两次</w:t>
      </w:r>
    </w:p>
    <w:p>
      <w:pPr>
        <w:pStyle w:val="43"/>
        <w:keepNext w:val="0"/>
        <w:keepLines w:val="0"/>
        <w:pageBreakBefore w:val="0"/>
        <w:numPr>
          <w:ilvl w:val="0"/>
          <w:numId w:val="0"/>
        </w:numPr>
        <w:kinsoku/>
        <w:wordWrap/>
        <w:overflowPunct/>
        <w:topLinePunct w:val="0"/>
        <w:autoSpaceDE/>
        <w:autoSpaceDN/>
        <w:bidi w:val="0"/>
        <w:adjustRightInd/>
        <w:snapToGrid/>
        <w:spacing w:line="440" w:lineRule="exact"/>
        <w:textAlignment w:val="auto"/>
        <w:outlineLvl w:val="9"/>
        <w:rPr>
          <w:rFonts w:ascii="宋体" w:hAnsi="宋体"/>
          <w:b/>
          <w:color w:val="000000"/>
          <w:sz w:val="24"/>
        </w:rPr>
      </w:pPr>
      <w:r>
        <w:rPr>
          <w:rFonts w:hint="eastAsia" w:ascii="宋体" w:hAnsi="宋体"/>
          <w:b/>
          <w:color w:val="000000"/>
          <w:sz w:val="24"/>
        </w:rPr>
        <w:t>的，将在杭州市萧山区招投标管理信息网上公示1个月，公示期内投标人将可能被采购人拒绝投标。</w:t>
      </w:r>
    </w:p>
    <w:p>
      <w:pPr>
        <w:pStyle w:val="43"/>
        <w:keepNext w:val="0"/>
        <w:keepLines w:val="0"/>
        <w:pageBreakBefore w:val="0"/>
        <w:numPr>
          <w:ilvl w:val="0"/>
          <w:numId w:val="2"/>
        </w:numPr>
        <w:kinsoku/>
        <w:wordWrap/>
        <w:overflowPunct/>
        <w:topLinePunct w:val="0"/>
        <w:autoSpaceDE/>
        <w:autoSpaceDN/>
        <w:bidi w:val="0"/>
        <w:adjustRightInd/>
        <w:snapToGrid/>
        <w:spacing w:line="440" w:lineRule="exact"/>
        <w:ind w:firstLineChars="0"/>
        <w:textAlignment w:val="auto"/>
        <w:outlineLvl w:val="9"/>
        <w:rPr>
          <w:rFonts w:hint="eastAsia" w:ascii="宋体" w:hAnsi="宋体" w:eastAsia="等线"/>
          <w:b/>
          <w:color w:val="000000"/>
          <w:sz w:val="24"/>
        </w:rPr>
      </w:pPr>
      <w:r>
        <w:rPr>
          <w:rFonts w:hint="eastAsia" w:ascii="宋体" w:hAnsi="宋体"/>
          <w:b/>
          <w:color w:val="000000"/>
          <w:sz w:val="24"/>
        </w:rPr>
        <w:t>对于政府采购项目未能通过</w:t>
      </w:r>
      <w:r>
        <w:rPr>
          <w:rFonts w:ascii="宋体" w:hAnsi="宋体"/>
          <w:b/>
          <w:color w:val="000000"/>
          <w:sz w:val="24"/>
        </w:rPr>
        <w:t>验收办验收合格的中标供应商，将定期在萧山区招投</w:t>
      </w:r>
    </w:p>
    <w:p>
      <w:pPr>
        <w:pStyle w:val="43"/>
        <w:keepNext w:val="0"/>
        <w:keepLines w:val="0"/>
        <w:pageBreakBefore w:val="0"/>
        <w:numPr>
          <w:ilvl w:val="0"/>
          <w:numId w:val="0"/>
        </w:numPr>
        <w:kinsoku/>
        <w:wordWrap/>
        <w:overflowPunct/>
        <w:topLinePunct w:val="0"/>
        <w:autoSpaceDE/>
        <w:autoSpaceDN/>
        <w:bidi w:val="0"/>
        <w:adjustRightInd/>
        <w:snapToGrid/>
        <w:spacing w:line="440" w:lineRule="exact"/>
        <w:textAlignment w:val="auto"/>
        <w:outlineLvl w:val="9"/>
        <w:rPr>
          <w:rFonts w:hint="eastAsia" w:ascii="宋体" w:hAnsi="宋体" w:eastAsia="等线"/>
          <w:b/>
          <w:color w:val="000000"/>
          <w:sz w:val="24"/>
        </w:rPr>
      </w:pPr>
      <w:r>
        <w:rPr>
          <w:rFonts w:ascii="宋体" w:hAnsi="宋体"/>
          <w:b/>
          <w:color w:val="000000"/>
          <w:sz w:val="24"/>
        </w:rPr>
        <w:t>标管理信息网予以公示，并有可能被采购人拒绝投标。</w:t>
      </w:r>
    </w:p>
    <w:p>
      <w:pPr>
        <w:keepNext w:val="0"/>
        <w:keepLines w:val="0"/>
        <w:pageBreakBefore w:val="0"/>
        <w:widowControl/>
        <w:kinsoku/>
        <w:wordWrap/>
        <w:overflowPunct/>
        <w:topLinePunct w:val="0"/>
        <w:autoSpaceDE/>
        <w:autoSpaceDN/>
        <w:bidi w:val="0"/>
        <w:adjustRightInd/>
        <w:snapToGrid/>
        <w:spacing w:before="75" w:after="75" w:line="440" w:lineRule="exact"/>
        <w:jc w:val="left"/>
        <w:textAlignment w:val="auto"/>
        <w:outlineLvl w:val="9"/>
        <w:rPr>
          <w:rFonts w:ascii="Arial" w:hAnsi="Arial" w:cs="Arial"/>
          <w:color w:val="000000"/>
          <w:kern w:val="0"/>
          <w:sz w:val="24"/>
        </w:rPr>
      </w:pPr>
      <w:r>
        <w:rPr>
          <w:rFonts w:hint="eastAsia" w:ascii="宋体" w:hAnsi="宋体" w:cs="Arial"/>
          <w:b/>
          <w:bCs/>
          <w:color w:val="000000"/>
          <w:kern w:val="0"/>
          <w:sz w:val="24"/>
        </w:rPr>
        <w:t>十三．联系方式</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420" w:firstLineChars="175"/>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1、采购代理机构名称：杭州博望建设工程招标投标代理有限公司</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联系人：</w:t>
      </w:r>
      <w:r>
        <w:rPr>
          <w:rFonts w:hint="eastAsia" w:ascii="宋体" w:hAnsi="宋体" w:cs="Arial"/>
          <w:color w:val="000000"/>
          <w:kern w:val="0"/>
          <w:sz w:val="24"/>
          <w:lang w:eastAsia="zh-CN"/>
        </w:rPr>
        <w:t>高华萍</w:t>
      </w:r>
      <w:r>
        <w:rPr>
          <w:rFonts w:hint="eastAsia" w:ascii="宋体" w:hAnsi="宋体" w:cs="Arial"/>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 xml:space="preserve">联系电话：0571-83881208  </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传真：0571-83881208</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地址：杭州市萧山区金城路433号天汇园1幢A座5楼</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420" w:firstLineChars="175"/>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2、采购人名称：</w:t>
      </w:r>
      <w:r>
        <w:rPr>
          <w:rFonts w:hint="eastAsia" w:ascii="宋体" w:hAnsi="宋体" w:cs="Arial"/>
          <w:color w:val="000000"/>
          <w:kern w:val="0"/>
          <w:sz w:val="24"/>
          <w:lang w:eastAsia="zh-CN"/>
        </w:rPr>
        <w:t>萧山经济技术开发区市政公用建设管理服务中心</w:t>
      </w:r>
      <w:r>
        <w:rPr>
          <w:rFonts w:hint="eastAsia" w:ascii="宋体" w:hAnsi="宋体" w:cs="Arial"/>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联系人：</w:t>
      </w:r>
      <w:r>
        <w:rPr>
          <w:rFonts w:hint="eastAsia" w:ascii="宋体" w:hAnsi="宋体" w:cs="Arial"/>
          <w:color w:val="000000"/>
          <w:kern w:val="0"/>
          <w:sz w:val="24"/>
          <w:lang w:eastAsia="zh-CN"/>
        </w:rPr>
        <w:t>项先生</w:t>
      </w:r>
      <w:r>
        <w:rPr>
          <w:rFonts w:hint="eastAsia" w:ascii="宋体" w:hAnsi="宋体" w:cs="Arial"/>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联系电话：</w:t>
      </w:r>
      <w:r>
        <w:rPr>
          <w:rFonts w:hint="eastAsia" w:ascii="宋体" w:hAnsi="宋体" w:cs="宋体"/>
          <w:color w:val="000000"/>
          <w:sz w:val="24"/>
        </w:rPr>
        <w:t>0571-82327909</w:t>
      </w:r>
      <w:r>
        <w:rPr>
          <w:rFonts w:hint="eastAsia" w:ascii="宋体" w:hAnsi="宋体" w:cs="Arial"/>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hint="eastAsia" w:ascii="宋体" w:hAnsi="宋体" w:cs="Arial"/>
          <w:color w:val="000000"/>
          <w:kern w:val="0"/>
          <w:sz w:val="24"/>
        </w:rPr>
      </w:pPr>
      <w:r>
        <w:rPr>
          <w:rFonts w:hint="eastAsia" w:ascii="宋体" w:hAnsi="宋体" w:cs="Arial"/>
          <w:color w:val="000000"/>
          <w:kern w:val="0"/>
          <w:sz w:val="24"/>
        </w:rPr>
        <w:t>传真：</w:t>
      </w:r>
      <w:r>
        <w:rPr>
          <w:rFonts w:hint="eastAsia" w:ascii="宋体" w:hAnsi="宋体" w:cs="Arial"/>
          <w:color w:val="000000"/>
          <w:kern w:val="0"/>
          <w:sz w:val="24"/>
          <w:lang w:eastAsia="zh-CN"/>
        </w:rPr>
        <w:t>无</w:t>
      </w:r>
      <w:r>
        <w:rPr>
          <w:rFonts w:hint="eastAsia" w:ascii="宋体" w:hAnsi="宋体" w:cs="Arial"/>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ascii="Arial" w:hAnsi="Arial" w:cs="Arial"/>
          <w:color w:val="000000"/>
          <w:kern w:val="0"/>
          <w:sz w:val="24"/>
        </w:rPr>
      </w:pPr>
      <w:r>
        <w:rPr>
          <w:rFonts w:hint="eastAsia" w:ascii="宋体" w:hAnsi="宋体" w:cs="Arial"/>
          <w:color w:val="000000"/>
          <w:kern w:val="0"/>
          <w:sz w:val="24"/>
        </w:rPr>
        <w:t>地址：</w:t>
      </w:r>
      <w:r>
        <w:rPr>
          <w:rFonts w:hint="eastAsia" w:ascii="宋体" w:hAnsi="宋体" w:cs="Arial"/>
          <w:color w:val="000000"/>
          <w:kern w:val="0"/>
          <w:sz w:val="24"/>
          <w:lang w:val="en-US" w:eastAsia="zh-CN"/>
        </w:rPr>
        <w:t>杭州市萧山区宁税路217号</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420" w:firstLineChars="175"/>
        <w:jc w:val="left"/>
        <w:textAlignment w:val="auto"/>
        <w:outlineLvl w:val="9"/>
        <w:rPr>
          <w:rFonts w:hint="eastAsia" w:ascii="Arial" w:hAnsi="Arial" w:cs="Arial"/>
          <w:color w:val="000000"/>
          <w:kern w:val="0"/>
          <w:sz w:val="24"/>
        </w:rPr>
      </w:pPr>
      <w:r>
        <w:rPr>
          <w:rFonts w:hint="eastAsia" w:ascii="宋体" w:hAnsi="宋体" w:cs="Arial"/>
          <w:color w:val="000000"/>
          <w:kern w:val="0"/>
          <w:sz w:val="24"/>
        </w:rPr>
        <w:t>3、同级政府采购监督管理部门名称：</w:t>
      </w:r>
      <w:r>
        <w:rPr>
          <w:rFonts w:hint="eastAsia" w:ascii="Arial" w:hAnsi="Arial" w:cs="Arial"/>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hint="eastAsia" w:ascii="Arial" w:hAnsi="Arial" w:cs="Arial"/>
          <w:color w:val="000000"/>
          <w:kern w:val="0"/>
          <w:sz w:val="24"/>
        </w:rPr>
      </w:pPr>
      <w:r>
        <w:rPr>
          <w:rFonts w:hint="eastAsia" w:ascii="宋体" w:hAnsi="宋体" w:cs="Arial"/>
          <w:color w:val="000000"/>
          <w:kern w:val="0"/>
          <w:sz w:val="24"/>
        </w:rPr>
        <w:t>杭州市萧山区财政局  杭州市</w:t>
      </w:r>
      <w:r>
        <w:rPr>
          <w:rFonts w:ascii="宋体" w:hAnsi="宋体" w:cs="Arial"/>
          <w:color w:val="000000"/>
          <w:kern w:val="0"/>
          <w:sz w:val="24"/>
        </w:rPr>
        <w:t>萧山区招投标管理办公室</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ascii="Arial" w:hAnsi="Arial" w:cs="Arial"/>
          <w:color w:val="000000"/>
          <w:kern w:val="0"/>
          <w:sz w:val="24"/>
        </w:rPr>
      </w:pPr>
      <w:r>
        <w:rPr>
          <w:rFonts w:hint="eastAsia" w:ascii="宋体" w:hAnsi="宋体" w:cs="Arial"/>
          <w:color w:val="000000"/>
          <w:kern w:val="0"/>
          <w:sz w:val="24"/>
        </w:rPr>
        <w:t xml:space="preserve">联系人：朱佳琦 </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ascii="Arial" w:hAnsi="Arial" w:cs="Arial"/>
          <w:color w:val="000000"/>
          <w:kern w:val="0"/>
          <w:sz w:val="24"/>
        </w:rPr>
      </w:pPr>
      <w:r>
        <w:rPr>
          <w:rFonts w:hint="eastAsia" w:ascii="宋体" w:hAnsi="宋体" w:cs="Arial"/>
          <w:color w:val="000000"/>
          <w:kern w:val="0"/>
          <w:sz w:val="24"/>
        </w:rPr>
        <w:t>监督投诉电话：</w:t>
      </w:r>
      <w:r>
        <w:rPr>
          <w:rFonts w:hint="eastAsia" w:ascii="宋体" w:hAnsi="宋体" w:cs="Arial"/>
          <w:color w:val="000000"/>
          <w:kern w:val="0"/>
          <w:sz w:val="24"/>
          <w:lang w:val="en-US" w:eastAsia="zh-CN"/>
        </w:rPr>
        <w:t>0571-</w:t>
      </w:r>
      <w:r>
        <w:rPr>
          <w:rFonts w:hint="eastAsia" w:ascii="宋体" w:hAnsi="宋体" w:cs="Arial"/>
          <w:color w:val="000000"/>
          <w:kern w:val="0"/>
          <w:sz w:val="24"/>
        </w:rPr>
        <w:t>82769101</w:t>
      </w:r>
    </w:p>
    <w:p>
      <w:pPr>
        <w:keepNext w:val="0"/>
        <w:keepLines w:val="0"/>
        <w:pageBreakBefore w:val="0"/>
        <w:widowControl/>
        <w:kinsoku/>
        <w:wordWrap/>
        <w:overflowPunct/>
        <w:topLinePunct w:val="0"/>
        <w:autoSpaceDE/>
        <w:autoSpaceDN/>
        <w:bidi w:val="0"/>
        <w:adjustRightInd/>
        <w:snapToGrid/>
        <w:spacing w:before="75" w:after="75" w:line="440" w:lineRule="exact"/>
        <w:ind w:left="0" w:leftChars="0" w:firstLine="840" w:firstLineChars="350"/>
        <w:jc w:val="left"/>
        <w:textAlignment w:val="auto"/>
        <w:outlineLvl w:val="9"/>
        <w:rPr>
          <w:rFonts w:ascii="Arial" w:hAnsi="Arial" w:cs="Arial"/>
          <w:color w:val="000000"/>
          <w:kern w:val="0"/>
          <w:sz w:val="24"/>
        </w:rPr>
      </w:pPr>
      <w:r>
        <w:rPr>
          <w:rFonts w:hint="eastAsia" w:ascii="宋体" w:hAnsi="宋体" w:cs="Arial"/>
          <w:color w:val="000000"/>
          <w:kern w:val="0"/>
          <w:sz w:val="24"/>
        </w:rPr>
        <w:t>传真：</w:t>
      </w:r>
      <w:r>
        <w:rPr>
          <w:rFonts w:hint="eastAsia" w:ascii="宋体" w:hAnsi="宋体" w:cs="Arial"/>
          <w:color w:val="000000"/>
          <w:kern w:val="0"/>
          <w:sz w:val="24"/>
          <w:lang w:val="en-US" w:eastAsia="zh-CN"/>
        </w:rPr>
        <w:t>0571-</w:t>
      </w:r>
      <w:r>
        <w:rPr>
          <w:rFonts w:hint="eastAsia" w:ascii="宋体" w:hAnsi="宋体" w:cs="Arial"/>
          <w:color w:val="000000"/>
          <w:kern w:val="0"/>
          <w:sz w:val="24"/>
        </w:rPr>
        <w:t>827</w:t>
      </w:r>
      <w:r>
        <w:rPr>
          <w:rFonts w:ascii="宋体" w:hAnsi="宋体" w:cs="Arial"/>
          <w:color w:val="000000"/>
          <w:kern w:val="0"/>
          <w:sz w:val="24"/>
        </w:rPr>
        <w:t>69</w:t>
      </w:r>
      <w:r>
        <w:rPr>
          <w:rFonts w:hint="eastAsia" w:ascii="宋体" w:hAnsi="宋体" w:cs="Arial"/>
          <w:color w:val="000000"/>
          <w:kern w:val="0"/>
          <w:sz w:val="24"/>
        </w:rPr>
        <w:t>101</w:t>
      </w:r>
    </w:p>
    <w:p>
      <w:pPr>
        <w:keepNext w:val="0"/>
        <w:keepLines w:val="0"/>
        <w:pageBreakBefore w:val="0"/>
        <w:kinsoku/>
        <w:wordWrap/>
        <w:overflowPunct/>
        <w:topLinePunct w:val="0"/>
        <w:autoSpaceDE/>
        <w:autoSpaceDN/>
        <w:bidi w:val="0"/>
        <w:adjustRightInd/>
        <w:snapToGrid/>
        <w:spacing w:line="440" w:lineRule="exact"/>
        <w:ind w:left="0" w:leftChars="0" w:firstLine="840" w:firstLineChars="350"/>
        <w:textAlignment w:val="auto"/>
        <w:outlineLvl w:val="9"/>
        <w:rPr>
          <w:rFonts w:hint="eastAsia"/>
          <w:color w:val="000000"/>
        </w:rPr>
      </w:pPr>
      <w:r>
        <w:rPr>
          <w:rFonts w:hint="eastAsia" w:ascii="宋体" w:hAnsi="宋体" w:cs="Arial"/>
          <w:color w:val="000000"/>
          <w:kern w:val="0"/>
          <w:sz w:val="24"/>
        </w:rPr>
        <w:t>地址：杭州市萧山区人民路318号</w:t>
      </w:r>
    </w:p>
    <w:p>
      <w:pPr>
        <w:pStyle w:val="2"/>
        <w:rPr>
          <w:rFonts w:ascii="宋体" w:hAnsi="宋体"/>
          <w:b w:val="0"/>
          <w:bCs/>
          <w:color w:val="000000"/>
          <w:kern w:val="0"/>
          <w:sz w:val="24"/>
        </w:rPr>
      </w:pPr>
    </w:p>
    <w:p>
      <w:pPr>
        <w:pStyle w:val="2"/>
        <w:rPr>
          <w:color w:val="000000"/>
        </w:rPr>
      </w:pPr>
      <w:r>
        <w:rPr>
          <w:rFonts w:ascii="宋体" w:hAnsi="宋体"/>
          <w:b w:val="0"/>
          <w:bCs/>
          <w:color w:val="000000"/>
          <w:kern w:val="0"/>
          <w:sz w:val="24"/>
        </w:rPr>
        <w:br w:type="page"/>
      </w:r>
      <w:bookmarkStart w:id="4" w:name="_Toc331323738"/>
      <w:bookmarkStart w:id="5" w:name="_Toc5275"/>
      <w:r>
        <w:rPr>
          <w:rFonts w:hint="eastAsia"/>
          <w:color w:val="000000"/>
        </w:rPr>
        <w:t>第二部分  投标人须知</w:t>
      </w:r>
      <w:bookmarkEnd w:id="3"/>
      <w:bookmarkEnd w:id="4"/>
      <w:bookmarkEnd w:id="5"/>
    </w:p>
    <w:p>
      <w:pPr>
        <w:spacing w:line="360" w:lineRule="auto"/>
        <w:ind w:firstLine="482" w:firstLineChars="200"/>
        <w:jc w:val="center"/>
        <w:rPr>
          <w:rFonts w:hint="eastAsia" w:ascii="宋体" w:hAnsi="宋体"/>
          <w:b/>
          <w:color w:val="000000"/>
          <w:sz w:val="24"/>
        </w:rPr>
      </w:pPr>
      <w:r>
        <w:rPr>
          <w:rFonts w:hint="eastAsia" w:ascii="宋体" w:hAnsi="宋体"/>
          <w:b/>
          <w:color w:val="000000"/>
          <w:sz w:val="24"/>
        </w:rPr>
        <w:t>前附表</w:t>
      </w:r>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4"/>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6" w:hRule="atLeast"/>
          <w:jc w:val="center"/>
        </w:trPr>
        <w:tc>
          <w:tcPr>
            <w:tcW w:w="814" w:type="dxa"/>
            <w:tcBorders>
              <w:top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color w:val="000000"/>
                <w:sz w:val="24"/>
              </w:rPr>
            </w:pPr>
            <w:r>
              <w:rPr>
                <w:rFonts w:hint="eastAsia" w:ascii="宋体" w:hAnsi="宋体"/>
                <w:b/>
                <w:bCs/>
                <w:color w:val="000000"/>
                <w:sz w:val="24"/>
              </w:rPr>
              <w:t>条款</w:t>
            </w:r>
          </w:p>
        </w:tc>
        <w:tc>
          <w:tcPr>
            <w:tcW w:w="8460" w:type="dxa"/>
            <w:tcBorders>
              <w:top w:val="single" w:color="000000" w:sz="4" w:space="0"/>
              <w:left w:val="single" w:color="auto" w:sz="4" w:space="0"/>
              <w:bottom w:val="single" w:color="000000" w:sz="4" w:space="0"/>
            </w:tcBorders>
            <w:noWrap w:val="0"/>
            <w:vAlign w:val="center"/>
          </w:tcPr>
          <w:p>
            <w:pPr>
              <w:spacing w:line="360" w:lineRule="auto"/>
              <w:jc w:val="center"/>
              <w:rPr>
                <w:rFonts w:hint="eastAsia" w:ascii="宋体" w:hAnsi="宋体"/>
                <w:b/>
                <w:color w:val="000000"/>
                <w:sz w:val="24"/>
              </w:rPr>
            </w:pPr>
            <w:r>
              <w:rPr>
                <w:rFonts w:hint="eastAsia" w:ascii="宋体" w:hAnsi="宋体"/>
                <w:b/>
                <w:color w:val="000000"/>
                <w:sz w:val="24"/>
              </w:rPr>
              <w:t>内    容    规    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567" w:hRule="atLeast"/>
          <w:jc w:val="center"/>
        </w:trPr>
        <w:tc>
          <w:tcPr>
            <w:tcW w:w="814" w:type="dxa"/>
            <w:tcBorders>
              <w:top w:val="single" w:color="000000" w:sz="4" w:space="0"/>
              <w:right w:val="single" w:color="auto" w:sz="4" w:space="0"/>
            </w:tcBorders>
            <w:noWrap w:val="0"/>
            <w:vAlign w:val="center"/>
          </w:tcPr>
          <w:p>
            <w:pPr>
              <w:spacing w:line="360" w:lineRule="auto"/>
              <w:jc w:val="center"/>
              <w:rPr>
                <w:rFonts w:ascii="宋体" w:hAnsi="宋体"/>
                <w:b/>
                <w:bCs/>
                <w:color w:val="000000"/>
                <w:sz w:val="24"/>
              </w:rPr>
            </w:pPr>
            <w:r>
              <w:rPr>
                <w:rFonts w:hint="eastAsia" w:ascii="宋体" w:hAnsi="宋体"/>
                <w:b/>
                <w:bCs/>
                <w:color w:val="000000"/>
                <w:sz w:val="24"/>
              </w:rPr>
              <w:t>1</w:t>
            </w:r>
          </w:p>
          <w:p>
            <w:pPr>
              <w:spacing w:line="360" w:lineRule="auto"/>
              <w:jc w:val="center"/>
              <w:rPr>
                <w:rFonts w:hint="eastAsia" w:ascii="宋体" w:hAnsi="宋体"/>
                <w:color w:val="000000"/>
                <w:sz w:val="24"/>
              </w:rPr>
            </w:pPr>
          </w:p>
        </w:tc>
        <w:tc>
          <w:tcPr>
            <w:tcW w:w="8460" w:type="dxa"/>
            <w:tcBorders>
              <w:top w:val="single" w:color="000000"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2202" w:hanging="2202" w:hangingChars="394"/>
              <w:textAlignment w:val="auto"/>
              <w:outlineLvl w:val="9"/>
              <w:rPr>
                <w:rFonts w:ascii="宋体" w:hAnsi="宋体"/>
                <w:color w:val="000000"/>
                <w:sz w:val="24"/>
              </w:rPr>
            </w:pPr>
            <w:r>
              <w:rPr>
                <w:rFonts w:hint="eastAsia" w:ascii="宋体" w:hAnsi="宋体"/>
                <w:b/>
                <w:color w:val="000000"/>
                <w:spacing w:val="159"/>
                <w:kern w:val="0"/>
                <w:sz w:val="24"/>
              </w:rPr>
              <w:t>项目名</w:t>
            </w:r>
            <w:r>
              <w:rPr>
                <w:rFonts w:hint="eastAsia" w:ascii="宋体" w:hAnsi="宋体"/>
                <w:b/>
                <w:color w:val="000000"/>
                <w:spacing w:val="1"/>
                <w:kern w:val="0"/>
                <w:sz w:val="24"/>
              </w:rPr>
              <w:t>称</w:t>
            </w:r>
            <w:r>
              <w:rPr>
                <w:rFonts w:hint="eastAsia" w:ascii="宋体" w:hAnsi="宋体"/>
                <w:b/>
                <w:color w:val="000000"/>
                <w:sz w:val="24"/>
              </w:rPr>
              <w:t>：</w:t>
            </w:r>
            <w:r>
              <w:rPr>
                <w:rFonts w:hint="eastAsia" w:ascii="宋体" w:hAnsi="宋体" w:cs="宋体"/>
                <w:color w:val="000000"/>
                <w:sz w:val="24"/>
              </w:rPr>
              <w:t>市北交警中队过渡用房智能化弱电政府采购项目</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500" w:lineRule="exact"/>
              <w:ind w:left="105" w:leftChars="50" w:firstLine="2040" w:firstLineChars="850"/>
              <w:textAlignment w:val="auto"/>
              <w:outlineLvl w:val="9"/>
              <w:rPr>
                <w:rFonts w:hint="eastAsia" w:ascii="宋体" w:hAnsi="宋体"/>
                <w:color w:val="000000"/>
                <w:sz w:val="24"/>
              </w:rPr>
            </w:pPr>
            <w:r>
              <w:rPr>
                <w:rFonts w:hint="eastAsia" w:ascii="宋体" w:hAnsi="宋体"/>
                <w:color w:val="000000"/>
                <w:sz w:val="24"/>
              </w:rPr>
              <w:t>本项目属</w:t>
            </w:r>
            <w:r>
              <w:rPr>
                <w:rFonts w:hint="eastAsia" w:ascii="宋体" w:hAnsi="宋体"/>
                <w:color w:val="000000"/>
                <w:sz w:val="24"/>
                <w:u w:val="single"/>
              </w:rPr>
              <w:t xml:space="preserve"> 货物</w:t>
            </w:r>
            <w:r>
              <w:rPr>
                <w:rFonts w:hint="eastAsia" w:ascii="宋体" w:hAnsi="宋体"/>
                <w:color w:val="000000"/>
                <w:sz w:val="24"/>
                <w:u w:val="single"/>
                <w:lang w:val="en-US" w:eastAsia="zh-CN"/>
              </w:rPr>
              <w:t xml:space="preserve"> </w:t>
            </w:r>
            <w:r>
              <w:rPr>
                <w:rFonts w:hint="eastAsia" w:ascii="宋体" w:hAnsi="宋体"/>
                <w:color w:val="000000"/>
                <w:sz w:val="24"/>
              </w:rPr>
              <w:t>类采购。</w:t>
            </w:r>
          </w:p>
          <w:p>
            <w:pPr>
              <w:keepNext w:val="0"/>
              <w:keepLines w:val="0"/>
              <w:pageBreakBefore w:val="0"/>
              <w:widowControl w:val="0"/>
              <w:kinsoku/>
              <w:wordWrap/>
              <w:overflowPunct/>
              <w:topLinePunct w:val="0"/>
              <w:autoSpaceDE/>
              <w:autoSpaceDN/>
              <w:bidi w:val="0"/>
              <w:adjustRightInd/>
              <w:snapToGrid/>
              <w:spacing w:line="500" w:lineRule="exact"/>
              <w:ind w:left="2199" w:hanging="2199" w:hangingChars="392"/>
              <w:textAlignment w:val="auto"/>
              <w:outlineLvl w:val="9"/>
              <w:rPr>
                <w:rFonts w:hint="eastAsia" w:ascii="宋体" w:hAnsi="宋体"/>
                <w:color w:val="000000"/>
                <w:sz w:val="24"/>
              </w:rPr>
            </w:pPr>
            <w:r>
              <w:rPr>
                <w:rFonts w:hint="eastAsia" w:ascii="宋体" w:hAnsi="宋体"/>
                <w:b/>
                <w:color w:val="000000"/>
                <w:spacing w:val="160"/>
                <w:kern w:val="0"/>
                <w:sz w:val="24"/>
              </w:rPr>
              <w:t>项目内</w:t>
            </w:r>
            <w:r>
              <w:rPr>
                <w:rFonts w:hint="eastAsia" w:ascii="宋体" w:hAnsi="宋体"/>
                <w:b/>
                <w:color w:val="000000"/>
                <w:kern w:val="0"/>
                <w:sz w:val="24"/>
              </w:rPr>
              <w:t>容</w:t>
            </w:r>
            <w:r>
              <w:rPr>
                <w:rFonts w:hint="eastAsia" w:ascii="宋体" w:hAnsi="宋体"/>
                <w:color w:val="000000"/>
                <w:sz w:val="24"/>
              </w:rPr>
              <w:t>：</w:t>
            </w:r>
            <w:r>
              <w:rPr>
                <w:rFonts w:hint="eastAsia" w:ascii="宋体" w:hAnsi="宋体" w:cs="宋体"/>
                <w:color w:val="000000"/>
                <w:sz w:val="24"/>
              </w:rPr>
              <w:t>市北交警中队过渡用房智能化弱电</w:t>
            </w:r>
            <w:r>
              <w:rPr>
                <w:rFonts w:hint="eastAsia" w:ascii="宋体" w:hAnsi="宋体"/>
                <w:color w:val="000000"/>
                <w:sz w:val="24"/>
              </w:rPr>
              <w:t>，详见采购需求。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4"/>
              </w:rPr>
            </w:pPr>
            <w:r>
              <w:rPr>
                <w:rFonts w:hint="eastAsia" w:ascii="宋体" w:hAnsi="宋体"/>
                <w:b/>
                <w:color w:val="000000"/>
                <w:spacing w:val="48"/>
                <w:kern w:val="0"/>
                <w:sz w:val="24"/>
              </w:rPr>
              <w:t>项目实施地</w:t>
            </w:r>
            <w:r>
              <w:rPr>
                <w:rFonts w:hint="eastAsia" w:ascii="宋体" w:hAnsi="宋体"/>
                <w:b/>
                <w:color w:val="000000"/>
                <w:kern w:val="0"/>
                <w:sz w:val="24"/>
              </w:rPr>
              <w:t>点</w:t>
            </w:r>
            <w:r>
              <w:rPr>
                <w:rFonts w:hint="eastAsia" w:ascii="宋体" w:hAnsi="宋体"/>
                <w:color w:val="000000"/>
                <w:sz w:val="24"/>
              </w:rPr>
              <w:t>：采购人指定地点内。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4"/>
              </w:rPr>
            </w:pPr>
            <w:r>
              <w:rPr>
                <w:rFonts w:hint="eastAsia" w:ascii="宋体" w:hAnsi="宋体"/>
                <w:b/>
                <w:color w:val="000000"/>
                <w:kern w:val="0"/>
                <w:sz w:val="24"/>
              </w:rPr>
              <w:t>本次采购标项划分</w:t>
            </w:r>
            <w:r>
              <w:rPr>
                <w:rFonts w:hint="eastAsia" w:ascii="宋体" w:hAnsi="宋体"/>
                <w:b/>
                <w:color w:val="000000"/>
                <w:sz w:val="24"/>
              </w:rPr>
              <w:t>：</w:t>
            </w:r>
            <w:r>
              <w:rPr>
                <w:rFonts w:hint="eastAsia" w:ascii="宋体" w:hAnsi="宋体"/>
                <w:color w:val="000000"/>
                <w:sz w:val="24"/>
              </w:rPr>
              <w:t>本项目分为</w:t>
            </w:r>
            <w:r>
              <w:rPr>
                <w:rFonts w:hint="eastAsia" w:ascii="宋体" w:hAnsi="宋体"/>
                <w:color w:val="000000"/>
                <w:sz w:val="24"/>
                <w:u w:val="single"/>
              </w:rPr>
              <w:t xml:space="preserve">  </w:t>
            </w:r>
            <w:r>
              <w:rPr>
                <w:rFonts w:ascii="宋体" w:hAnsi="宋体"/>
                <w:color w:val="000000"/>
                <w:sz w:val="24"/>
                <w:u w:val="single"/>
              </w:rPr>
              <w:t>1</w:t>
            </w:r>
            <w:r>
              <w:rPr>
                <w:rFonts w:hint="eastAsia" w:ascii="宋体" w:hAnsi="宋体"/>
                <w:color w:val="000000"/>
                <w:sz w:val="24"/>
                <w:u w:val="single"/>
              </w:rPr>
              <w:t xml:space="preserve"> </w:t>
            </w:r>
            <w:r>
              <w:rPr>
                <w:rFonts w:hint="eastAsia" w:ascii="宋体" w:hAnsi="宋体"/>
                <w:color w:val="000000"/>
                <w:sz w:val="24"/>
              </w:rPr>
              <w:t>个标项，同一标项不得拆分。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4"/>
              </w:rPr>
            </w:pPr>
            <w:r>
              <w:rPr>
                <w:rFonts w:hint="eastAsia" w:ascii="宋体" w:hAnsi="宋体"/>
                <w:b/>
                <w:color w:val="000000"/>
                <w:sz w:val="24"/>
              </w:rPr>
              <w:t>工            期</w:t>
            </w:r>
            <w:r>
              <w:rPr>
                <w:rFonts w:hint="eastAsia" w:ascii="宋体" w:hAnsi="宋体"/>
                <w:color w:val="000000"/>
                <w:sz w:val="24"/>
              </w:rPr>
              <w:t>：</w:t>
            </w:r>
            <w:r>
              <w:rPr>
                <w:rFonts w:hint="eastAsia" w:ascii="宋体" w:hAnsi="宋体"/>
                <w:color w:val="000000"/>
                <w:sz w:val="24"/>
                <w:u w:val="single"/>
              </w:rPr>
              <w:t>详见采购需求</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82" w:hRule="atLeast"/>
          <w:jc w:val="center"/>
        </w:trPr>
        <w:tc>
          <w:tcPr>
            <w:tcW w:w="814" w:type="dxa"/>
            <w:tcBorders>
              <w:top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000000"/>
                <w:sz w:val="24"/>
              </w:rPr>
            </w:pPr>
            <w:r>
              <w:rPr>
                <w:rFonts w:hint="eastAsia" w:ascii="宋体" w:hAnsi="宋体"/>
                <w:b/>
                <w:bCs/>
                <w:color w:val="000000"/>
                <w:sz w:val="24"/>
              </w:rPr>
              <w:t>2</w:t>
            </w:r>
          </w:p>
        </w:tc>
        <w:tc>
          <w:tcPr>
            <w:tcW w:w="8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2199" w:hanging="2199" w:hangingChars="525"/>
              <w:textAlignment w:val="auto"/>
              <w:outlineLvl w:val="9"/>
              <w:rPr>
                <w:rFonts w:hint="eastAsia" w:ascii="宋体" w:hAnsi="宋体"/>
                <w:color w:val="000000"/>
                <w:sz w:val="24"/>
              </w:rPr>
            </w:pPr>
            <w:r>
              <w:rPr>
                <w:rFonts w:hint="eastAsia" w:ascii="宋体" w:hAnsi="宋体"/>
                <w:b/>
                <w:color w:val="000000"/>
                <w:spacing w:val="89"/>
                <w:kern w:val="0"/>
                <w:sz w:val="24"/>
              </w:rPr>
              <w:t>投标有效</w:t>
            </w:r>
            <w:r>
              <w:rPr>
                <w:rFonts w:hint="eastAsia" w:ascii="宋体" w:hAnsi="宋体"/>
                <w:b/>
                <w:color w:val="000000"/>
                <w:spacing w:val="2"/>
                <w:kern w:val="0"/>
                <w:sz w:val="24"/>
              </w:rPr>
              <w:t>期</w:t>
            </w:r>
            <w:r>
              <w:rPr>
                <w:rFonts w:hint="eastAsia" w:ascii="宋体" w:hAnsi="宋体"/>
                <w:b/>
                <w:color w:val="000000"/>
                <w:sz w:val="24"/>
              </w:rPr>
              <w:t>：</w:t>
            </w:r>
            <w:r>
              <w:rPr>
                <w:rFonts w:hint="eastAsia" w:ascii="宋体" w:hAnsi="宋体"/>
                <w:color w:val="000000"/>
                <w:sz w:val="24"/>
              </w:rPr>
              <w:t>自投标截止日起</w:t>
            </w:r>
            <w:r>
              <w:rPr>
                <w:rFonts w:hint="eastAsia" w:ascii="宋体" w:hAnsi="宋体"/>
                <w:color w:val="000000"/>
                <w:sz w:val="24"/>
                <w:u w:val="single"/>
              </w:rPr>
              <w:t>90</w:t>
            </w:r>
            <w:r>
              <w:rPr>
                <w:rFonts w:hint="eastAsia" w:ascii="宋体" w:hAnsi="宋体"/>
                <w:color w:val="000000"/>
                <w:sz w:val="24"/>
              </w:rPr>
              <w:t>日历天。如招标组织机构认为必要，可延长至总计最长不超过</w:t>
            </w:r>
            <w:r>
              <w:rPr>
                <w:rFonts w:hint="eastAsia" w:ascii="宋体" w:hAnsi="宋体"/>
                <w:color w:val="000000"/>
                <w:sz w:val="24"/>
                <w:u w:val="single"/>
              </w:rPr>
              <w:t>120</w:t>
            </w:r>
            <w:r>
              <w:rPr>
                <w:rFonts w:hint="eastAsia" w:ascii="宋体" w:hAnsi="宋体"/>
                <w:color w:val="000000"/>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6" w:hRule="atLeast"/>
          <w:jc w:val="center"/>
        </w:trPr>
        <w:tc>
          <w:tcPr>
            <w:tcW w:w="814" w:type="dxa"/>
            <w:tcBorders>
              <w:top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000000"/>
                <w:sz w:val="24"/>
              </w:rPr>
            </w:pPr>
            <w:r>
              <w:rPr>
                <w:rFonts w:hint="eastAsia" w:ascii="宋体" w:hAnsi="宋体"/>
                <w:b/>
                <w:bCs/>
                <w:color w:val="000000"/>
                <w:sz w:val="24"/>
              </w:rPr>
              <w:t>3</w:t>
            </w:r>
          </w:p>
        </w:tc>
        <w:tc>
          <w:tcPr>
            <w:tcW w:w="84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2192" w:hanging="2192" w:hangingChars="786"/>
              <w:textAlignment w:val="auto"/>
              <w:outlineLvl w:val="9"/>
              <w:rPr>
                <w:rFonts w:hint="eastAsia" w:ascii="宋体" w:hAnsi="宋体"/>
                <w:color w:val="000000"/>
                <w:sz w:val="24"/>
              </w:rPr>
            </w:pPr>
            <w:r>
              <w:rPr>
                <w:rFonts w:hint="eastAsia" w:ascii="宋体" w:hAnsi="宋体"/>
                <w:b/>
                <w:color w:val="000000"/>
                <w:spacing w:val="19"/>
                <w:kern w:val="0"/>
                <w:sz w:val="24"/>
              </w:rPr>
              <w:t>投标保证金数</w:t>
            </w:r>
            <w:r>
              <w:rPr>
                <w:rFonts w:hint="eastAsia" w:ascii="宋体" w:hAnsi="宋体"/>
                <w:b/>
                <w:color w:val="000000"/>
                <w:spacing w:val="3"/>
                <w:kern w:val="0"/>
                <w:sz w:val="24"/>
              </w:rPr>
              <w:t>额</w:t>
            </w:r>
            <w:r>
              <w:rPr>
                <w:rFonts w:hint="eastAsia" w:ascii="宋体" w:hAnsi="宋体"/>
                <w:b/>
                <w:color w:val="000000"/>
                <w:sz w:val="24"/>
              </w:rPr>
              <w:t>：</w:t>
            </w:r>
            <w:r>
              <w:rPr>
                <w:rFonts w:hint="eastAsia" w:ascii="宋体" w:hAnsi="宋体"/>
                <w:color w:val="000000"/>
                <w:sz w:val="24"/>
              </w:rPr>
              <w:t>见招标公告。投标人开标时间</w:t>
            </w:r>
            <w:r>
              <w:rPr>
                <w:rFonts w:ascii="宋体" w:hAnsi="宋体"/>
                <w:color w:val="000000"/>
                <w:sz w:val="24"/>
              </w:rPr>
              <w:t>（</w:t>
            </w:r>
            <w:r>
              <w:rPr>
                <w:rFonts w:hint="eastAsia" w:ascii="宋体" w:hAnsi="宋体"/>
                <w:color w:val="000000"/>
                <w:sz w:val="24"/>
              </w:rPr>
              <w:t>投标截止</w:t>
            </w:r>
            <w:r>
              <w:rPr>
                <w:rFonts w:ascii="宋体" w:hAnsi="宋体"/>
                <w:color w:val="000000"/>
                <w:sz w:val="24"/>
              </w:rPr>
              <w:t>时间）</w:t>
            </w:r>
            <w:r>
              <w:rPr>
                <w:rFonts w:hint="eastAsia" w:ascii="宋体" w:hAnsi="宋体"/>
                <w:color w:val="000000"/>
                <w:sz w:val="24"/>
              </w:rPr>
              <w:t>前将投标保证金缴至杭州市公共资源交易中心萧山分中心并获取</w:t>
            </w:r>
            <w:r>
              <w:rPr>
                <w:rFonts w:hint="eastAsia" w:ascii="宋体" w:hAnsi="宋体"/>
                <w:b/>
                <w:color w:val="000000"/>
                <w:sz w:val="24"/>
              </w:rPr>
              <w:t>保证金递交函并</w:t>
            </w:r>
            <w:r>
              <w:rPr>
                <w:rFonts w:ascii="宋体" w:hAnsi="宋体"/>
                <w:b/>
                <w:color w:val="000000"/>
                <w:sz w:val="24"/>
              </w:rPr>
              <w:t>做入</w:t>
            </w:r>
            <w:r>
              <w:rPr>
                <w:rFonts w:hint="eastAsia" w:ascii="宋体" w:hAnsi="宋体"/>
                <w:b/>
                <w:color w:val="000000"/>
                <w:sz w:val="24"/>
              </w:rPr>
              <w:t>投标</w:t>
            </w:r>
            <w:r>
              <w:rPr>
                <w:rFonts w:ascii="宋体" w:hAnsi="宋体"/>
                <w:b/>
                <w:color w:val="000000"/>
                <w:sz w:val="24"/>
              </w:rPr>
              <w:t>文件</w:t>
            </w:r>
            <w:r>
              <w:rPr>
                <w:rFonts w:hint="eastAsia" w:ascii="宋体" w:hAnsi="宋体"/>
                <w:b/>
                <w:color w:val="000000"/>
                <w:sz w:val="24"/>
              </w:rPr>
              <w:t>。（</w:t>
            </w:r>
            <w:r>
              <w:rPr>
                <w:rFonts w:hint="eastAsia" w:ascii="宋体" w:hAnsi="宋体"/>
                <w:color w:val="000000"/>
                <w:sz w:val="24"/>
              </w:rPr>
              <w:t>帐户名称：杭州市公共资源交易中心萧山分中心；开户银行：建行萧山支行； 帐号：3300 1617 0350 5300 0389）。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4" w:hRule="atLeast"/>
          <w:jc w:val="center"/>
        </w:trPr>
        <w:tc>
          <w:tcPr>
            <w:tcW w:w="814" w:type="dxa"/>
            <w:tcBorders>
              <w:top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000000"/>
                <w:sz w:val="24"/>
              </w:rPr>
            </w:pPr>
            <w:r>
              <w:rPr>
                <w:rFonts w:hint="eastAsia" w:ascii="宋体" w:hAnsi="宋体"/>
                <w:b/>
                <w:bCs/>
                <w:color w:val="000000"/>
                <w:sz w:val="24"/>
              </w:rPr>
              <w:t>4</w:t>
            </w:r>
          </w:p>
        </w:tc>
        <w:tc>
          <w:tcPr>
            <w:tcW w:w="84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2146" w:hanging="2146" w:hangingChars="637"/>
              <w:textAlignment w:val="auto"/>
              <w:outlineLvl w:val="9"/>
              <w:rPr>
                <w:rFonts w:hint="eastAsia" w:ascii="宋体" w:hAnsi="宋体"/>
                <w:color w:val="000000"/>
                <w:sz w:val="24"/>
              </w:rPr>
            </w:pPr>
            <w:r>
              <w:rPr>
                <w:rFonts w:hint="eastAsia" w:ascii="宋体" w:hAnsi="宋体"/>
                <w:b/>
                <w:color w:val="000000"/>
                <w:spacing w:val="48"/>
                <w:kern w:val="0"/>
                <w:sz w:val="24"/>
              </w:rPr>
              <w:t>投标文件份</w:t>
            </w:r>
            <w:r>
              <w:rPr>
                <w:rFonts w:hint="eastAsia" w:ascii="宋体" w:hAnsi="宋体"/>
                <w:b/>
                <w:color w:val="000000"/>
                <w:kern w:val="0"/>
                <w:sz w:val="24"/>
              </w:rPr>
              <w:t>数</w:t>
            </w:r>
            <w:r>
              <w:rPr>
                <w:rFonts w:hint="eastAsia" w:ascii="宋体" w:hAnsi="宋体"/>
                <w:color w:val="000000"/>
                <w:sz w:val="24"/>
              </w:rPr>
              <w:t>：正本</w:t>
            </w:r>
            <w:r>
              <w:rPr>
                <w:rFonts w:hint="eastAsia" w:ascii="宋体" w:hAnsi="宋体"/>
                <w:color w:val="000000"/>
                <w:sz w:val="24"/>
                <w:u w:val="single"/>
                <w:lang w:val="en-US" w:eastAsia="zh-CN"/>
              </w:rPr>
              <w:t xml:space="preserve"> </w:t>
            </w:r>
            <w:r>
              <w:rPr>
                <w:rFonts w:hint="eastAsia" w:ascii="宋体" w:hAnsi="宋体"/>
                <w:color w:val="000000"/>
                <w:sz w:val="24"/>
                <w:u w:val="single"/>
              </w:rPr>
              <w:t>壹</w:t>
            </w:r>
            <w:r>
              <w:rPr>
                <w:rFonts w:hint="eastAsia" w:ascii="宋体" w:hAnsi="宋体"/>
                <w:color w:val="000000"/>
                <w:sz w:val="24"/>
                <w:u w:val="single"/>
                <w:lang w:val="en-US" w:eastAsia="zh-CN"/>
              </w:rPr>
              <w:t xml:space="preserve"> </w:t>
            </w:r>
            <w:r>
              <w:rPr>
                <w:rFonts w:hint="eastAsia" w:ascii="宋体" w:hAnsi="宋体"/>
                <w:color w:val="000000"/>
                <w:sz w:val="24"/>
              </w:rPr>
              <w:t xml:space="preserve">份、副本 </w:t>
            </w:r>
            <w:r>
              <w:rPr>
                <w:rFonts w:ascii="宋体" w:hAnsi="宋体"/>
                <w:color w:val="000000"/>
                <w:sz w:val="24"/>
                <w:u w:val="single"/>
              </w:rPr>
              <w:t xml:space="preserve"> </w:t>
            </w:r>
            <w:r>
              <w:rPr>
                <w:rFonts w:hint="eastAsia" w:ascii="宋体" w:hAnsi="宋体"/>
                <w:color w:val="000000"/>
                <w:sz w:val="24"/>
                <w:u w:val="single"/>
                <w:lang w:eastAsia="zh-CN"/>
              </w:rPr>
              <w:t>肆</w:t>
            </w:r>
            <w:r>
              <w:rPr>
                <w:rFonts w:hint="eastAsia" w:ascii="宋体" w:hAnsi="宋体"/>
                <w:color w:val="000000"/>
                <w:sz w:val="24"/>
                <w:u w:val="single"/>
              </w:rPr>
              <w:t xml:space="preserve"> </w:t>
            </w:r>
            <w:r>
              <w:rPr>
                <w:rFonts w:hint="eastAsia" w:ascii="宋体" w:hAnsi="宋体"/>
                <w:color w:val="000000"/>
                <w:sz w:val="24"/>
              </w:rPr>
              <w:t xml:space="preserve">份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94" w:hRule="atLeast"/>
          <w:jc w:val="center"/>
        </w:trPr>
        <w:tc>
          <w:tcPr>
            <w:tcW w:w="814" w:type="dxa"/>
            <w:tcBorders>
              <w:top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000000"/>
                <w:sz w:val="24"/>
              </w:rPr>
            </w:pPr>
            <w:r>
              <w:rPr>
                <w:rFonts w:hint="eastAsia" w:ascii="宋体" w:hAnsi="宋体"/>
                <w:b/>
                <w:bCs/>
                <w:color w:val="000000"/>
                <w:sz w:val="24"/>
              </w:rPr>
              <w:t>5</w:t>
            </w:r>
          </w:p>
        </w:tc>
        <w:tc>
          <w:tcPr>
            <w:tcW w:w="84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4"/>
              </w:rPr>
            </w:pPr>
            <w:r>
              <w:rPr>
                <w:rFonts w:hint="eastAsia" w:ascii="宋体" w:hAnsi="宋体"/>
                <w:b/>
                <w:color w:val="000000"/>
                <w:sz w:val="24"/>
              </w:rPr>
              <w:t>投标文件递交时间、开标时间</w:t>
            </w:r>
            <w:r>
              <w:rPr>
                <w:rFonts w:hint="eastAsia" w:ascii="宋体" w:hAnsi="宋体"/>
                <w:color w:val="000000"/>
                <w:sz w:val="24"/>
              </w:rPr>
              <w:t>：详见招标公告</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4"/>
              </w:rPr>
            </w:pPr>
            <w:r>
              <w:rPr>
                <w:rFonts w:hint="eastAsia" w:ascii="宋体" w:hAnsi="宋体"/>
                <w:b/>
                <w:color w:val="000000"/>
                <w:sz w:val="24"/>
              </w:rPr>
              <w:t>投标文件递交地点、开标地点：</w:t>
            </w:r>
            <w:r>
              <w:rPr>
                <w:rFonts w:hint="eastAsia" w:ascii="宋体" w:hAnsi="宋体"/>
                <w:color w:val="000000"/>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1" w:hRule="atLeast"/>
          <w:jc w:val="center"/>
        </w:trPr>
        <w:tc>
          <w:tcPr>
            <w:tcW w:w="814" w:type="dxa"/>
            <w:tcBorders>
              <w:top w:val="single" w:color="000000"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rPr>
            </w:pPr>
            <w:r>
              <w:rPr>
                <w:rFonts w:ascii="宋体" w:hAnsi="宋体"/>
                <w:b/>
                <w:bCs/>
                <w:color w:val="000000"/>
                <w:sz w:val="24"/>
              </w:rPr>
              <w:t>6</w:t>
            </w:r>
          </w:p>
        </w:tc>
        <w:tc>
          <w:tcPr>
            <w:tcW w:w="846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4"/>
              </w:rPr>
            </w:pPr>
            <w:r>
              <w:rPr>
                <w:rFonts w:hint="eastAsia" w:ascii="宋体" w:hAnsi="宋体"/>
                <w:b/>
                <w:color w:val="000000"/>
                <w:spacing w:val="160"/>
                <w:kern w:val="0"/>
                <w:sz w:val="24"/>
              </w:rPr>
              <w:t>评标方</w:t>
            </w:r>
            <w:r>
              <w:rPr>
                <w:rFonts w:hint="eastAsia" w:ascii="宋体" w:hAnsi="宋体"/>
                <w:b/>
                <w:color w:val="000000"/>
                <w:kern w:val="0"/>
                <w:sz w:val="24"/>
              </w:rPr>
              <w:t>法</w:t>
            </w:r>
            <w:r>
              <w:rPr>
                <w:rFonts w:hint="eastAsia" w:ascii="宋体" w:hAnsi="宋体"/>
                <w:color w:val="000000"/>
                <w:sz w:val="24"/>
              </w:rPr>
              <w:t>：采用</w:t>
            </w:r>
            <w:r>
              <w:rPr>
                <w:rFonts w:hint="eastAsia" w:ascii="宋体" w:hAnsi="宋体"/>
                <w:color w:val="000000"/>
                <w:sz w:val="24"/>
                <w:u w:val="singl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0" w:hRule="atLeast"/>
          <w:jc w:val="center"/>
        </w:trPr>
        <w:tc>
          <w:tcPr>
            <w:tcW w:w="81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rPr>
            </w:pPr>
            <w:r>
              <w:rPr>
                <w:rFonts w:ascii="宋体" w:hAnsi="宋体"/>
                <w:b/>
                <w:bCs/>
                <w:color w:val="000000"/>
                <w:sz w:val="24"/>
              </w:rPr>
              <w:t>7</w:t>
            </w:r>
          </w:p>
        </w:tc>
        <w:tc>
          <w:tcPr>
            <w:tcW w:w="846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kern w:val="0"/>
                <w:sz w:val="24"/>
              </w:rPr>
            </w:pPr>
            <w:r>
              <w:rPr>
                <w:rFonts w:hint="eastAsia" w:ascii="宋体" w:hAnsi="宋体"/>
                <w:b/>
                <w:color w:val="000000"/>
                <w:spacing w:val="90"/>
                <w:kern w:val="0"/>
                <w:sz w:val="24"/>
              </w:rPr>
              <w:t>履约保证</w:t>
            </w:r>
            <w:r>
              <w:rPr>
                <w:rFonts w:hint="eastAsia" w:ascii="宋体" w:hAnsi="宋体"/>
                <w:b/>
                <w:color w:val="000000"/>
                <w:kern w:val="0"/>
                <w:sz w:val="24"/>
              </w:rPr>
              <w:t>金</w:t>
            </w:r>
            <w:r>
              <w:rPr>
                <w:rFonts w:hint="eastAsia" w:ascii="宋体" w:hAnsi="宋体"/>
                <w:color w:val="000000"/>
                <w:sz w:val="24"/>
              </w:rPr>
              <w:t xml:space="preserve">：中标金额的  </w:t>
            </w:r>
            <w:r>
              <w:rPr>
                <w:rFonts w:hint="eastAsia" w:ascii="宋体" w:hAnsi="宋体"/>
                <w:color w:val="000000"/>
                <w:sz w:val="24"/>
                <w:u w:val="single"/>
              </w:rPr>
              <w:t>10%</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sz w:val="24"/>
              </w:rPr>
            </w:pPr>
            <w:r>
              <w:rPr>
                <w:rFonts w:hint="eastAsia" w:ascii="宋体" w:hAnsi="宋体"/>
                <w:b/>
                <w:color w:val="000000"/>
                <w:spacing w:val="90"/>
                <w:kern w:val="0"/>
                <w:sz w:val="24"/>
              </w:rPr>
              <w:t>质量保证</w:t>
            </w:r>
            <w:r>
              <w:rPr>
                <w:rFonts w:hint="eastAsia" w:ascii="宋体" w:hAnsi="宋体"/>
                <w:b/>
                <w:color w:val="000000"/>
                <w:kern w:val="0"/>
                <w:sz w:val="24"/>
              </w:rPr>
              <w:t>金</w:t>
            </w:r>
            <w:r>
              <w:rPr>
                <w:rFonts w:hint="eastAsia" w:ascii="宋体" w:hAnsi="宋体"/>
                <w:color w:val="000000"/>
                <w:sz w:val="24"/>
              </w:rPr>
              <w:t xml:space="preserve">：中标金额的  </w:t>
            </w:r>
            <w:r>
              <w:rPr>
                <w:rFonts w:hint="eastAsia" w:ascii="宋体" w:hAnsi="宋体"/>
                <w:color w:val="000000"/>
                <w:sz w:val="24"/>
                <w:u w:val="single"/>
              </w:rPr>
              <w:t>5%</w:t>
            </w:r>
          </w:p>
        </w:tc>
      </w:tr>
    </w:tbl>
    <w:p>
      <w:pPr>
        <w:ind w:firstLine="480" w:firstLineChars="200"/>
        <w:rPr>
          <w:rFonts w:hint="eastAsia"/>
          <w:color w:val="000000"/>
          <w:sz w:val="24"/>
        </w:rPr>
      </w:pPr>
    </w:p>
    <w:p>
      <w:pPr>
        <w:ind w:firstLine="482" w:firstLineChars="200"/>
        <w:rPr>
          <w:rFonts w:hint="eastAsia"/>
          <w:b/>
          <w:color w:val="000000"/>
        </w:rPr>
      </w:pPr>
      <w:r>
        <w:rPr>
          <w:rFonts w:hint="eastAsia"/>
          <w:b/>
          <w:color w:val="000000"/>
          <w:sz w:val="24"/>
        </w:rPr>
        <w:t>凡本招标文件中打</w:t>
      </w:r>
      <w:r>
        <w:rPr>
          <w:rFonts w:hint="eastAsia" w:ascii="宋体" w:hAnsi="宋体"/>
          <w:b/>
          <w:color w:val="000000"/>
          <w:sz w:val="24"/>
        </w:rPr>
        <w:t>★内容为实质性要求，不允许有负偏差，否则将涉及无效标条款作无效投标处理。</w:t>
      </w:r>
    </w:p>
    <w:p>
      <w:pPr>
        <w:rPr>
          <w:rFonts w:hint="eastAsia"/>
          <w:color w:val="000000"/>
        </w:rPr>
      </w:pPr>
      <w:r>
        <w:rPr>
          <w:color w:val="000000"/>
        </w:rPr>
        <w:br w:type="page"/>
      </w:r>
    </w:p>
    <w:p>
      <w:pPr>
        <w:pStyle w:val="3"/>
        <w:rPr>
          <w:rFonts w:hint="eastAsia"/>
          <w:color w:val="000000"/>
        </w:rPr>
      </w:pPr>
      <w:bookmarkStart w:id="6" w:name="_Toc2190"/>
      <w:bookmarkStart w:id="7" w:name="_Toc331323739"/>
      <w:r>
        <w:rPr>
          <w:rFonts w:hint="eastAsia"/>
          <w:color w:val="000000"/>
        </w:rPr>
        <w:t>第一节  投标人须知之通用条款</w:t>
      </w:r>
      <w:bookmarkEnd w:id="6"/>
      <w:bookmarkEnd w:id="7"/>
    </w:p>
    <w:p>
      <w:pPr>
        <w:pStyle w:val="4"/>
        <w:rPr>
          <w:rFonts w:hint="eastAsia"/>
          <w:color w:val="000000"/>
        </w:rPr>
      </w:pPr>
      <w:bookmarkStart w:id="8" w:name="_Hlt74714665"/>
      <w:bookmarkEnd w:id="8"/>
      <w:bookmarkStart w:id="9" w:name="_Hlt74730295"/>
      <w:bookmarkEnd w:id="9"/>
      <w:bookmarkStart w:id="10" w:name="_Toc10723"/>
      <w:bookmarkStart w:id="11" w:name="_Toc91899872"/>
      <w:bookmarkStart w:id="12" w:name="_Hlt74730112"/>
      <w:bookmarkStart w:id="13" w:name="_Hlt74730208"/>
      <w:r>
        <w:rPr>
          <w:rFonts w:hint="eastAsia"/>
          <w:color w:val="000000"/>
        </w:rPr>
        <w:t>一、总则</w:t>
      </w:r>
      <w:bookmarkEnd w:id="10"/>
    </w:p>
    <w:p>
      <w:pPr>
        <w:spacing w:line="360" w:lineRule="auto"/>
        <w:ind w:firstLine="482" w:firstLineChars="200"/>
        <w:rPr>
          <w:rFonts w:hint="eastAsia" w:ascii="宋体" w:hAnsi="宋体"/>
          <w:b/>
          <w:color w:val="000000"/>
          <w:sz w:val="24"/>
        </w:rPr>
      </w:pPr>
      <w:r>
        <w:rPr>
          <w:rFonts w:hint="eastAsia" w:ascii="宋体" w:hAnsi="宋体"/>
          <w:b/>
          <w:color w:val="000000"/>
          <w:sz w:val="24"/>
        </w:rPr>
        <w:t>1.项目说明</w:t>
      </w:r>
      <w:bookmarkEnd w:id="11"/>
    </w:p>
    <w:p>
      <w:pPr>
        <w:spacing w:line="360" w:lineRule="auto"/>
        <w:ind w:firstLine="480" w:firstLineChars="200"/>
        <w:rPr>
          <w:rFonts w:hint="eastAsia" w:ascii="宋体" w:hAnsi="宋体"/>
          <w:color w:val="000000"/>
          <w:sz w:val="24"/>
        </w:rPr>
      </w:pPr>
      <w:r>
        <w:rPr>
          <w:rFonts w:hint="eastAsia" w:ascii="宋体" w:hAnsi="宋体"/>
          <w:color w:val="000000"/>
          <w:sz w:val="24"/>
        </w:rPr>
        <w:t>1.1项目说明见投标人须知前附表第1项所述。</w:t>
      </w:r>
    </w:p>
    <w:p>
      <w:pPr>
        <w:spacing w:line="360" w:lineRule="auto"/>
        <w:ind w:firstLine="480" w:firstLineChars="200"/>
        <w:rPr>
          <w:rFonts w:hint="eastAsia" w:ascii="宋体" w:hAnsi="宋体"/>
          <w:color w:val="000000"/>
          <w:sz w:val="24"/>
        </w:rPr>
      </w:pPr>
      <w:r>
        <w:rPr>
          <w:rFonts w:hint="eastAsia" w:ascii="宋体" w:hAnsi="宋体"/>
          <w:color w:val="000000"/>
          <w:sz w:val="24"/>
        </w:rPr>
        <w:t>1.2采购本项目的单位为采购人，受采购人委托组织实施本次采购的单位为招标组织机构，自愿参加本次项目投标的公司等为投标人，经评审产生并经中标公告的投标人为中标人，签订合同后的中标人为供应商（合同中的乙方）。</w:t>
      </w:r>
    </w:p>
    <w:p>
      <w:pPr>
        <w:spacing w:line="360" w:lineRule="auto"/>
        <w:ind w:firstLine="480" w:firstLineChars="200"/>
        <w:rPr>
          <w:rFonts w:hint="eastAsia" w:ascii="宋体" w:hAnsi="宋体"/>
          <w:color w:val="000000"/>
          <w:sz w:val="24"/>
        </w:rPr>
      </w:pPr>
      <w:r>
        <w:rPr>
          <w:rFonts w:hint="eastAsia" w:ascii="宋体" w:hAnsi="宋体"/>
          <w:color w:val="000000"/>
          <w:sz w:val="24"/>
        </w:rPr>
        <w:t>1.3投标人一旦参与本次招标活动，即被视为接受了本招标文件的所有内容，如有任何异议，均已在法定时间内提出。</w:t>
      </w:r>
    </w:p>
    <w:p>
      <w:pPr>
        <w:spacing w:line="360" w:lineRule="auto"/>
        <w:ind w:firstLine="480" w:firstLineChars="200"/>
        <w:rPr>
          <w:rFonts w:hint="eastAsia" w:ascii="宋体" w:hAnsi="宋体"/>
          <w:color w:val="000000"/>
          <w:sz w:val="24"/>
        </w:rPr>
      </w:pPr>
      <w:r>
        <w:rPr>
          <w:rFonts w:hint="eastAsia" w:ascii="宋体" w:hAnsi="宋体"/>
          <w:color w:val="000000"/>
          <w:sz w:val="24"/>
        </w:rPr>
        <w:t>1.4投标人须对所投产品、方案、技术、服务等拥有合法的占有和处置权，并对涉及项目的所有内容可能侵权行为指控负责，保证不伤害采购人的利益，给采购人造成损失的，</w:t>
      </w:r>
      <w:r>
        <w:rPr>
          <w:rFonts w:hint="eastAsia"/>
          <w:color w:val="000000"/>
        </w:rPr>
        <w:t>投标人</w:t>
      </w:r>
      <w:r>
        <w:rPr>
          <w:rFonts w:hint="eastAsia" w:ascii="宋体" w:hAnsi="宋体"/>
          <w:color w:val="000000"/>
          <w:sz w:val="24"/>
        </w:rPr>
        <w:t>应承担相应后果，并负责赔偿。在法律范围内，采购人对上述可能的侵权行为概不负责。供应商为执行本项目合同而提供的技术资料等归采购人所有。</w:t>
      </w:r>
    </w:p>
    <w:p>
      <w:pPr>
        <w:spacing w:line="360" w:lineRule="auto"/>
        <w:ind w:firstLine="482" w:firstLineChars="200"/>
        <w:rPr>
          <w:rFonts w:hint="eastAsia" w:ascii="宋体" w:hAnsi="宋体"/>
          <w:b/>
          <w:color w:val="000000"/>
          <w:sz w:val="24"/>
        </w:rPr>
      </w:pPr>
      <w:bookmarkStart w:id="14" w:name="_Toc91899873"/>
      <w:r>
        <w:rPr>
          <w:rFonts w:hint="eastAsia" w:ascii="宋体" w:hAnsi="宋体"/>
          <w:b/>
          <w:color w:val="000000"/>
          <w:sz w:val="24"/>
        </w:rPr>
        <w:t>2.采购方式</w:t>
      </w:r>
      <w:bookmarkEnd w:id="14"/>
    </w:p>
    <w:p>
      <w:pPr>
        <w:spacing w:line="360" w:lineRule="auto"/>
        <w:ind w:firstLine="480" w:firstLineChars="200"/>
        <w:rPr>
          <w:rFonts w:hint="eastAsia" w:ascii="宋体" w:hAnsi="宋体"/>
          <w:color w:val="000000"/>
          <w:sz w:val="24"/>
        </w:rPr>
      </w:pPr>
      <w:r>
        <w:rPr>
          <w:rFonts w:hint="eastAsia" w:ascii="宋体" w:hAnsi="宋体"/>
          <w:color w:val="000000"/>
          <w:sz w:val="24"/>
        </w:rPr>
        <w:t>公开招标。</w:t>
      </w:r>
      <w:bookmarkEnd w:id="12"/>
      <w:bookmarkEnd w:id="13"/>
      <w:bookmarkStart w:id="15" w:name="_Hlt68516771"/>
      <w:bookmarkEnd w:id="15"/>
      <w:bookmarkStart w:id="16" w:name="_Hlt74388212"/>
      <w:bookmarkEnd w:id="16"/>
    </w:p>
    <w:p>
      <w:pPr>
        <w:spacing w:line="360" w:lineRule="auto"/>
        <w:ind w:firstLine="482" w:firstLineChars="200"/>
        <w:rPr>
          <w:rFonts w:hint="eastAsia" w:ascii="宋体" w:hAnsi="宋体"/>
          <w:b/>
          <w:color w:val="000000"/>
          <w:sz w:val="24"/>
        </w:rPr>
      </w:pPr>
      <w:bookmarkStart w:id="17" w:name="_Hlt74730301"/>
      <w:bookmarkStart w:id="18" w:name="_Toc91899876"/>
      <w:r>
        <w:rPr>
          <w:rFonts w:hint="eastAsia" w:ascii="宋体" w:hAnsi="宋体"/>
          <w:b/>
          <w:color w:val="000000"/>
          <w:sz w:val="24"/>
        </w:rPr>
        <w:t>3.投标人应具备的资格要求</w:t>
      </w:r>
      <w:bookmarkEnd w:id="17"/>
      <w:bookmarkEnd w:id="18"/>
      <w:bookmarkStart w:id="19" w:name="_Toc91899877"/>
      <w:bookmarkStart w:id="20" w:name="_Hlt74730303"/>
    </w:p>
    <w:p>
      <w:pPr>
        <w:spacing w:line="360" w:lineRule="auto"/>
        <w:ind w:firstLine="480" w:firstLineChars="200"/>
        <w:rPr>
          <w:rFonts w:hint="eastAsia" w:ascii="宋体" w:hAnsi="宋体"/>
          <w:color w:val="000000"/>
          <w:sz w:val="24"/>
        </w:rPr>
      </w:pPr>
      <w:r>
        <w:rPr>
          <w:rFonts w:hint="eastAsia" w:ascii="宋体" w:hAnsi="宋体"/>
          <w:color w:val="000000"/>
          <w:sz w:val="24"/>
        </w:rPr>
        <w:t>见本招标文件第一部分“招标公告”第四条。</w:t>
      </w:r>
    </w:p>
    <w:p>
      <w:pPr>
        <w:spacing w:line="360" w:lineRule="auto"/>
        <w:ind w:firstLine="482" w:firstLineChars="200"/>
        <w:rPr>
          <w:rFonts w:hint="eastAsia" w:ascii="宋体" w:hAnsi="宋体"/>
          <w:b/>
          <w:color w:val="000000"/>
          <w:sz w:val="24"/>
        </w:rPr>
      </w:pPr>
      <w:r>
        <w:rPr>
          <w:rFonts w:hint="eastAsia" w:ascii="宋体" w:hAnsi="宋体"/>
          <w:b/>
          <w:color w:val="000000"/>
          <w:sz w:val="24"/>
        </w:rPr>
        <w:t>4.定义</w:t>
      </w:r>
    </w:p>
    <w:p>
      <w:pPr>
        <w:spacing w:line="360" w:lineRule="auto"/>
        <w:ind w:firstLine="480" w:firstLineChars="200"/>
        <w:rPr>
          <w:rFonts w:hint="eastAsia" w:ascii="宋体" w:hAnsi="宋体"/>
          <w:color w:val="000000"/>
          <w:sz w:val="24"/>
        </w:rPr>
      </w:pPr>
      <w:r>
        <w:rPr>
          <w:rFonts w:hint="eastAsia" w:ascii="宋体" w:hAnsi="宋体"/>
          <w:color w:val="000000"/>
          <w:sz w:val="24"/>
        </w:rPr>
        <w:t>4.1货物</w:t>
      </w:r>
    </w:p>
    <w:p>
      <w:pPr>
        <w:spacing w:line="360" w:lineRule="auto"/>
        <w:ind w:firstLine="480" w:firstLineChars="200"/>
        <w:rPr>
          <w:rFonts w:hint="eastAsia" w:ascii="宋体" w:hAnsi="宋体"/>
          <w:color w:val="000000"/>
          <w:sz w:val="24"/>
        </w:rPr>
      </w:pPr>
      <w:r>
        <w:rPr>
          <w:rFonts w:hint="eastAsia" w:ascii="宋体" w:hAnsi="宋体"/>
          <w:color w:val="000000"/>
          <w:sz w:val="24"/>
        </w:rPr>
        <w:t>系指供方按招标文件规定，须向采购人提供的一切设备、备品备件、工具、手册及其它有关技术资料和材料。</w:t>
      </w:r>
    </w:p>
    <w:p>
      <w:pPr>
        <w:spacing w:line="360" w:lineRule="auto"/>
        <w:ind w:firstLine="480" w:firstLineChars="200"/>
        <w:rPr>
          <w:rFonts w:hint="eastAsia" w:ascii="宋体" w:hAnsi="宋体"/>
          <w:color w:val="000000"/>
          <w:sz w:val="24"/>
        </w:rPr>
      </w:pPr>
      <w:r>
        <w:rPr>
          <w:rFonts w:hint="eastAsia" w:ascii="宋体" w:hAnsi="宋体"/>
          <w:color w:val="000000"/>
          <w:sz w:val="24"/>
        </w:rPr>
        <w:t>4.2服务</w:t>
      </w:r>
    </w:p>
    <w:p>
      <w:pPr>
        <w:spacing w:line="360" w:lineRule="auto"/>
        <w:ind w:firstLine="480" w:firstLineChars="200"/>
        <w:rPr>
          <w:rFonts w:hint="eastAsia" w:ascii="宋体" w:hAnsi="宋体"/>
          <w:color w:val="000000"/>
          <w:sz w:val="24"/>
        </w:rPr>
      </w:pPr>
      <w:r>
        <w:rPr>
          <w:rFonts w:hint="eastAsia" w:ascii="宋体" w:hAnsi="宋体"/>
          <w:color w:val="000000"/>
          <w:sz w:val="24"/>
        </w:rPr>
        <w:t>系指合同规定供应商须承担的运输、装卸、仓储、安装、调试、验收、技术支持、校准、培训、技术指导等类似义务及交付使用后，质保期内应履行的售后服务等义务。</w:t>
      </w:r>
    </w:p>
    <w:p>
      <w:pPr>
        <w:spacing w:line="360" w:lineRule="auto"/>
        <w:ind w:firstLine="482" w:firstLineChars="200"/>
        <w:rPr>
          <w:rFonts w:hint="eastAsia" w:ascii="宋体" w:hAnsi="宋体"/>
          <w:b/>
          <w:color w:val="000000"/>
          <w:sz w:val="24"/>
        </w:rPr>
      </w:pPr>
      <w:r>
        <w:rPr>
          <w:rFonts w:hint="eastAsia" w:ascii="宋体" w:hAnsi="宋体"/>
          <w:b/>
          <w:color w:val="000000"/>
          <w:sz w:val="24"/>
        </w:rPr>
        <w:t>5.投标费用</w:t>
      </w:r>
      <w:bookmarkEnd w:id="19"/>
    </w:p>
    <w:bookmarkEnd w:id="20"/>
    <w:p>
      <w:pPr>
        <w:spacing w:line="360" w:lineRule="auto"/>
        <w:ind w:firstLine="480" w:firstLineChars="200"/>
        <w:rPr>
          <w:rFonts w:hint="eastAsia" w:ascii="宋体" w:hAnsi="宋体"/>
          <w:color w:val="000000"/>
          <w:sz w:val="24"/>
        </w:rPr>
      </w:pPr>
      <w:r>
        <w:rPr>
          <w:rFonts w:hint="eastAsia" w:ascii="宋体" w:hAnsi="宋体"/>
          <w:color w:val="000000"/>
          <w:sz w:val="24"/>
        </w:rPr>
        <w:t>投标人需自行承担涉及投标的一切费用。</w:t>
      </w:r>
    </w:p>
    <w:p>
      <w:pPr>
        <w:pStyle w:val="4"/>
        <w:rPr>
          <w:rFonts w:hint="eastAsia"/>
          <w:color w:val="000000"/>
        </w:rPr>
      </w:pPr>
      <w:bookmarkStart w:id="21" w:name="_Hlt68072990"/>
      <w:bookmarkEnd w:id="21"/>
      <w:bookmarkStart w:id="22" w:name="_Hlt74707468"/>
      <w:bookmarkEnd w:id="22"/>
      <w:bookmarkStart w:id="23" w:name="_Hlt75236290"/>
      <w:bookmarkEnd w:id="23"/>
      <w:bookmarkStart w:id="24" w:name="_Hlt68057669"/>
      <w:bookmarkEnd w:id="24"/>
      <w:bookmarkStart w:id="25" w:name="_Hlt74729768"/>
      <w:bookmarkEnd w:id="25"/>
      <w:bookmarkStart w:id="26" w:name="_Toc91899879"/>
      <w:bookmarkStart w:id="27" w:name="_Toc23046"/>
      <w:r>
        <w:rPr>
          <w:rFonts w:hint="eastAsia"/>
          <w:color w:val="000000"/>
        </w:rPr>
        <w:t>二、招标文件</w:t>
      </w:r>
      <w:bookmarkEnd w:id="26"/>
      <w:bookmarkEnd w:id="27"/>
    </w:p>
    <w:p>
      <w:pPr>
        <w:spacing w:line="360" w:lineRule="auto"/>
        <w:ind w:firstLine="482" w:firstLineChars="200"/>
        <w:rPr>
          <w:rFonts w:hint="eastAsia" w:ascii="宋体" w:hAnsi="宋体"/>
          <w:b/>
          <w:color w:val="000000"/>
          <w:sz w:val="24"/>
        </w:rPr>
      </w:pPr>
      <w:bookmarkStart w:id="28" w:name="_Toc91899880"/>
      <w:bookmarkStart w:id="29" w:name="_Hlt74730307"/>
      <w:r>
        <w:rPr>
          <w:rFonts w:hint="eastAsia" w:ascii="宋体" w:hAnsi="宋体"/>
          <w:b/>
          <w:color w:val="000000"/>
          <w:sz w:val="24"/>
        </w:rPr>
        <w:t>6.招标文件的构成</w:t>
      </w:r>
      <w:bookmarkEnd w:id="28"/>
    </w:p>
    <w:bookmarkEnd w:id="29"/>
    <w:p>
      <w:pPr>
        <w:spacing w:line="360" w:lineRule="auto"/>
        <w:ind w:firstLine="480" w:firstLineChars="200"/>
        <w:rPr>
          <w:rFonts w:hint="eastAsia" w:ascii="宋体" w:hAnsi="宋体"/>
          <w:color w:val="000000"/>
          <w:sz w:val="24"/>
        </w:rPr>
      </w:pPr>
      <w:r>
        <w:rPr>
          <w:rFonts w:hint="eastAsia" w:ascii="宋体" w:hAnsi="宋体"/>
          <w:color w:val="000000"/>
          <w:sz w:val="24"/>
        </w:rPr>
        <w:t>投标人应认真审阅招标文件中所有的内容，包括投标人注意事项、招标公告、投标人须知、采购需求、投标文件格式及其附件、合同等。如果投标人编制的投标文件实质上不响应招标文件的要求，其投标将被认定为</w:t>
      </w:r>
      <w:r>
        <w:rPr>
          <w:rFonts w:hint="eastAsia" w:ascii="黑体" w:hAnsi="宋体" w:eastAsia="黑体"/>
          <w:color w:val="000000"/>
          <w:sz w:val="24"/>
          <w:u w:val="dotted"/>
        </w:rPr>
        <w:t>无效投标</w:t>
      </w:r>
      <w:r>
        <w:rPr>
          <w:rFonts w:hint="eastAsia" w:ascii="宋体" w:hAnsi="宋体"/>
          <w:color w:val="000000"/>
          <w:sz w:val="24"/>
        </w:rPr>
        <w:t>。</w:t>
      </w:r>
    </w:p>
    <w:p>
      <w:pPr>
        <w:spacing w:line="360" w:lineRule="auto"/>
        <w:ind w:firstLine="482" w:firstLineChars="200"/>
        <w:rPr>
          <w:rFonts w:hint="eastAsia" w:ascii="宋体" w:hAnsi="宋体"/>
          <w:b/>
          <w:color w:val="000000"/>
          <w:sz w:val="24"/>
        </w:rPr>
      </w:pPr>
      <w:r>
        <w:rPr>
          <w:rFonts w:hint="eastAsia" w:ascii="宋体" w:hAnsi="宋体"/>
          <w:b/>
          <w:color w:val="000000"/>
          <w:sz w:val="24"/>
        </w:rPr>
        <w:t>7.招标文件的解释</w:t>
      </w:r>
    </w:p>
    <w:p>
      <w:pPr>
        <w:spacing w:line="360" w:lineRule="auto"/>
        <w:ind w:firstLine="480" w:firstLineChars="200"/>
        <w:rPr>
          <w:rFonts w:hint="eastAsia" w:ascii="宋体" w:hAnsi="宋体"/>
          <w:color w:val="000000"/>
          <w:sz w:val="24"/>
        </w:rPr>
      </w:pPr>
      <w:r>
        <w:rPr>
          <w:rFonts w:hint="eastAsia" w:ascii="宋体" w:hAnsi="宋体"/>
          <w:color w:val="000000"/>
          <w:sz w:val="24"/>
        </w:rPr>
        <w:t>7.1已获取招标文件的潜在投标人，若有问题需要询问，应以书面形式送达招标组织机构或采购人。采购人与招标组织机构经研究，对确需回答的问题，将以书面形式对有关问题进行解答。</w:t>
      </w:r>
    </w:p>
    <w:p>
      <w:pPr>
        <w:spacing w:line="360" w:lineRule="auto"/>
        <w:ind w:firstLine="480" w:firstLineChars="200"/>
        <w:rPr>
          <w:rFonts w:hint="eastAsia" w:ascii="宋体" w:hAnsi="宋体"/>
          <w:color w:val="000000"/>
          <w:sz w:val="24"/>
        </w:rPr>
      </w:pPr>
      <w:r>
        <w:rPr>
          <w:rFonts w:hint="eastAsia" w:ascii="宋体" w:hAnsi="宋体"/>
          <w:color w:val="000000"/>
          <w:sz w:val="24"/>
        </w:rPr>
        <w:t>7.2不论招标组织机构向投标人发送的资料文件，还是对投标人提出的问题，均采用书面形式，口头答复一律无效。</w:t>
      </w:r>
    </w:p>
    <w:p>
      <w:pPr>
        <w:spacing w:line="360" w:lineRule="auto"/>
        <w:ind w:firstLine="480" w:firstLineChars="200"/>
        <w:rPr>
          <w:rFonts w:hint="eastAsia" w:ascii="宋体" w:hAnsi="宋体"/>
          <w:color w:val="000000"/>
          <w:sz w:val="24"/>
        </w:rPr>
      </w:pPr>
      <w:r>
        <w:rPr>
          <w:rFonts w:hint="eastAsia" w:ascii="宋体" w:hAnsi="宋体"/>
          <w:color w:val="000000"/>
          <w:sz w:val="24"/>
        </w:rPr>
        <w:t>7.3招标组织机构视招标项目的具体情况，组织全部潜在的投标人进行现场考察或召开答疑会的，时间另行通知。</w:t>
      </w:r>
    </w:p>
    <w:p>
      <w:pPr>
        <w:spacing w:line="360" w:lineRule="auto"/>
        <w:ind w:firstLine="354" w:firstLineChars="147"/>
        <w:rPr>
          <w:rFonts w:hint="eastAsia" w:ascii="宋体" w:hAnsi="宋体"/>
          <w:b/>
          <w:color w:val="000000"/>
          <w:sz w:val="24"/>
        </w:rPr>
      </w:pPr>
      <w:r>
        <w:rPr>
          <w:rFonts w:hint="eastAsia" w:ascii="宋体" w:hAnsi="宋体"/>
          <w:b/>
          <w:color w:val="000000"/>
          <w:sz w:val="24"/>
        </w:rPr>
        <w:t>8.招标文件的修改</w:t>
      </w:r>
    </w:p>
    <w:p>
      <w:pPr>
        <w:spacing w:line="360" w:lineRule="auto"/>
        <w:ind w:firstLine="360" w:firstLineChars="150"/>
        <w:rPr>
          <w:rFonts w:hint="eastAsia" w:ascii="宋体" w:hAnsi="宋体"/>
          <w:color w:val="000000"/>
          <w:sz w:val="24"/>
        </w:rPr>
      </w:pPr>
      <w:r>
        <w:rPr>
          <w:rFonts w:hint="eastAsia" w:ascii="宋体" w:hAnsi="宋体"/>
          <w:color w:val="000000"/>
          <w:sz w:val="24"/>
        </w:rPr>
        <w:t>8.1从招标文件发出至投标截止日前五个工作日，招标组织机构可能会对已发出的招标文件进行澄清、答复、修改或补充，该内容为招标文件的组成部分。招标组织机构将在萧山区招投标管理信息网、浙江政府采购网上发布。</w:t>
      </w:r>
    </w:p>
    <w:p>
      <w:pPr>
        <w:spacing w:line="360" w:lineRule="auto"/>
        <w:ind w:firstLine="480" w:firstLineChars="200"/>
        <w:rPr>
          <w:rFonts w:hint="eastAsia" w:ascii="宋体" w:hAnsi="宋体"/>
          <w:color w:val="000000"/>
          <w:sz w:val="24"/>
        </w:rPr>
      </w:pPr>
      <w:r>
        <w:rPr>
          <w:rFonts w:hint="eastAsia" w:ascii="宋体" w:hAnsi="宋体"/>
          <w:color w:val="000000"/>
          <w:sz w:val="24"/>
        </w:rPr>
        <w:t>8.2招标文件澄清、答复、修改或补充都应通过招标组织机构发布，采购人非通过招标组织机构，不得擅自澄清、答复、修改或补充招标文件。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8.3采购人可以视采购具体情况，延长投标截止时间和开标时间，并在招标文件要求提交投标文件的截止时间前，在财政部门指定的政府采购信息发布媒体上发布更正公告。</w:t>
      </w:r>
    </w:p>
    <w:p>
      <w:pPr>
        <w:spacing w:line="360" w:lineRule="auto"/>
        <w:ind w:firstLine="482" w:firstLineChars="200"/>
        <w:rPr>
          <w:rFonts w:hint="eastAsia" w:ascii="宋体" w:hAnsi="宋体"/>
          <w:b/>
          <w:color w:val="000000"/>
          <w:sz w:val="24"/>
        </w:rPr>
      </w:pPr>
      <w:r>
        <w:rPr>
          <w:rFonts w:hint="eastAsia" w:ascii="宋体" w:hAnsi="宋体"/>
          <w:b/>
          <w:color w:val="000000"/>
          <w:sz w:val="24"/>
        </w:rPr>
        <w:t>9.投标报价及供货</w:t>
      </w:r>
    </w:p>
    <w:p>
      <w:pPr>
        <w:spacing w:line="360" w:lineRule="auto"/>
        <w:ind w:firstLine="480" w:firstLineChars="200"/>
        <w:rPr>
          <w:rFonts w:hint="eastAsia" w:ascii="宋体" w:hAnsi="宋体"/>
          <w:color w:val="000000"/>
          <w:sz w:val="24"/>
        </w:rPr>
      </w:pPr>
      <w:r>
        <w:rPr>
          <w:rFonts w:hint="eastAsia" w:ascii="宋体" w:hAnsi="宋体"/>
          <w:color w:val="000000"/>
          <w:sz w:val="24"/>
        </w:rPr>
        <w:t>9.1投标报价</w:t>
      </w:r>
    </w:p>
    <w:p>
      <w:pPr>
        <w:spacing w:line="360" w:lineRule="auto"/>
        <w:ind w:firstLine="480" w:firstLineChars="200"/>
        <w:rPr>
          <w:rFonts w:hint="eastAsia" w:ascii="宋体" w:hAnsi="宋体"/>
          <w:color w:val="000000"/>
          <w:sz w:val="24"/>
        </w:rPr>
      </w:pPr>
      <w:r>
        <w:rPr>
          <w:rFonts w:hint="eastAsia" w:ascii="宋体" w:hAnsi="宋体"/>
          <w:color w:val="000000"/>
          <w:sz w:val="24"/>
        </w:rPr>
        <w:t>投标人的报价是投标人响应招标项目要求的全部工作内容的价格体现，包括投标人完成本项目所需的一切费用。投标报价应是唯一的,任何有选择或有条件的报价将不予接受。</w:t>
      </w:r>
    </w:p>
    <w:p>
      <w:pPr>
        <w:spacing w:line="360" w:lineRule="auto"/>
        <w:ind w:firstLine="480" w:firstLineChars="200"/>
        <w:rPr>
          <w:rFonts w:hint="eastAsia" w:ascii="宋体" w:hAnsi="宋体"/>
          <w:color w:val="000000"/>
          <w:sz w:val="24"/>
        </w:rPr>
      </w:pPr>
      <w:r>
        <w:rPr>
          <w:rFonts w:hint="eastAsia" w:ascii="宋体" w:hAnsi="宋体"/>
          <w:color w:val="000000"/>
          <w:sz w:val="24"/>
        </w:rPr>
        <w:t>9.2其它费用处理</w:t>
      </w:r>
    </w:p>
    <w:p>
      <w:pPr>
        <w:spacing w:line="360" w:lineRule="auto"/>
        <w:ind w:firstLine="480" w:firstLineChars="200"/>
        <w:rPr>
          <w:rFonts w:hint="eastAsia" w:ascii="宋体" w:hAnsi="宋体"/>
          <w:color w:val="000000"/>
          <w:sz w:val="24"/>
        </w:rPr>
      </w:pPr>
      <w:r>
        <w:rPr>
          <w:rFonts w:hint="eastAsia" w:ascii="宋体" w:hAnsi="宋体"/>
          <w:color w:val="000000"/>
          <w:sz w:val="24"/>
        </w:rPr>
        <w:t>招标文件未列明，而投标人认为必需的费用也需列入报价。</w:t>
      </w:r>
    </w:p>
    <w:p>
      <w:pPr>
        <w:spacing w:line="360" w:lineRule="auto"/>
        <w:ind w:firstLine="480" w:firstLineChars="200"/>
        <w:rPr>
          <w:rFonts w:hint="eastAsia" w:ascii="宋体" w:hAnsi="宋体"/>
          <w:color w:val="000000"/>
          <w:sz w:val="24"/>
        </w:rPr>
      </w:pPr>
      <w:r>
        <w:rPr>
          <w:rFonts w:hint="eastAsia" w:ascii="宋体" w:hAnsi="宋体"/>
          <w:color w:val="000000"/>
          <w:sz w:val="24"/>
        </w:rPr>
        <w:t>9.3投标货币</w:t>
      </w:r>
    </w:p>
    <w:p>
      <w:pPr>
        <w:spacing w:line="360" w:lineRule="auto"/>
        <w:ind w:firstLine="480" w:firstLineChars="200"/>
        <w:rPr>
          <w:rFonts w:hint="eastAsia" w:ascii="宋体" w:hAnsi="宋体"/>
          <w:color w:val="000000"/>
          <w:sz w:val="24"/>
        </w:rPr>
      </w:pPr>
      <w:r>
        <w:rPr>
          <w:rFonts w:hint="eastAsia" w:ascii="宋体" w:hAnsi="宋体"/>
          <w:color w:val="000000"/>
          <w:sz w:val="24"/>
        </w:rPr>
        <w:t>投标文件中的单价和总价全部采用人民币报价。</w:t>
      </w:r>
    </w:p>
    <w:p>
      <w:pPr>
        <w:spacing w:line="360" w:lineRule="auto"/>
        <w:ind w:firstLine="480" w:firstLineChars="200"/>
        <w:rPr>
          <w:rFonts w:hint="eastAsia" w:ascii="宋体" w:hAnsi="宋体"/>
          <w:color w:val="000000"/>
          <w:sz w:val="24"/>
        </w:rPr>
      </w:pPr>
      <w:r>
        <w:rPr>
          <w:rFonts w:hint="eastAsia" w:ascii="宋体" w:hAnsi="宋体"/>
          <w:color w:val="000000"/>
          <w:sz w:val="24"/>
        </w:rPr>
        <w:t>9.4签订合同后，供应商按照其与采购人的事先约定将所供货物运至规定地点。</w:t>
      </w:r>
    </w:p>
    <w:p>
      <w:pPr>
        <w:spacing w:line="360" w:lineRule="auto"/>
        <w:ind w:firstLine="480" w:firstLineChars="200"/>
        <w:rPr>
          <w:rFonts w:hint="eastAsia" w:ascii="宋体" w:hAnsi="宋体"/>
          <w:color w:val="000000"/>
          <w:sz w:val="24"/>
        </w:rPr>
      </w:pPr>
      <w:r>
        <w:rPr>
          <w:rFonts w:hint="eastAsia" w:ascii="宋体" w:hAnsi="宋体"/>
          <w:color w:val="000000"/>
          <w:sz w:val="24"/>
        </w:rPr>
        <w:t>9.5投标人应明确供货期。供货期是指合同生效后，</w:t>
      </w:r>
      <w:r>
        <w:rPr>
          <w:rFonts w:hint="eastAsia"/>
          <w:color w:val="000000"/>
        </w:rPr>
        <w:t>供应商</w:t>
      </w:r>
      <w:r>
        <w:rPr>
          <w:rFonts w:hint="eastAsia" w:ascii="宋体" w:hAnsi="宋体"/>
          <w:color w:val="000000"/>
          <w:sz w:val="24"/>
        </w:rPr>
        <w:t>将所供货物按合同清单所列的品种、数量等，运至合同规定地点，安装、运行、验收合格后交付使用的期限。</w:t>
      </w:r>
    </w:p>
    <w:p>
      <w:pPr>
        <w:pStyle w:val="4"/>
        <w:rPr>
          <w:rFonts w:hint="eastAsia"/>
          <w:color w:val="000000"/>
        </w:rPr>
      </w:pPr>
      <w:bookmarkStart w:id="30" w:name="_Hlt75236011"/>
      <w:bookmarkEnd w:id="30"/>
      <w:bookmarkStart w:id="31" w:name="_Toc91899884"/>
      <w:bookmarkStart w:id="32" w:name="_Toc10791"/>
      <w:r>
        <w:rPr>
          <w:rFonts w:hint="eastAsia"/>
          <w:color w:val="000000"/>
        </w:rPr>
        <w:t>三、投标文件的编制</w:t>
      </w:r>
      <w:bookmarkEnd w:id="31"/>
      <w:bookmarkEnd w:id="32"/>
    </w:p>
    <w:p>
      <w:pPr>
        <w:spacing w:line="360" w:lineRule="auto"/>
        <w:ind w:firstLine="482" w:firstLineChars="200"/>
        <w:rPr>
          <w:rFonts w:hint="eastAsia" w:ascii="宋体" w:hAnsi="宋体"/>
          <w:b/>
          <w:color w:val="000000"/>
          <w:sz w:val="24"/>
        </w:rPr>
      </w:pPr>
      <w:r>
        <w:rPr>
          <w:rFonts w:hint="eastAsia" w:ascii="宋体" w:hAnsi="宋体"/>
          <w:b/>
          <w:color w:val="000000"/>
          <w:sz w:val="24"/>
        </w:rPr>
        <w:t>10.投标文件的语言</w:t>
      </w:r>
    </w:p>
    <w:p>
      <w:pPr>
        <w:spacing w:line="360" w:lineRule="auto"/>
        <w:ind w:firstLine="480" w:firstLineChars="200"/>
        <w:rPr>
          <w:rFonts w:ascii="宋体" w:hAnsi="宋体"/>
          <w:color w:val="000000"/>
          <w:sz w:val="24"/>
        </w:rPr>
      </w:pPr>
      <w:r>
        <w:rPr>
          <w:rFonts w:hint="eastAsia" w:ascii="宋体" w:hAnsi="宋体"/>
          <w:color w:val="000000"/>
          <w:sz w:val="24"/>
        </w:rPr>
        <w:t>投标文件及投标人与采购有关的来往通知、函件和文件均应使用中文。投标文件中如附有外文资料，必须逐一对应翻译成中文并加盖投标人公章后附在相关外文资料后面，否则外文资料不予认可。翻译的中文资料与外文资料不符的，以中文文本为准。翻译严重错误的，将视同提供虚假资料，不予退还投标保证金。</w:t>
      </w:r>
    </w:p>
    <w:p>
      <w:pPr>
        <w:spacing w:line="360" w:lineRule="auto"/>
        <w:ind w:firstLine="482" w:firstLineChars="200"/>
        <w:rPr>
          <w:rFonts w:hint="eastAsia" w:ascii="宋体" w:hAnsi="宋体"/>
          <w:color w:val="000000"/>
          <w:sz w:val="24"/>
        </w:rPr>
      </w:pPr>
      <w:r>
        <w:rPr>
          <w:rFonts w:hint="eastAsia" w:ascii="宋体" w:hAnsi="宋体"/>
          <w:b/>
          <w:color w:val="000000"/>
          <w:sz w:val="24"/>
        </w:rPr>
        <w:t>11.投标文件的组成</w:t>
      </w:r>
      <w:r>
        <w:rPr>
          <w:rFonts w:hint="eastAsia" w:ascii="宋体" w:hAnsi="宋体"/>
          <w:color w:val="000000"/>
          <w:sz w:val="24"/>
        </w:rPr>
        <w:t>（加“★”的资料为必须提供）</w:t>
      </w:r>
    </w:p>
    <w:p>
      <w:pPr>
        <w:spacing w:line="360" w:lineRule="auto"/>
        <w:ind w:firstLine="480" w:firstLineChars="200"/>
        <w:rPr>
          <w:rFonts w:hint="eastAsia" w:ascii="宋体" w:hAnsi="宋体"/>
          <w:color w:val="000000"/>
          <w:sz w:val="24"/>
        </w:rPr>
      </w:pPr>
      <w:r>
        <w:rPr>
          <w:rFonts w:hint="eastAsia" w:ascii="宋体" w:hAnsi="宋体"/>
          <w:color w:val="000000"/>
          <w:sz w:val="24"/>
        </w:rPr>
        <w:t>投标人的投标文件应包括报价文件、商务文件、技术文件。</w:t>
      </w:r>
    </w:p>
    <w:p>
      <w:pPr>
        <w:spacing w:line="360" w:lineRule="auto"/>
        <w:ind w:firstLine="480" w:firstLineChars="200"/>
        <w:rPr>
          <w:rFonts w:hint="eastAsia" w:ascii="宋体" w:hAnsi="宋体"/>
          <w:color w:val="000000"/>
          <w:sz w:val="24"/>
        </w:rPr>
      </w:pPr>
      <w:r>
        <w:rPr>
          <w:rFonts w:hint="eastAsia" w:ascii="宋体" w:hAnsi="宋体"/>
          <w:color w:val="000000"/>
          <w:sz w:val="24"/>
        </w:rPr>
        <w:t>11.1 投标人的报价文件应单独密封，内容应当包含：</w:t>
      </w:r>
    </w:p>
    <w:p>
      <w:pPr>
        <w:spacing w:line="360" w:lineRule="auto"/>
        <w:ind w:firstLine="118" w:firstLineChars="49"/>
        <w:rPr>
          <w:rFonts w:hint="eastAsia" w:ascii="宋体" w:hAnsi="宋体"/>
          <w:b/>
          <w:color w:val="000000"/>
          <w:sz w:val="24"/>
        </w:rPr>
      </w:pPr>
      <w:r>
        <w:rPr>
          <w:rFonts w:hint="eastAsia" w:ascii="宋体" w:hAnsi="宋体"/>
          <w:b/>
          <w:color w:val="000000"/>
          <w:sz w:val="24"/>
        </w:rPr>
        <w:t>★(1) 投标函；</w:t>
      </w:r>
    </w:p>
    <w:p>
      <w:pPr>
        <w:spacing w:line="360" w:lineRule="auto"/>
        <w:ind w:firstLine="118" w:firstLineChars="49"/>
        <w:rPr>
          <w:rFonts w:hint="eastAsia" w:ascii="宋体" w:hAnsi="宋体"/>
          <w:b/>
          <w:color w:val="000000"/>
          <w:sz w:val="24"/>
        </w:rPr>
      </w:pPr>
      <w:r>
        <w:rPr>
          <w:rFonts w:hint="eastAsia" w:ascii="宋体" w:hAnsi="宋体"/>
          <w:b/>
          <w:color w:val="000000"/>
          <w:sz w:val="24"/>
        </w:rPr>
        <w:t>★(2) 投标报价明细表；</w:t>
      </w:r>
    </w:p>
    <w:p>
      <w:pPr>
        <w:spacing w:line="360" w:lineRule="auto"/>
        <w:ind w:firstLine="360" w:firstLineChars="150"/>
        <w:rPr>
          <w:rFonts w:hint="eastAsia" w:ascii="宋体" w:hAnsi="宋体"/>
          <w:color w:val="000000"/>
          <w:sz w:val="24"/>
        </w:rPr>
      </w:pPr>
      <w:r>
        <w:rPr>
          <w:rFonts w:hint="eastAsia" w:ascii="宋体" w:hAnsi="宋体"/>
          <w:color w:val="000000"/>
          <w:sz w:val="24"/>
        </w:rPr>
        <w:t>(3)投标人需要说明的其它文件和资料。</w:t>
      </w:r>
    </w:p>
    <w:p>
      <w:pPr>
        <w:spacing w:line="360" w:lineRule="auto"/>
        <w:ind w:firstLine="480" w:firstLineChars="200"/>
        <w:rPr>
          <w:rFonts w:hint="eastAsia" w:ascii="宋体" w:hAnsi="宋体"/>
          <w:color w:val="000000"/>
          <w:sz w:val="24"/>
        </w:rPr>
      </w:pPr>
      <w:r>
        <w:rPr>
          <w:rFonts w:hint="eastAsia" w:ascii="宋体" w:hAnsi="宋体"/>
          <w:color w:val="000000"/>
          <w:sz w:val="24"/>
        </w:rPr>
        <w:t>11.2投标人的商务文件应当包含：</w:t>
      </w:r>
    </w:p>
    <w:p>
      <w:pPr>
        <w:spacing w:line="360" w:lineRule="auto"/>
        <w:ind w:firstLine="118" w:firstLineChars="49"/>
        <w:rPr>
          <w:rFonts w:hint="eastAsia" w:ascii="宋体" w:hAnsi="宋体"/>
          <w:b/>
          <w:color w:val="000000"/>
          <w:sz w:val="24"/>
        </w:rPr>
      </w:pPr>
      <w:r>
        <w:rPr>
          <w:rFonts w:hint="eastAsia" w:ascii="宋体" w:hAnsi="宋体"/>
          <w:b/>
          <w:color w:val="000000"/>
          <w:sz w:val="24"/>
        </w:rPr>
        <w:t>★(1)投标人代表身份证明资料，包括：有效身份证件复印件及连续3个月（指投标截止日所在月之前最近的连续3个月，具体详见投标人须知的专用条款“3</w:t>
      </w:r>
      <w:r>
        <w:rPr>
          <w:rFonts w:ascii="宋体" w:hAnsi="宋体"/>
          <w:b/>
          <w:color w:val="000000"/>
          <w:sz w:val="24"/>
        </w:rPr>
        <w:t>4</w:t>
      </w:r>
      <w:r>
        <w:rPr>
          <w:rFonts w:hint="eastAsia" w:ascii="宋体" w:hAnsi="宋体"/>
          <w:b/>
          <w:color w:val="000000"/>
          <w:sz w:val="24"/>
        </w:rPr>
        <w:t>.投标文件组成的特别要求”）的社会保险证明；如委托的，还需提供有效的授权委托书 。(注：连续3个月社会保险证明需由投标人或其分公司或投标人整体委托缴纳的社会机构注册所在地社会劳动保障部门出具；社会保险证明可使用复印件但需加盖投标人公章；投标人为事业单位的可不提供。投标人代表为投标人的法定代表人的可不提供社会保险证明。)</w:t>
      </w:r>
    </w:p>
    <w:p>
      <w:pPr>
        <w:spacing w:line="360" w:lineRule="auto"/>
        <w:ind w:firstLine="118" w:firstLineChars="49"/>
        <w:rPr>
          <w:rFonts w:hint="eastAsia" w:ascii="宋体" w:hAnsi="宋体"/>
          <w:b/>
          <w:color w:val="000000"/>
          <w:sz w:val="24"/>
        </w:rPr>
      </w:pPr>
      <w:r>
        <w:rPr>
          <w:rFonts w:hint="eastAsia" w:ascii="宋体" w:hAnsi="宋体"/>
          <w:b/>
          <w:color w:val="000000"/>
          <w:sz w:val="24"/>
        </w:rPr>
        <w:t>★(2)诚信承诺书；</w:t>
      </w:r>
    </w:p>
    <w:p>
      <w:pPr>
        <w:spacing w:line="360" w:lineRule="auto"/>
        <w:ind w:firstLine="118" w:firstLineChars="49"/>
        <w:rPr>
          <w:rFonts w:hint="eastAsia" w:ascii="宋体" w:hAnsi="宋体"/>
          <w:b/>
          <w:color w:val="000000"/>
          <w:sz w:val="24"/>
        </w:rPr>
      </w:pPr>
      <w:r>
        <w:rPr>
          <w:rFonts w:hint="eastAsia" w:ascii="宋体" w:hAnsi="宋体"/>
          <w:b/>
          <w:color w:val="000000"/>
          <w:sz w:val="24"/>
        </w:rPr>
        <w:t xml:space="preserve">★(3)根据招标公告要求，证明投标人具备资格所必须提交的资料（包括营业执照副本或事业单位法人证书、投标保证金递交函、其它特定证明材料。 </w:t>
      </w:r>
    </w:p>
    <w:p>
      <w:pPr>
        <w:spacing w:line="360" w:lineRule="auto"/>
        <w:ind w:firstLine="360" w:firstLineChars="150"/>
        <w:rPr>
          <w:rFonts w:hint="eastAsia"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 投标人基本情况：</w:t>
      </w:r>
      <w:r>
        <w:rPr>
          <w:rFonts w:ascii="宋体" w:hAnsi="宋体"/>
          <w:color w:val="000000"/>
          <w:sz w:val="24"/>
        </w:rPr>
        <w:tab/>
      </w:r>
    </w:p>
    <w:p>
      <w:pPr>
        <w:spacing w:line="360" w:lineRule="auto"/>
        <w:ind w:firstLine="480" w:firstLineChars="200"/>
        <w:rPr>
          <w:rFonts w:hint="eastAsia" w:ascii="宋体" w:hAnsi="宋体"/>
          <w:color w:val="000000"/>
          <w:sz w:val="24"/>
        </w:rPr>
      </w:pPr>
      <w:r>
        <w:rPr>
          <w:rFonts w:hint="eastAsia" w:ascii="宋体" w:hAnsi="宋体"/>
          <w:color w:val="000000"/>
          <w:sz w:val="24"/>
        </w:rPr>
        <w:t>投标人基本情况表；提供公告发布日前一月的资产负债表、利润表；投标人认为有必要提供的诸如企业经营状况、优势、传媒报道、有关荣誉等资料。</w:t>
      </w:r>
    </w:p>
    <w:p>
      <w:pPr>
        <w:spacing w:line="360" w:lineRule="auto"/>
        <w:ind w:firstLine="360" w:firstLineChars="150"/>
        <w:rPr>
          <w:rFonts w:hint="eastAsia"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 有关投标人资质、资格的其他证明材料：</w:t>
      </w:r>
    </w:p>
    <w:p>
      <w:pPr>
        <w:spacing w:line="360" w:lineRule="auto"/>
        <w:ind w:firstLine="480" w:firstLineChars="200"/>
        <w:rPr>
          <w:rFonts w:hint="eastAsia" w:ascii="宋体" w:hAnsi="宋体"/>
          <w:color w:val="000000"/>
          <w:sz w:val="24"/>
        </w:rPr>
      </w:pPr>
      <w:r>
        <w:rPr>
          <w:rFonts w:hint="eastAsia" w:ascii="宋体" w:hAnsi="宋体"/>
          <w:color w:val="000000"/>
          <w:sz w:val="24"/>
        </w:rPr>
        <w:t>五证合一（三证合一）证书</w:t>
      </w:r>
      <w:r>
        <w:rPr>
          <w:rFonts w:ascii="宋体" w:hAnsi="宋体"/>
          <w:color w:val="000000"/>
          <w:sz w:val="24"/>
        </w:rPr>
        <w:t>复印件</w:t>
      </w:r>
      <w:r>
        <w:rPr>
          <w:rFonts w:hint="eastAsia" w:ascii="宋体" w:hAnsi="宋体"/>
          <w:color w:val="000000"/>
          <w:sz w:val="24"/>
        </w:rPr>
        <w:t>；投标人银行资信等级证书复印件；荣誉证书复印件或投标人认为需要说明的其他资料。</w:t>
      </w:r>
    </w:p>
    <w:p>
      <w:pPr>
        <w:spacing w:line="360" w:lineRule="auto"/>
        <w:ind w:firstLine="360" w:firstLineChars="150"/>
        <w:rPr>
          <w:rFonts w:hint="eastAsia"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)项目人员情况：</w:t>
      </w:r>
    </w:p>
    <w:p>
      <w:pPr>
        <w:spacing w:line="360" w:lineRule="auto"/>
        <w:ind w:firstLine="480" w:firstLineChars="200"/>
        <w:rPr>
          <w:rFonts w:hint="eastAsia" w:ascii="宋体" w:hAnsi="宋体"/>
          <w:color w:val="000000"/>
          <w:sz w:val="24"/>
        </w:rPr>
      </w:pPr>
      <w:r>
        <w:rPr>
          <w:rFonts w:hint="eastAsia" w:ascii="宋体" w:hAnsi="宋体"/>
          <w:color w:val="000000"/>
          <w:sz w:val="24"/>
        </w:rPr>
        <w:t>a.项目负责人情况：项目负责人的学历、资格、从业经验等资料；</w:t>
      </w:r>
    </w:p>
    <w:p>
      <w:pPr>
        <w:spacing w:line="360" w:lineRule="auto"/>
        <w:ind w:firstLine="480" w:firstLineChars="200"/>
        <w:rPr>
          <w:rFonts w:hint="eastAsia" w:ascii="宋体" w:hAnsi="宋体"/>
          <w:color w:val="000000"/>
          <w:sz w:val="24"/>
        </w:rPr>
      </w:pPr>
      <w:r>
        <w:rPr>
          <w:rFonts w:hint="eastAsia" w:ascii="宋体" w:hAnsi="宋体"/>
          <w:color w:val="000000"/>
          <w:sz w:val="24"/>
        </w:rPr>
        <w:t>b.项目组人员情况：投标人认为需要的诸如项目组人员资格证书等其他资料。</w:t>
      </w:r>
    </w:p>
    <w:p>
      <w:pPr>
        <w:spacing w:line="360" w:lineRule="auto"/>
        <w:ind w:firstLine="361" w:firstLineChars="150"/>
        <w:rPr>
          <w:rFonts w:hint="eastAsia" w:ascii="宋体" w:hAnsi="宋体"/>
          <w:b/>
          <w:color w:val="000000"/>
          <w:sz w:val="24"/>
        </w:rPr>
      </w:pPr>
      <w:r>
        <w:rPr>
          <w:rFonts w:hint="eastAsia" w:ascii="宋体" w:hAnsi="宋体"/>
          <w:b/>
          <w:color w:val="000000"/>
          <w:sz w:val="24"/>
        </w:rPr>
        <w:t>★(</w:t>
      </w:r>
      <w:r>
        <w:rPr>
          <w:rFonts w:ascii="宋体" w:hAnsi="宋体"/>
          <w:b/>
          <w:color w:val="000000"/>
          <w:sz w:val="24"/>
        </w:rPr>
        <w:t>7</w:t>
      </w:r>
      <w:r>
        <w:rPr>
          <w:rFonts w:hint="eastAsia" w:ascii="宋体" w:hAnsi="宋体"/>
          <w:b/>
          <w:color w:val="000000"/>
          <w:sz w:val="24"/>
        </w:rPr>
        <w:t>)商务偏离表</w:t>
      </w:r>
    </w:p>
    <w:p>
      <w:pPr>
        <w:spacing w:line="360" w:lineRule="auto"/>
        <w:ind w:firstLine="360" w:firstLineChars="150"/>
        <w:rPr>
          <w:rFonts w:hint="eastAsia"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)各种优惠承诺（优惠条件事项不包括采购项目本身所涉及的事项。投标人不能以“赠送、赠予”等任何名义提供货物和服务以规避招标文件的约束）。</w:t>
      </w:r>
    </w:p>
    <w:p>
      <w:pPr>
        <w:spacing w:line="360" w:lineRule="auto"/>
        <w:ind w:firstLine="360" w:firstLineChars="150"/>
        <w:rPr>
          <w:rFonts w:hint="eastAsia" w:hAnsi="宋体"/>
          <w:b/>
          <w:color w:val="000000"/>
          <w:sz w:val="24"/>
          <w:shd w:val="pct10" w:color="auto" w:fill="FFFFFF"/>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)类似项目业绩：</w:t>
      </w:r>
    </w:p>
    <w:p>
      <w:pPr>
        <w:spacing w:line="360" w:lineRule="auto"/>
        <w:ind w:firstLine="480" w:firstLineChars="200"/>
        <w:rPr>
          <w:rFonts w:hint="eastAsia" w:ascii="宋体" w:hAnsi="宋体"/>
          <w:color w:val="000000"/>
          <w:sz w:val="24"/>
        </w:rPr>
      </w:pPr>
      <w:r>
        <w:rPr>
          <w:rFonts w:hint="eastAsia" w:ascii="宋体" w:hAnsi="宋体"/>
          <w:color w:val="000000"/>
          <w:sz w:val="24"/>
        </w:rPr>
        <w:t>类似项目业绩一览表；成功应用实例和类似项目实施成功的经验的证明材料，如合同复印件、中标通知书或用户证明等。</w:t>
      </w:r>
    </w:p>
    <w:p>
      <w:pPr>
        <w:spacing w:line="360" w:lineRule="auto"/>
        <w:ind w:firstLine="360" w:firstLineChars="150"/>
        <w:rPr>
          <w:rFonts w:hint="eastAsia"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)投标人需要说明的其它文件和资料。</w:t>
      </w:r>
    </w:p>
    <w:p>
      <w:pPr>
        <w:spacing w:line="360" w:lineRule="auto"/>
        <w:ind w:firstLine="360" w:firstLineChars="150"/>
        <w:rPr>
          <w:rFonts w:hint="eastAsia"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)招标文件要求提供的其他资料。</w:t>
      </w:r>
    </w:p>
    <w:p>
      <w:pPr>
        <w:spacing w:line="360" w:lineRule="auto"/>
        <w:ind w:firstLine="480" w:firstLineChars="200"/>
        <w:rPr>
          <w:rFonts w:hint="eastAsia" w:ascii="宋体" w:hAnsi="宋体"/>
          <w:color w:val="000000"/>
          <w:sz w:val="24"/>
        </w:rPr>
      </w:pPr>
      <w:r>
        <w:rPr>
          <w:rFonts w:hint="eastAsia" w:ascii="宋体" w:hAnsi="宋体"/>
          <w:color w:val="000000"/>
          <w:sz w:val="24"/>
        </w:rPr>
        <w:t>11.3投标人的技术文件应当包括：</w:t>
      </w:r>
    </w:p>
    <w:p>
      <w:pPr>
        <w:spacing w:line="360" w:lineRule="auto"/>
        <w:ind w:firstLine="480" w:firstLineChars="200"/>
        <w:rPr>
          <w:rFonts w:hint="eastAsia" w:ascii="宋体" w:hAnsi="宋体"/>
          <w:color w:val="000000"/>
          <w:sz w:val="24"/>
        </w:rPr>
      </w:pPr>
      <w:r>
        <w:rPr>
          <w:rFonts w:hint="eastAsia" w:ascii="宋体" w:hAnsi="宋体"/>
          <w:color w:val="000000"/>
          <w:sz w:val="24"/>
        </w:rPr>
        <w:t>A.货物类项目的投标技术文件：</w:t>
      </w:r>
    </w:p>
    <w:p>
      <w:pPr>
        <w:spacing w:line="360" w:lineRule="auto"/>
        <w:ind w:firstLine="236" w:firstLineChars="98"/>
        <w:rPr>
          <w:rFonts w:hint="eastAsia" w:ascii="宋体" w:hAnsi="宋体"/>
          <w:b/>
          <w:color w:val="000000"/>
          <w:sz w:val="24"/>
        </w:rPr>
      </w:pPr>
      <w:r>
        <w:rPr>
          <w:rFonts w:hint="eastAsia" w:ascii="宋体" w:hAnsi="宋体"/>
          <w:b/>
          <w:color w:val="000000"/>
          <w:sz w:val="24"/>
        </w:rPr>
        <w:t>★(1)技术规范偏离表</w:t>
      </w:r>
    </w:p>
    <w:p>
      <w:pPr>
        <w:spacing w:line="360" w:lineRule="auto"/>
        <w:ind w:firstLine="236" w:firstLineChars="98"/>
        <w:rPr>
          <w:rFonts w:hint="eastAsia" w:ascii="宋体" w:hAnsi="宋体"/>
          <w:b/>
          <w:color w:val="000000"/>
          <w:sz w:val="24"/>
        </w:rPr>
      </w:pPr>
      <w:r>
        <w:rPr>
          <w:rFonts w:hint="eastAsia" w:ascii="宋体" w:hAnsi="宋体"/>
          <w:b/>
          <w:color w:val="000000"/>
          <w:sz w:val="24"/>
        </w:rPr>
        <w:t>★(2)货物具体配置表：详细列明所投项目主要设备清单，完整配置方案及技术指标，项目的核心产品必须明确所投品牌、规格型号及具体技术指标。任何含糊不清的表述对评标结果的影响将是投标人的责任。</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(3)项目实施计划：详细的项目组织实施方案（工作时间进度表、工作程序或步骤、管理和协调方法等）。 </w:t>
      </w:r>
    </w:p>
    <w:p>
      <w:pPr>
        <w:spacing w:line="360" w:lineRule="auto"/>
        <w:ind w:firstLine="480" w:firstLineChars="200"/>
        <w:rPr>
          <w:rFonts w:hint="eastAsia" w:ascii="宋体" w:hAnsi="宋体"/>
          <w:color w:val="000000"/>
          <w:sz w:val="24"/>
        </w:rPr>
      </w:pPr>
      <w:r>
        <w:rPr>
          <w:rFonts w:hint="eastAsia" w:ascii="宋体" w:hAnsi="宋体"/>
          <w:color w:val="000000"/>
          <w:sz w:val="24"/>
        </w:rPr>
        <w:t>(4)货物或设备存放、安装和调试的技术要求。</w:t>
      </w:r>
    </w:p>
    <w:p>
      <w:pPr>
        <w:spacing w:line="360" w:lineRule="auto"/>
        <w:ind w:firstLine="480" w:firstLineChars="200"/>
        <w:rPr>
          <w:rFonts w:hint="eastAsia" w:ascii="宋体" w:hAnsi="宋体"/>
          <w:color w:val="000000"/>
          <w:sz w:val="24"/>
        </w:rPr>
      </w:pPr>
      <w:r>
        <w:rPr>
          <w:rFonts w:hint="eastAsia" w:ascii="宋体" w:hAnsi="宋体"/>
          <w:color w:val="000000"/>
          <w:sz w:val="24"/>
        </w:rPr>
        <w:t>(5)售后服务、技术支持承诺。</w:t>
      </w:r>
    </w:p>
    <w:p>
      <w:pPr>
        <w:spacing w:line="360" w:lineRule="auto"/>
        <w:ind w:firstLine="480" w:firstLineChars="200"/>
        <w:rPr>
          <w:rFonts w:hint="eastAsia" w:ascii="宋体" w:hAnsi="宋体"/>
          <w:color w:val="000000"/>
          <w:sz w:val="24"/>
        </w:rPr>
      </w:pPr>
      <w:r>
        <w:rPr>
          <w:rFonts w:hint="eastAsia" w:ascii="宋体" w:hAnsi="宋体"/>
          <w:color w:val="000000"/>
          <w:sz w:val="24"/>
        </w:rPr>
        <w:t>(6)投标人需要说明的其它文件及资料复印件：生产厂家的有关资格文件；产品有效检测和鉴定证明；进口产品合法手续有效证明；产品销售授权书或代理证书等。</w:t>
      </w:r>
    </w:p>
    <w:p>
      <w:pPr>
        <w:spacing w:line="360" w:lineRule="auto"/>
        <w:ind w:firstLine="480" w:firstLineChars="200"/>
        <w:rPr>
          <w:rFonts w:hint="eastAsia" w:ascii="宋体" w:hAnsi="宋体"/>
          <w:color w:val="000000"/>
          <w:sz w:val="24"/>
        </w:rPr>
      </w:pPr>
      <w:r>
        <w:rPr>
          <w:rFonts w:hint="eastAsia" w:ascii="宋体" w:hAnsi="宋体"/>
          <w:color w:val="000000"/>
          <w:sz w:val="24"/>
        </w:rPr>
        <w:t>B.服务类项目的投标技术文件：</w:t>
      </w:r>
    </w:p>
    <w:p>
      <w:pPr>
        <w:spacing w:line="360" w:lineRule="auto"/>
        <w:ind w:firstLine="480" w:firstLineChars="200"/>
        <w:rPr>
          <w:rFonts w:hint="eastAsia" w:ascii="宋体" w:hAnsi="宋体"/>
          <w:color w:val="000000"/>
          <w:sz w:val="24"/>
        </w:rPr>
      </w:pPr>
      <w:r>
        <w:rPr>
          <w:rFonts w:hint="eastAsia" w:ascii="宋体" w:hAnsi="宋体"/>
          <w:color w:val="000000"/>
          <w:sz w:val="24"/>
        </w:rPr>
        <w:t>(1)对本项目系统总体要求的理解。</w:t>
      </w:r>
    </w:p>
    <w:p>
      <w:pPr>
        <w:spacing w:line="360" w:lineRule="auto"/>
        <w:ind w:firstLine="236" w:firstLineChars="98"/>
        <w:rPr>
          <w:rFonts w:hint="eastAsia" w:ascii="宋体" w:hAnsi="宋体"/>
          <w:color w:val="000000"/>
          <w:sz w:val="24"/>
        </w:rPr>
      </w:pPr>
      <w:r>
        <w:rPr>
          <w:rFonts w:hint="eastAsia" w:ascii="宋体" w:hAnsi="宋体"/>
          <w:b/>
          <w:color w:val="000000"/>
          <w:sz w:val="24"/>
        </w:rPr>
        <w:t>★</w:t>
      </w:r>
      <w:r>
        <w:rPr>
          <w:rFonts w:hint="eastAsia" w:ascii="宋体" w:hAnsi="宋体"/>
          <w:color w:val="000000"/>
          <w:sz w:val="24"/>
        </w:rPr>
        <w:t>(2)项目总体架构及技术解决方案。</w:t>
      </w:r>
    </w:p>
    <w:p>
      <w:pPr>
        <w:spacing w:line="360" w:lineRule="auto"/>
        <w:ind w:firstLine="236" w:firstLineChars="98"/>
        <w:rPr>
          <w:rFonts w:hint="eastAsia" w:ascii="宋体" w:hAnsi="宋体"/>
          <w:color w:val="000000"/>
          <w:sz w:val="24"/>
        </w:rPr>
      </w:pPr>
      <w:r>
        <w:rPr>
          <w:rFonts w:hint="eastAsia" w:ascii="宋体" w:hAnsi="宋体"/>
          <w:b/>
          <w:color w:val="000000"/>
          <w:sz w:val="24"/>
        </w:rPr>
        <w:t>★</w:t>
      </w:r>
      <w:r>
        <w:rPr>
          <w:rFonts w:hint="eastAsia" w:ascii="宋体" w:hAnsi="宋体"/>
          <w:color w:val="000000"/>
          <w:sz w:val="24"/>
        </w:rPr>
        <w:t>(3)保证项目质量的技术力量及技术措施。</w:t>
      </w:r>
    </w:p>
    <w:p>
      <w:pPr>
        <w:spacing w:line="360" w:lineRule="auto"/>
        <w:ind w:firstLine="480" w:firstLineChars="200"/>
        <w:rPr>
          <w:rFonts w:hint="eastAsia" w:ascii="宋体" w:hAnsi="宋体"/>
          <w:color w:val="000000"/>
          <w:sz w:val="24"/>
        </w:rPr>
      </w:pPr>
      <w:r>
        <w:rPr>
          <w:rFonts w:hint="eastAsia" w:ascii="宋体" w:hAnsi="宋体"/>
          <w:color w:val="000000"/>
          <w:sz w:val="24"/>
        </w:rPr>
        <w:t>(4)保证工期的施工组织方案及人力安排。</w:t>
      </w:r>
    </w:p>
    <w:p>
      <w:pPr>
        <w:spacing w:line="360" w:lineRule="auto"/>
        <w:ind w:firstLine="480" w:firstLineChars="200"/>
        <w:rPr>
          <w:rFonts w:hint="eastAsia" w:ascii="宋体" w:hAnsi="宋体"/>
          <w:color w:val="000000"/>
          <w:sz w:val="24"/>
        </w:rPr>
      </w:pPr>
      <w:r>
        <w:rPr>
          <w:rFonts w:hint="eastAsia" w:ascii="宋体" w:hAnsi="宋体"/>
          <w:color w:val="000000"/>
          <w:sz w:val="24"/>
        </w:rPr>
        <w:t>(5)项目实施人员一览表。</w:t>
      </w:r>
    </w:p>
    <w:p>
      <w:pPr>
        <w:spacing w:line="360" w:lineRule="auto"/>
        <w:ind w:firstLine="480" w:firstLineChars="200"/>
        <w:rPr>
          <w:rFonts w:hint="eastAsia" w:ascii="宋体" w:hAnsi="宋体"/>
          <w:color w:val="000000"/>
          <w:sz w:val="24"/>
        </w:rPr>
      </w:pPr>
      <w:r>
        <w:rPr>
          <w:rFonts w:hint="eastAsia" w:ascii="宋体" w:hAnsi="宋体"/>
          <w:color w:val="000000"/>
          <w:sz w:val="24"/>
        </w:rPr>
        <w:t>(6) 工程量、原材料、人工配置清单（均不含报价）。</w:t>
      </w:r>
    </w:p>
    <w:p>
      <w:pPr>
        <w:spacing w:line="360" w:lineRule="auto"/>
        <w:ind w:firstLine="480" w:firstLineChars="200"/>
        <w:rPr>
          <w:rFonts w:hint="eastAsia" w:ascii="宋体" w:hAnsi="宋体"/>
          <w:color w:val="000000"/>
          <w:sz w:val="24"/>
        </w:rPr>
      </w:pPr>
      <w:r>
        <w:rPr>
          <w:rFonts w:hint="eastAsia" w:ascii="宋体" w:hAnsi="宋体"/>
          <w:color w:val="000000"/>
          <w:sz w:val="24"/>
        </w:rPr>
        <w:t>(7)技术服务、技术培训、售后服务的内容和措施。</w:t>
      </w:r>
    </w:p>
    <w:p>
      <w:pPr>
        <w:spacing w:line="360" w:lineRule="auto"/>
        <w:ind w:firstLine="480" w:firstLineChars="200"/>
        <w:rPr>
          <w:rFonts w:hint="eastAsia" w:ascii="宋体" w:hAnsi="宋体"/>
          <w:color w:val="000000"/>
          <w:sz w:val="24"/>
        </w:rPr>
      </w:pPr>
      <w:r>
        <w:rPr>
          <w:rFonts w:hint="eastAsia" w:ascii="宋体" w:hAnsi="宋体"/>
          <w:color w:val="000000"/>
          <w:sz w:val="24"/>
        </w:rPr>
        <w:t>(8) 投标人对本项目的合理化建议和改进措施。</w:t>
      </w:r>
    </w:p>
    <w:p>
      <w:pPr>
        <w:spacing w:line="360" w:lineRule="auto"/>
        <w:ind w:firstLine="480" w:firstLineChars="200"/>
        <w:rPr>
          <w:rFonts w:hint="eastAsia" w:ascii="宋体" w:hAnsi="宋体"/>
          <w:color w:val="000000"/>
          <w:sz w:val="24"/>
        </w:rPr>
      </w:pPr>
      <w:r>
        <w:rPr>
          <w:rFonts w:hint="eastAsia" w:ascii="宋体" w:hAnsi="宋体"/>
          <w:color w:val="000000"/>
          <w:sz w:val="24"/>
        </w:rPr>
        <w:t>(9) 投标人认为需要提供的其他文件及资料（格式自拟）。</w:t>
      </w:r>
    </w:p>
    <w:p>
      <w:pPr>
        <w:spacing w:line="360" w:lineRule="auto"/>
        <w:ind w:firstLine="482" w:firstLineChars="200"/>
        <w:rPr>
          <w:rFonts w:hint="eastAsia" w:ascii="宋体" w:hAnsi="宋体"/>
          <w:b/>
          <w:color w:val="000000"/>
          <w:sz w:val="24"/>
        </w:rPr>
      </w:pPr>
      <w:bookmarkStart w:id="33" w:name="_Toc91899887"/>
      <w:r>
        <w:rPr>
          <w:rFonts w:hint="eastAsia" w:ascii="宋体" w:hAnsi="宋体"/>
          <w:b/>
          <w:color w:val="000000"/>
          <w:sz w:val="24"/>
        </w:rPr>
        <w:t>12.投标有效期</w:t>
      </w:r>
    </w:p>
    <w:p>
      <w:pPr>
        <w:spacing w:line="360" w:lineRule="auto"/>
        <w:ind w:firstLine="480" w:firstLineChars="200"/>
        <w:rPr>
          <w:rFonts w:hint="eastAsia" w:ascii="宋体" w:hAnsi="宋体"/>
          <w:color w:val="000000"/>
          <w:sz w:val="24"/>
        </w:rPr>
      </w:pPr>
      <w:r>
        <w:rPr>
          <w:rFonts w:hint="eastAsia" w:ascii="宋体" w:hAnsi="宋体"/>
          <w:color w:val="000000"/>
          <w:sz w:val="24"/>
        </w:rPr>
        <w:t>12.1投标文件合格投递后，自投标截止日期起，至前附表第2项所列的日期内有效。</w:t>
      </w:r>
    </w:p>
    <w:p>
      <w:pPr>
        <w:spacing w:line="360" w:lineRule="auto"/>
        <w:ind w:firstLine="480" w:firstLineChars="200"/>
        <w:rPr>
          <w:rFonts w:hint="eastAsia" w:ascii="宋体" w:hAnsi="宋体"/>
          <w:color w:val="000000"/>
          <w:sz w:val="24"/>
        </w:rPr>
      </w:pPr>
      <w:r>
        <w:rPr>
          <w:rFonts w:hint="eastAsia" w:ascii="宋体" w:hAnsi="宋体"/>
          <w:color w:val="000000"/>
          <w:sz w:val="24"/>
        </w:rPr>
        <w:t>12.2在原定投标有效期之前，如果出现特殊情况，招标组织机构可以以书面形式通知投标人延长投标有效期。</w:t>
      </w:r>
    </w:p>
    <w:p>
      <w:pPr>
        <w:spacing w:line="360" w:lineRule="auto"/>
        <w:ind w:firstLine="482" w:firstLineChars="200"/>
        <w:rPr>
          <w:rFonts w:hint="eastAsia" w:ascii="宋体" w:hAnsi="宋体"/>
          <w:b/>
          <w:color w:val="000000"/>
          <w:sz w:val="24"/>
        </w:rPr>
      </w:pPr>
      <w:r>
        <w:rPr>
          <w:rFonts w:hint="eastAsia" w:ascii="宋体" w:hAnsi="宋体"/>
          <w:b/>
          <w:color w:val="000000"/>
          <w:sz w:val="24"/>
        </w:rPr>
        <w:t>13.投标保证金</w:t>
      </w:r>
    </w:p>
    <w:p>
      <w:pPr>
        <w:spacing w:line="360" w:lineRule="auto"/>
        <w:ind w:firstLine="480" w:firstLineChars="200"/>
        <w:rPr>
          <w:rFonts w:hint="eastAsia" w:ascii="宋体" w:hAnsi="宋体"/>
          <w:color w:val="000000"/>
          <w:sz w:val="24"/>
        </w:rPr>
      </w:pPr>
      <w:r>
        <w:rPr>
          <w:rFonts w:hint="eastAsia" w:ascii="宋体" w:hAnsi="宋体"/>
          <w:color w:val="000000"/>
          <w:sz w:val="24"/>
        </w:rPr>
        <w:t>13.1投标保证金必须以招标公告规定的形式缴纳，不接受银行保函或现金等其它形式的投标保证金。</w:t>
      </w:r>
    </w:p>
    <w:p>
      <w:pPr>
        <w:spacing w:line="360" w:lineRule="auto"/>
        <w:ind w:firstLine="480" w:firstLineChars="200"/>
        <w:rPr>
          <w:rFonts w:hint="eastAsia" w:ascii="宋体" w:hAnsi="宋体"/>
          <w:color w:val="000000"/>
          <w:sz w:val="24"/>
        </w:rPr>
      </w:pPr>
      <w:r>
        <w:rPr>
          <w:rFonts w:hint="eastAsia" w:ascii="宋体" w:hAnsi="宋体"/>
          <w:color w:val="000000"/>
          <w:sz w:val="24"/>
        </w:rPr>
        <w:t>13.2 招标组织机构将拒绝未能按规定时间和金额缴纳投标保证金的投标人。</w:t>
      </w:r>
    </w:p>
    <w:p>
      <w:pPr>
        <w:spacing w:line="360" w:lineRule="auto"/>
        <w:ind w:firstLine="480" w:firstLineChars="200"/>
        <w:rPr>
          <w:rFonts w:hint="eastAsia" w:ascii="宋体" w:hAnsi="宋体"/>
          <w:color w:val="000000"/>
          <w:sz w:val="24"/>
        </w:rPr>
      </w:pPr>
      <w:r>
        <w:rPr>
          <w:rFonts w:hint="eastAsia" w:ascii="宋体" w:hAnsi="宋体"/>
          <w:color w:val="000000"/>
          <w:sz w:val="24"/>
        </w:rPr>
        <w:t>13.3无特殊情况，未中标人的投标保证金在本项目中标通知书发出之日起，五个工作日内由银行自动退还原账号。投标保证金均以银行自动转账形式退付。</w:t>
      </w:r>
    </w:p>
    <w:p>
      <w:pPr>
        <w:spacing w:line="360" w:lineRule="auto"/>
        <w:ind w:firstLine="480" w:firstLineChars="200"/>
        <w:rPr>
          <w:rFonts w:hint="eastAsia" w:ascii="宋体" w:hAnsi="宋体"/>
          <w:color w:val="000000"/>
          <w:sz w:val="24"/>
        </w:rPr>
      </w:pPr>
      <w:r>
        <w:rPr>
          <w:rFonts w:hint="eastAsia" w:ascii="宋体" w:hAnsi="宋体"/>
          <w:color w:val="000000"/>
          <w:sz w:val="24"/>
        </w:rPr>
        <w:t>13.4中标人的投标保证金自采购合同签订之日起5个工作日内退还，须凭采购人出具的证明及投标保证金递交函复印件到杭州市公共资源交易中心萧山分中心综合科（电话：0571-82899321）办理退付手续。投标保证金均以银行自动转账形式退付，恕不退还现金。</w:t>
      </w:r>
    </w:p>
    <w:p>
      <w:pPr>
        <w:spacing w:line="360" w:lineRule="auto"/>
        <w:ind w:firstLine="480" w:firstLineChars="200"/>
        <w:rPr>
          <w:rFonts w:hint="eastAsia" w:ascii="宋体" w:hAnsi="宋体"/>
          <w:color w:val="000000"/>
          <w:sz w:val="24"/>
        </w:rPr>
      </w:pPr>
      <w:r>
        <w:rPr>
          <w:rFonts w:hint="eastAsia" w:ascii="宋体" w:hAnsi="宋体"/>
          <w:color w:val="000000"/>
          <w:sz w:val="24"/>
        </w:rPr>
        <w:t>13.5 投标人有下列情况的，投标保证金将不予退还：</w:t>
      </w:r>
    </w:p>
    <w:p>
      <w:pPr>
        <w:spacing w:line="360" w:lineRule="auto"/>
        <w:ind w:firstLine="480" w:firstLineChars="200"/>
        <w:rPr>
          <w:rFonts w:hint="eastAsia" w:ascii="宋体" w:hAnsi="宋体"/>
          <w:color w:val="000000"/>
          <w:sz w:val="24"/>
        </w:rPr>
      </w:pPr>
      <w:r>
        <w:rPr>
          <w:rFonts w:hint="eastAsia" w:ascii="宋体" w:hAnsi="宋体"/>
          <w:color w:val="000000"/>
          <w:sz w:val="24"/>
        </w:rPr>
        <w:t>(1) 投标文件递交时间截止后撤销投标文件的；</w:t>
      </w:r>
    </w:p>
    <w:p>
      <w:pPr>
        <w:spacing w:line="360" w:lineRule="auto"/>
        <w:ind w:firstLine="480" w:firstLineChars="200"/>
        <w:rPr>
          <w:rFonts w:hint="eastAsia" w:ascii="宋体" w:hAnsi="宋体"/>
          <w:color w:val="000000"/>
          <w:sz w:val="24"/>
        </w:rPr>
      </w:pPr>
      <w:r>
        <w:rPr>
          <w:rFonts w:hint="eastAsia" w:ascii="宋体" w:hAnsi="宋体"/>
          <w:color w:val="000000"/>
          <w:sz w:val="24"/>
        </w:rPr>
        <w:t>(2) 中标后无故拒签合同或转让中标的；</w:t>
      </w:r>
    </w:p>
    <w:p>
      <w:pPr>
        <w:spacing w:line="360" w:lineRule="auto"/>
        <w:ind w:firstLine="480" w:firstLineChars="200"/>
        <w:rPr>
          <w:rFonts w:hint="eastAsia" w:ascii="宋体" w:hAnsi="宋体"/>
          <w:color w:val="000000"/>
          <w:sz w:val="24"/>
        </w:rPr>
      </w:pPr>
      <w:r>
        <w:rPr>
          <w:rFonts w:hint="eastAsia" w:ascii="宋体" w:hAnsi="宋体"/>
          <w:color w:val="000000"/>
          <w:sz w:val="24"/>
        </w:rPr>
        <w:t>(3) 投标人在投标过程中弄虚作假，提供虚假资料的；</w:t>
      </w:r>
    </w:p>
    <w:p>
      <w:pPr>
        <w:spacing w:line="360" w:lineRule="auto"/>
        <w:ind w:firstLine="480" w:firstLineChars="200"/>
        <w:rPr>
          <w:rFonts w:hint="eastAsia" w:ascii="宋体" w:hAnsi="宋体"/>
          <w:color w:val="000000"/>
          <w:sz w:val="24"/>
        </w:rPr>
      </w:pPr>
      <w:r>
        <w:rPr>
          <w:rFonts w:hint="eastAsia" w:ascii="宋体" w:hAnsi="宋体"/>
          <w:color w:val="000000"/>
          <w:sz w:val="24"/>
        </w:rPr>
        <w:t>(4) 投标人对招标组织机构和评标机构施加影响的任何行为；</w:t>
      </w:r>
    </w:p>
    <w:p>
      <w:pPr>
        <w:spacing w:line="360" w:lineRule="auto"/>
        <w:ind w:firstLine="480" w:firstLineChars="200"/>
        <w:rPr>
          <w:rFonts w:hint="eastAsia" w:ascii="宋体" w:hAnsi="宋体"/>
          <w:color w:val="000000"/>
          <w:sz w:val="24"/>
        </w:rPr>
      </w:pPr>
      <w:r>
        <w:rPr>
          <w:rFonts w:hint="eastAsia" w:ascii="宋体" w:hAnsi="宋体"/>
          <w:color w:val="000000"/>
          <w:sz w:val="24"/>
        </w:rPr>
        <w:t>(5) 其他严重扰乱招投标程序的。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14.投标文件的编制</w:t>
      </w:r>
    </w:p>
    <w:p>
      <w:pPr>
        <w:spacing w:line="360" w:lineRule="auto"/>
        <w:ind w:firstLine="480" w:firstLineChars="200"/>
        <w:rPr>
          <w:rFonts w:hint="eastAsia" w:ascii="宋体" w:hAnsi="宋体"/>
          <w:color w:val="000000"/>
          <w:sz w:val="24"/>
        </w:rPr>
      </w:pPr>
      <w:r>
        <w:rPr>
          <w:rFonts w:hint="eastAsia" w:ascii="宋体" w:hAnsi="宋体"/>
          <w:color w:val="000000"/>
          <w:sz w:val="24"/>
        </w:rPr>
        <w:t>14.1投标人按本须知第10条规定的语言和前附表规定的份数编制投标文件并明确标识各部分内容。投标文件标识不清、编写不完整、编排混乱导致投标文件被误拆、误读、漏读或者查找不到相关内容的，责任由投标人自行承担。</w:t>
      </w:r>
    </w:p>
    <w:p>
      <w:pPr>
        <w:spacing w:line="360" w:lineRule="auto"/>
        <w:ind w:firstLine="480" w:firstLineChars="200"/>
        <w:rPr>
          <w:rFonts w:hint="eastAsia" w:ascii="宋体" w:hAnsi="宋体"/>
          <w:color w:val="000000"/>
          <w:sz w:val="24"/>
        </w:rPr>
      </w:pPr>
      <w:r>
        <w:rPr>
          <w:rFonts w:hint="eastAsia" w:ascii="宋体" w:hAnsi="宋体"/>
          <w:color w:val="000000"/>
          <w:sz w:val="24"/>
        </w:rPr>
        <w:t>14.2全套投标文件应无涂改和行间插字，除非这些删改是根据招标组织机构要求进行，或者是投标人造成的必须修改的错误。所修改处应由投标人代表签字予以确认，否则，修改处不予认可。</w:t>
      </w:r>
    </w:p>
    <w:p>
      <w:pPr>
        <w:spacing w:line="360" w:lineRule="auto"/>
        <w:ind w:firstLine="480" w:firstLineChars="200"/>
        <w:rPr>
          <w:rFonts w:hint="eastAsia" w:ascii="宋体" w:hAnsi="宋体"/>
          <w:color w:val="000000"/>
          <w:sz w:val="24"/>
        </w:rPr>
      </w:pPr>
      <w:r>
        <w:rPr>
          <w:rFonts w:hint="eastAsia" w:ascii="宋体" w:hAnsi="宋体"/>
          <w:color w:val="000000"/>
          <w:sz w:val="24"/>
        </w:rPr>
        <w:t>14.3投标文件提倡A4幅面双面打印，并按顺序统一编目编码装订成册。</w:t>
      </w:r>
      <w:bookmarkEnd w:id="33"/>
    </w:p>
    <w:p>
      <w:pPr>
        <w:pStyle w:val="4"/>
        <w:rPr>
          <w:rFonts w:hint="eastAsia"/>
          <w:color w:val="000000"/>
        </w:rPr>
      </w:pPr>
      <w:bookmarkStart w:id="34" w:name="_Hlt68073093"/>
      <w:bookmarkEnd w:id="34"/>
      <w:bookmarkStart w:id="35" w:name="_Hlt68072998"/>
      <w:bookmarkEnd w:id="35"/>
      <w:bookmarkStart w:id="36" w:name="_Hlt68403820"/>
      <w:bookmarkEnd w:id="36"/>
      <w:bookmarkStart w:id="37" w:name="_Toc86216991"/>
      <w:bookmarkStart w:id="38" w:name="_Toc347"/>
      <w:bookmarkStart w:id="39" w:name="_Toc91899892"/>
      <w:r>
        <w:rPr>
          <w:rFonts w:hint="eastAsia"/>
          <w:color w:val="000000"/>
        </w:rPr>
        <w:t>四、投标文件的递交</w:t>
      </w:r>
      <w:bookmarkEnd w:id="37"/>
      <w:bookmarkEnd w:id="38"/>
    </w:p>
    <w:p>
      <w:pPr>
        <w:spacing w:line="360" w:lineRule="auto"/>
        <w:ind w:firstLine="482" w:firstLineChars="200"/>
        <w:rPr>
          <w:rFonts w:hint="eastAsia" w:ascii="宋体" w:hAnsi="宋体"/>
          <w:b/>
          <w:color w:val="000000"/>
          <w:sz w:val="24"/>
        </w:rPr>
      </w:pPr>
      <w:r>
        <w:rPr>
          <w:rFonts w:hint="eastAsia" w:ascii="宋体" w:hAnsi="宋体"/>
          <w:b/>
          <w:color w:val="000000"/>
          <w:sz w:val="24"/>
        </w:rPr>
        <w:t>15.投标文件的密封、装订、签署、盖章</w:t>
      </w:r>
    </w:p>
    <w:p>
      <w:pPr>
        <w:spacing w:line="360" w:lineRule="auto"/>
        <w:ind w:firstLine="236" w:firstLineChars="98"/>
        <w:rPr>
          <w:rFonts w:hint="eastAsia" w:ascii="宋体" w:hAnsi="宋体"/>
          <w:b/>
          <w:color w:val="000000"/>
          <w:sz w:val="24"/>
        </w:rPr>
      </w:pPr>
      <w:r>
        <w:rPr>
          <w:rFonts w:hint="eastAsia" w:ascii="宋体" w:hAnsi="宋体"/>
          <w:b/>
          <w:color w:val="000000"/>
          <w:sz w:val="24"/>
        </w:rPr>
        <w:t>★15.1投标文件须密封包装并在包装封面上加盖投标人公章。投标文件提交的总份数应按照招标文件前附表的规定。</w:t>
      </w:r>
    </w:p>
    <w:p>
      <w:pPr>
        <w:spacing w:line="360" w:lineRule="auto"/>
        <w:ind w:firstLine="480" w:firstLineChars="200"/>
        <w:rPr>
          <w:rFonts w:hint="eastAsia" w:ascii="宋体" w:hAnsi="宋体"/>
          <w:color w:val="000000"/>
          <w:sz w:val="24"/>
        </w:rPr>
      </w:pPr>
      <w:r>
        <w:rPr>
          <w:rFonts w:hint="eastAsia" w:ascii="宋体" w:hAnsi="宋体"/>
          <w:color w:val="000000"/>
          <w:sz w:val="24"/>
        </w:rPr>
        <w:t>投标文件外层包装封面的参考格式详见本招标文件第四部分。</w:t>
      </w:r>
    </w:p>
    <w:p>
      <w:pPr>
        <w:spacing w:line="360" w:lineRule="auto"/>
        <w:ind w:firstLine="236" w:firstLineChars="98"/>
        <w:rPr>
          <w:rFonts w:hint="eastAsia" w:ascii="宋体" w:hAnsi="宋体"/>
          <w:b/>
          <w:color w:val="000000"/>
          <w:sz w:val="24"/>
        </w:rPr>
      </w:pPr>
      <w:r>
        <w:rPr>
          <w:rFonts w:hint="eastAsia" w:ascii="宋体" w:hAnsi="宋体"/>
          <w:b/>
          <w:color w:val="000000"/>
          <w:sz w:val="24"/>
        </w:rPr>
        <w:t>★15.2投标文件必须胶装装订。报价文件（含封面）为3张纸及以下的可不胶装装订。</w:t>
      </w:r>
    </w:p>
    <w:p>
      <w:pPr>
        <w:spacing w:line="360" w:lineRule="auto"/>
        <w:ind w:firstLine="234" w:firstLineChars="97"/>
        <w:rPr>
          <w:rFonts w:hint="eastAsia" w:ascii="宋体" w:hAnsi="宋体"/>
          <w:b/>
          <w:color w:val="000000"/>
          <w:sz w:val="24"/>
        </w:rPr>
      </w:pPr>
      <w:r>
        <w:rPr>
          <w:rFonts w:hint="eastAsia" w:ascii="宋体" w:hAnsi="宋体"/>
          <w:b/>
          <w:color w:val="000000"/>
          <w:sz w:val="24"/>
        </w:rPr>
        <w:t>★15.3投标人须在投标文件封面上标明“正本”与“副本”字样、项目名称与标项号，并加盖投标人公章。正本内容与副本不一致时，以正本为准。</w:t>
      </w:r>
    </w:p>
    <w:p>
      <w:pPr>
        <w:spacing w:line="360" w:lineRule="auto"/>
        <w:ind w:firstLine="600" w:firstLineChars="250"/>
        <w:rPr>
          <w:rFonts w:hint="eastAsia" w:ascii="宋体" w:hAnsi="宋体"/>
          <w:color w:val="000000"/>
          <w:sz w:val="24"/>
        </w:rPr>
      </w:pPr>
      <w:r>
        <w:rPr>
          <w:rFonts w:hint="eastAsia" w:ascii="宋体" w:hAnsi="宋体"/>
          <w:color w:val="000000"/>
          <w:sz w:val="24"/>
        </w:rPr>
        <w:t>参考格式详见本招标文件第四部分。</w:t>
      </w:r>
    </w:p>
    <w:p>
      <w:pPr>
        <w:spacing w:line="360" w:lineRule="auto"/>
        <w:ind w:firstLine="234" w:firstLineChars="97"/>
        <w:rPr>
          <w:rFonts w:hint="eastAsia" w:ascii="宋体" w:hAnsi="宋体"/>
          <w:b/>
          <w:color w:val="000000"/>
          <w:sz w:val="24"/>
        </w:rPr>
      </w:pPr>
      <w:r>
        <w:rPr>
          <w:rFonts w:hint="eastAsia" w:ascii="宋体" w:hAnsi="宋体"/>
          <w:b/>
          <w:color w:val="000000"/>
          <w:sz w:val="24"/>
        </w:rPr>
        <w:t>★15.4报价文件必须与商务文件和技术文件分开装订，单独密封（采用最低评标价法的报价文件可不单独装订与密封）。密封袋上须注明项目名称、标项号及类似（报价文件或商务文件或技术文件）字样并加盖投标人公章。不同标项的报价文件须各自单独密封与标注（采用最低评标价法的可不单独密封与标注）。任何其他投标文件中不得出现投标报价。</w:t>
      </w:r>
    </w:p>
    <w:p>
      <w:pPr>
        <w:spacing w:line="360" w:lineRule="auto"/>
        <w:ind w:firstLine="480" w:firstLineChars="200"/>
        <w:rPr>
          <w:rFonts w:hint="eastAsia" w:ascii="宋体" w:hAnsi="宋体"/>
          <w:color w:val="000000"/>
          <w:sz w:val="24"/>
        </w:rPr>
      </w:pPr>
      <w:r>
        <w:rPr>
          <w:rFonts w:hint="eastAsia" w:ascii="宋体" w:hAnsi="宋体"/>
          <w:color w:val="000000"/>
          <w:sz w:val="24"/>
        </w:rPr>
        <w:t>参考格式详见本招标文件第四部分。</w:t>
      </w:r>
    </w:p>
    <w:p>
      <w:pPr>
        <w:spacing w:line="360" w:lineRule="auto"/>
        <w:ind w:firstLine="236" w:firstLineChars="98"/>
        <w:rPr>
          <w:rFonts w:hint="eastAsia" w:ascii="宋体" w:hAnsi="宋体"/>
          <w:b/>
          <w:color w:val="000000"/>
          <w:sz w:val="24"/>
        </w:rPr>
      </w:pPr>
      <w:r>
        <w:rPr>
          <w:rFonts w:hint="eastAsia" w:ascii="宋体" w:hAnsi="宋体"/>
          <w:b/>
          <w:color w:val="000000"/>
          <w:sz w:val="24"/>
        </w:rPr>
        <w:t>★15.5 投标文件中授权委托书、投标函、投标报价明细表、诚信承诺书须按招标文件第四部分格式要求签署、盖章。</w:t>
      </w:r>
    </w:p>
    <w:p>
      <w:pPr>
        <w:spacing w:line="360" w:lineRule="auto"/>
        <w:ind w:firstLine="482" w:firstLineChars="200"/>
        <w:rPr>
          <w:rFonts w:hint="eastAsia" w:ascii="宋体" w:hAnsi="宋体"/>
          <w:b/>
          <w:color w:val="000000"/>
          <w:sz w:val="24"/>
        </w:rPr>
      </w:pPr>
      <w:r>
        <w:rPr>
          <w:rFonts w:hint="eastAsia" w:ascii="宋体" w:hAnsi="宋体"/>
          <w:b/>
          <w:color w:val="000000"/>
          <w:sz w:val="24"/>
        </w:rPr>
        <w:t>16.投标截止时间</w:t>
      </w:r>
    </w:p>
    <w:p>
      <w:pPr>
        <w:spacing w:line="360" w:lineRule="auto"/>
        <w:ind w:firstLine="480" w:firstLineChars="200"/>
        <w:rPr>
          <w:rFonts w:hint="eastAsia" w:ascii="宋体" w:hAnsi="宋体"/>
          <w:color w:val="000000"/>
          <w:sz w:val="24"/>
        </w:rPr>
      </w:pPr>
      <w:r>
        <w:rPr>
          <w:rFonts w:hint="eastAsia" w:ascii="宋体" w:hAnsi="宋体"/>
          <w:color w:val="000000"/>
          <w:sz w:val="24"/>
        </w:rPr>
        <w:t>16.1 投标人应按前附表第5项规定的时间、地点向招标组织机构递交投标文件，招标组织机构拒绝接受逾期送达的投标文件及其该项目的投标。</w:t>
      </w:r>
    </w:p>
    <w:p>
      <w:pPr>
        <w:spacing w:line="360" w:lineRule="auto"/>
        <w:ind w:firstLine="480" w:firstLineChars="200"/>
        <w:rPr>
          <w:rFonts w:hint="eastAsia" w:ascii="宋体" w:hAnsi="宋体"/>
          <w:color w:val="000000"/>
          <w:sz w:val="24"/>
        </w:rPr>
      </w:pPr>
      <w:r>
        <w:rPr>
          <w:rFonts w:hint="eastAsia" w:ascii="宋体" w:hAnsi="宋体"/>
          <w:color w:val="000000"/>
          <w:sz w:val="24"/>
        </w:rPr>
        <w:t>16.2 招标组织机构可以按本须知第8条规定以补充通知的方式，酌情延长递交投标文件的截止时间。在上述情况下，招标组织机构与投标人此前在投标截止时间方面的全部权利、责任和义务，将适用于延长后新的投标截止时间。</w:t>
      </w:r>
    </w:p>
    <w:p>
      <w:pPr>
        <w:spacing w:line="360" w:lineRule="auto"/>
        <w:ind w:firstLine="480" w:firstLineChars="200"/>
        <w:rPr>
          <w:rFonts w:hint="eastAsia" w:ascii="宋体" w:hAnsi="宋体"/>
          <w:color w:val="000000"/>
          <w:sz w:val="24"/>
        </w:rPr>
      </w:pPr>
      <w:r>
        <w:rPr>
          <w:rFonts w:hint="eastAsia" w:ascii="宋体" w:hAnsi="宋体"/>
          <w:color w:val="000000"/>
          <w:sz w:val="24"/>
        </w:rPr>
        <w:t>16.3不论投标人中标与否，已拆封的投标文件均不予退回。</w:t>
      </w:r>
    </w:p>
    <w:p>
      <w:pPr>
        <w:spacing w:line="360" w:lineRule="auto"/>
        <w:ind w:firstLine="482" w:firstLineChars="200"/>
        <w:rPr>
          <w:rFonts w:hint="eastAsia" w:ascii="宋体" w:hAnsi="宋体"/>
          <w:b/>
          <w:color w:val="000000"/>
          <w:sz w:val="24"/>
        </w:rPr>
      </w:pPr>
      <w:r>
        <w:rPr>
          <w:rFonts w:hint="eastAsia" w:ascii="宋体" w:hAnsi="宋体"/>
          <w:b/>
          <w:color w:val="000000"/>
          <w:sz w:val="24"/>
        </w:rPr>
        <w:t>17.投标文件的修改</w:t>
      </w:r>
    </w:p>
    <w:p>
      <w:pPr>
        <w:spacing w:line="360" w:lineRule="auto"/>
        <w:ind w:firstLine="480" w:firstLineChars="200"/>
        <w:rPr>
          <w:rFonts w:hint="eastAsia" w:ascii="宋体" w:hAnsi="宋体"/>
          <w:color w:val="000000"/>
          <w:sz w:val="24"/>
        </w:rPr>
      </w:pPr>
      <w:r>
        <w:rPr>
          <w:rFonts w:hint="eastAsia" w:ascii="宋体" w:hAnsi="宋体"/>
          <w:color w:val="000000"/>
          <w:sz w:val="24"/>
        </w:rPr>
        <w:t>17.1 投标人递交投标文件以后，在规定的投标截止时间之前，可以书面形式对投标文件进行补充、修改，并由投标人代表签字确认；在投标截止时间以后，不能修改、补充投标文件。修改、补充文件的密封、装订、签署与盖章要求与15.投标文件要求一致。</w:t>
      </w:r>
    </w:p>
    <w:p>
      <w:pPr>
        <w:spacing w:line="360" w:lineRule="auto"/>
        <w:ind w:firstLine="480" w:firstLineChars="200"/>
        <w:rPr>
          <w:rFonts w:hint="eastAsia" w:ascii="宋体" w:hAnsi="宋体"/>
          <w:color w:val="000000"/>
          <w:sz w:val="24"/>
        </w:rPr>
      </w:pPr>
      <w:r>
        <w:rPr>
          <w:rFonts w:hint="eastAsia" w:ascii="宋体" w:hAnsi="宋体"/>
          <w:color w:val="000000"/>
          <w:sz w:val="24"/>
        </w:rPr>
        <w:t>17.2 投标人的修改、补充通知，如果一份标书有几份函件时，应注明哪一份有效，否则所作修改、补充视为无效。</w:t>
      </w:r>
    </w:p>
    <w:p>
      <w:pPr>
        <w:spacing w:line="360" w:lineRule="auto"/>
        <w:ind w:firstLine="480" w:firstLineChars="200"/>
        <w:rPr>
          <w:rFonts w:hint="eastAsia" w:ascii="宋体" w:hAnsi="宋体"/>
          <w:color w:val="000000"/>
          <w:sz w:val="24"/>
        </w:rPr>
      </w:pPr>
      <w:r>
        <w:rPr>
          <w:rFonts w:hint="eastAsia" w:ascii="宋体" w:hAnsi="宋体"/>
          <w:color w:val="000000"/>
          <w:sz w:val="24"/>
        </w:rPr>
        <w:t>17.3 自投标截止时间起至招标文件中规定的有效时间止，投标人不能撤回投标文件，否则其投标保证金将不予退还。</w:t>
      </w:r>
      <w:bookmarkEnd w:id="39"/>
    </w:p>
    <w:p>
      <w:pPr>
        <w:pStyle w:val="4"/>
        <w:rPr>
          <w:rFonts w:hint="eastAsia"/>
          <w:color w:val="000000"/>
        </w:rPr>
      </w:pPr>
      <w:bookmarkStart w:id="40" w:name="_Toc10604"/>
      <w:bookmarkStart w:id="41" w:name="_Toc91899897"/>
      <w:r>
        <w:rPr>
          <w:rFonts w:hint="eastAsia"/>
          <w:color w:val="000000"/>
        </w:rPr>
        <w:t>五、开标</w:t>
      </w:r>
      <w:bookmarkEnd w:id="40"/>
      <w:bookmarkEnd w:id="41"/>
    </w:p>
    <w:p>
      <w:pPr>
        <w:spacing w:line="360" w:lineRule="auto"/>
        <w:ind w:firstLine="482" w:firstLineChars="200"/>
        <w:rPr>
          <w:rFonts w:hint="eastAsia" w:ascii="宋体" w:hAnsi="宋体"/>
          <w:b/>
          <w:color w:val="000000"/>
          <w:sz w:val="24"/>
        </w:rPr>
      </w:pPr>
      <w:r>
        <w:rPr>
          <w:rFonts w:hint="eastAsia" w:ascii="宋体" w:hAnsi="宋体"/>
          <w:b/>
          <w:color w:val="000000"/>
          <w:sz w:val="24"/>
        </w:rPr>
        <w:t>18.开标</w:t>
      </w:r>
    </w:p>
    <w:p>
      <w:pPr>
        <w:spacing w:line="360" w:lineRule="auto"/>
        <w:ind w:firstLine="480" w:firstLineChars="200"/>
        <w:rPr>
          <w:rFonts w:hint="eastAsia" w:ascii="宋体" w:hAnsi="宋体"/>
          <w:color w:val="000000"/>
          <w:sz w:val="24"/>
        </w:rPr>
      </w:pPr>
      <w:r>
        <w:rPr>
          <w:rFonts w:hint="eastAsia" w:ascii="宋体" w:hAnsi="宋体"/>
          <w:color w:val="000000"/>
          <w:sz w:val="24"/>
        </w:rPr>
        <w:t>18.1招标组织机构将在前附表规定时间、指定地点开标。投标人代表需提供本人的有效身份证件原件。</w:t>
      </w:r>
    </w:p>
    <w:p>
      <w:pPr>
        <w:spacing w:line="360" w:lineRule="auto"/>
        <w:ind w:firstLine="480" w:firstLineChars="200"/>
        <w:rPr>
          <w:rFonts w:hint="eastAsia" w:ascii="宋体" w:hAnsi="宋体"/>
          <w:color w:val="000000"/>
          <w:sz w:val="24"/>
        </w:rPr>
      </w:pPr>
      <w:r>
        <w:rPr>
          <w:rFonts w:hint="eastAsia" w:ascii="宋体" w:hAnsi="宋体"/>
          <w:color w:val="000000"/>
          <w:sz w:val="24"/>
        </w:rPr>
        <w:t>本招标文件中所指的有效身份证件指的是：居民户口薄、居民身份证、临时居民身份证、护照、港澳同胞回乡证、港澳居民来往内地通行证、台湾居民来往大陆通行证、外国人居留证、外国人出入境证、驾驶证、市民卡，有期限规定的证件在有效期内方为有效。</w:t>
      </w:r>
    </w:p>
    <w:p>
      <w:pPr>
        <w:spacing w:line="360" w:lineRule="auto"/>
        <w:ind w:firstLine="480" w:firstLineChars="200"/>
        <w:rPr>
          <w:rFonts w:hint="eastAsia" w:ascii="宋体" w:hAnsi="宋体"/>
          <w:color w:val="000000"/>
          <w:sz w:val="24"/>
        </w:rPr>
      </w:pPr>
      <w:r>
        <w:rPr>
          <w:rFonts w:hint="eastAsia" w:ascii="宋体" w:hAnsi="宋体"/>
          <w:color w:val="000000"/>
          <w:sz w:val="24"/>
        </w:rPr>
        <w:t>18.2 开标程序</w:t>
      </w:r>
    </w:p>
    <w:p>
      <w:pPr>
        <w:spacing w:line="360" w:lineRule="auto"/>
        <w:ind w:firstLine="482" w:firstLineChars="200"/>
        <w:rPr>
          <w:rFonts w:hint="eastAsia" w:ascii="宋体" w:hAnsi="宋体"/>
          <w:b/>
          <w:color w:val="000000"/>
          <w:sz w:val="24"/>
        </w:rPr>
      </w:pPr>
      <w:r>
        <w:rPr>
          <w:rFonts w:hint="eastAsia" w:ascii="宋体" w:hAnsi="宋体"/>
          <w:b/>
          <w:color w:val="000000"/>
          <w:sz w:val="24"/>
        </w:rPr>
        <w:t>18.2.1 采用最低评标价法项目的开标程序：</w:t>
      </w:r>
    </w:p>
    <w:p>
      <w:pPr>
        <w:spacing w:line="360" w:lineRule="auto"/>
        <w:ind w:firstLine="480" w:firstLineChars="200"/>
        <w:rPr>
          <w:rFonts w:hint="eastAsia" w:ascii="宋体" w:hAnsi="宋体"/>
          <w:color w:val="000000"/>
          <w:sz w:val="24"/>
        </w:rPr>
      </w:pPr>
      <w:r>
        <w:rPr>
          <w:rFonts w:hint="eastAsia" w:ascii="宋体" w:hAnsi="宋体"/>
          <w:color w:val="000000"/>
          <w:sz w:val="24"/>
        </w:rPr>
        <w:t>(1)开标会由招标组织机构主持,主持人宣布开标会议开始；</w:t>
      </w:r>
    </w:p>
    <w:p>
      <w:pPr>
        <w:spacing w:line="360" w:lineRule="auto"/>
        <w:ind w:firstLine="480" w:firstLineChars="200"/>
        <w:rPr>
          <w:rFonts w:hint="eastAsia" w:ascii="宋体" w:hAnsi="宋体"/>
          <w:color w:val="000000"/>
          <w:sz w:val="24"/>
        </w:rPr>
      </w:pPr>
      <w:r>
        <w:rPr>
          <w:rFonts w:hint="eastAsia" w:ascii="宋体" w:hAnsi="宋体"/>
          <w:color w:val="000000"/>
          <w:sz w:val="24"/>
        </w:rPr>
        <w:t>(2)主持人介绍参加开标会议的成员；</w:t>
      </w:r>
    </w:p>
    <w:p>
      <w:pPr>
        <w:spacing w:line="360" w:lineRule="auto"/>
        <w:ind w:firstLine="480" w:firstLineChars="200"/>
        <w:rPr>
          <w:rFonts w:hint="eastAsia" w:ascii="宋体" w:hAnsi="宋体"/>
          <w:color w:val="000000"/>
          <w:sz w:val="24"/>
        </w:rPr>
      </w:pPr>
      <w:r>
        <w:rPr>
          <w:rFonts w:hint="eastAsia" w:ascii="宋体" w:hAnsi="宋体"/>
          <w:color w:val="000000"/>
          <w:sz w:val="24"/>
        </w:rPr>
        <w:t>(3)主持人宣布开标期间的有关事项；</w:t>
      </w:r>
    </w:p>
    <w:p>
      <w:pPr>
        <w:spacing w:line="360" w:lineRule="auto"/>
        <w:ind w:firstLine="480" w:firstLineChars="200"/>
        <w:rPr>
          <w:rFonts w:hint="eastAsia" w:ascii="宋体" w:hAnsi="宋体"/>
          <w:color w:val="000000"/>
          <w:sz w:val="24"/>
        </w:rPr>
      </w:pPr>
      <w:r>
        <w:rPr>
          <w:rFonts w:hint="eastAsia" w:ascii="宋体" w:hAnsi="宋体"/>
          <w:color w:val="000000"/>
          <w:sz w:val="24"/>
        </w:rPr>
        <w:t>(4)招标组织机构请参与的投标单位代表或其委托的公证机构检查投标文件的密封情况；</w:t>
      </w:r>
    </w:p>
    <w:p>
      <w:pPr>
        <w:spacing w:line="360" w:lineRule="auto"/>
        <w:ind w:firstLine="480" w:firstLineChars="200"/>
        <w:rPr>
          <w:rFonts w:hint="eastAsia" w:ascii="宋体" w:hAnsi="宋体"/>
          <w:color w:val="000000"/>
          <w:sz w:val="24"/>
        </w:rPr>
      </w:pPr>
      <w:r>
        <w:rPr>
          <w:rFonts w:hint="eastAsia" w:ascii="宋体" w:hAnsi="宋体"/>
          <w:color w:val="000000"/>
          <w:sz w:val="24"/>
        </w:rPr>
        <w:t>(5)主持人按各投标人提交投标文件时间的先后顺序打开投标文件并宣布投标文件份数，宣读报价文件中投标人名称、投标报价以及招标组织机构认为有必要宣读的其他内容；</w:t>
      </w:r>
    </w:p>
    <w:p>
      <w:pPr>
        <w:spacing w:line="360" w:lineRule="auto"/>
        <w:ind w:firstLine="480" w:firstLineChars="200"/>
        <w:rPr>
          <w:rFonts w:hint="eastAsia" w:ascii="宋体" w:hAnsi="宋体"/>
          <w:color w:val="000000"/>
          <w:sz w:val="24"/>
        </w:rPr>
      </w:pPr>
      <w:r>
        <w:rPr>
          <w:rFonts w:hint="eastAsia" w:ascii="宋体" w:hAnsi="宋体"/>
          <w:color w:val="000000"/>
          <w:sz w:val="24"/>
        </w:rPr>
        <w:t>(6)招标组织机构做开标记录，投标人代表对开标记录进行当场校核及勘误，并签名确认，同时由记录人、监督人当场签名确认。投标人代表未到场签名确认或拒绝签名确认的，不影响评标过程与结果；</w:t>
      </w:r>
    </w:p>
    <w:p>
      <w:pPr>
        <w:spacing w:line="360" w:lineRule="auto"/>
        <w:ind w:firstLine="480" w:firstLineChars="200"/>
        <w:rPr>
          <w:rFonts w:hint="eastAsia" w:ascii="宋体" w:hAnsi="宋体"/>
          <w:color w:val="000000"/>
          <w:sz w:val="24"/>
        </w:rPr>
      </w:pPr>
      <w:r>
        <w:rPr>
          <w:rFonts w:hint="eastAsia" w:ascii="宋体" w:hAnsi="宋体"/>
          <w:color w:val="000000"/>
          <w:sz w:val="24"/>
        </w:rPr>
        <w:t>(7)投标文件送交评标委员会评审。评审结束后，主持人公布无效投标的投标人名单、投标无效的原因及其他有效投标的评审结果；</w:t>
      </w:r>
    </w:p>
    <w:p>
      <w:pPr>
        <w:spacing w:line="360" w:lineRule="auto"/>
        <w:ind w:firstLine="480" w:firstLineChars="200"/>
        <w:rPr>
          <w:rFonts w:hint="eastAsia" w:ascii="宋体" w:hAnsi="宋体"/>
          <w:color w:val="000000"/>
          <w:sz w:val="24"/>
        </w:rPr>
      </w:pPr>
      <w:r>
        <w:rPr>
          <w:rFonts w:hint="eastAsia" w:ascii="宋体" w:hAnsi="宋体"/>
          <w:color w:val="000000"/>
          <w:sz w:val="24"/>
        </w:rPr>
        <w:t>(8)主持人宣布开标会议结束。</w:t>
      </w:r>
    </w:p>
    <w:p>
      <w:pPr>
        <w:spacing w:line="360" w:lineRule="auto"/>
        <w:ind w:firstLine="482" w:firstLineChars="200"/>
        <w:rPr>
          <w:rFonts w:hint="eastAsia" w:ascii="宋体" w:hAnsi="宋体"/>
          <w:b/>
          <w:color w:val="000000"/>
          <w:sz w:val="24"/>
        </w:rPr>
      </w:pPr>
      <w:r>
        <w:rPr>
          <w:rFonts w:hint="eastAsia" w:ascii="宋体" w:hAnsi="宋体"/>
          <w:b/>
          <w:color w:val="000000"/>
          <w:sz w:val="24"/>
        </w:rPr>
        <w:t>18.2.2采用综合评分法项目的开标程序</w:t>
      </w:r>
    </w:p>
    <w:p>
      <w:pPr>
        <w:spacing w:line="360" w:lineRule="auto"/>
        <w:ind w:firstLine="480" w:firstLineChars="200"/>
        <w:rPr>
          <w:rFonts w:hint="eastAsia" w:ascii="宋体" w:hAnsi="宋体"/>
          <w:color w:val="000000"/>
          <w:sz w:val="24"/>
        </w:rPr>
      </w:pPr>
      <w:r>
        <w:rPr>
          <w:rFonts w:hint="eastAsia" w:ascii="宋体" w:hAnsi="宋体"/>
          <w:color w:val="000000"/>
          <w:sz w:val="24"/>
        </w:rPr>
        <w:t>(1)开标会由招标组织机构主持,主持人宣布开标会议开始；</w:t>
      </w:r>
    </w:p>
    <w:p>
      <w:pPr>
        <w:spacing w:line="360" w:lineRule="auto"/>
        <w:ind w:firstLine="480" w:firstLineChars="200"/>
        <w:rPr>
          <w:rFonts w:hint="eastAsia" w:ascii="宋体" w:hAnsi="宋体"/>
          <w:color w:val="000000"/>
          <w:sz w:val="24"/>
        </w:rPr>
      </w:pPr>
      <w:r>
        <w:rPr>
          <w:rFonts w:hint="eastAsia" w:ascii="宋体" w:hAnsi="宋体"/>
          <w:color w:val="000000"/>
          <w:sz w:val="24"/>
        </w:rPr>
        <w:t>(2)主持人介绍参加开标会议的成员；</w:t>
      </w:r>
    </w:p>
    <w:p>
      <w:pPr>
        <w:spacing w:line="360" w:lineRule="auto"/>
        <w:ind w:firstLine="480" w:firstLineChars="200"/>
        <w:rPr>
          <w:rFonts w:hint="eastAsia" w:ascii="宋体" w:hAnsi="宋体"/>
          <w:color w:val="000000"/>
          <w:sz w:val="24"/>
        </w:rPr>
      </w:pPr>
      <w:r>
        <w:rPr>
          <w:rFonts w:hint="eastAsia" w:ascii="宋体" w:hAnsi="宋体"/>
          <w:color w:val="000000"/>
          <w:sz w:val="24"/>
        </w:rPr>
        <w:t>(3)主持人宣布开标期间的有关事项；</w:t>
      </w:r>
    </w:p>
    <w:p>
      <w:pPr>
        <w:spacing w:line="360" w:lineRule="auto"/>
        <w:ind w:firstLine="480" w:firstLineChars="200"/>
        <w:rPr>
          <w:rFonts w:hint="eastAsia" w:ascii="宋体" w:hAnsi="宋体"/>
          <w:color w:val="000000"/>
          <w:sz w:val="24"/>
        </w:rPr>
      </w:pPr>
      <w:r>
        <w:rPr>
          <w:rFonts w:hint="eastAsia" w:ascii="宋体" w:hAnsi="宋体"/>
          <w:color w:val="000000"/>
          <w:sz w:val="24"/>
        </w:rPr>
        <w:t>(4)招标组织机构请参与的投标单位代表或其委托的公证机构检查投标文件密封情况；</w:t>
      </w:r>
    </w:p>
    <w:p>
      <w:pPr>
        <w:spacing w:line="360" w:lineRule="auto"/>
        <w:ind w:firstLine="480" w:firstLineChars="200"/>
        <w:rPr>
          <w:rFonts w:hint="eastAsia" w:ascii="宋体" w:hAnsi="宋体"/>
          <w:color w:val="000000"/>
          <w:sz w:val="24"/>
        </w:rPr>
      </w:pPr>
      <w:r>
        <w:rPr>
          <w:rFonts w:hint="eastAsia" w:ascii="宋体" w:hAnsi="宋体"/>
          <w:color w:val="000000"/>
          <w:sz w:val="24"/>
        </w:rPr>
        <w:t>(5)按各投标人提交投标文件时间的先后顺序打开投标文件并宣布投标文件份数，并送交评标委员会评审；</w:t>
      </w:r>
    </w:p>
    <w:p>
      <w:pPr>
        <w:spacing w:line="360" w:lineRule="auto"/>
        <w:ind w:firstLine="480" w:firstLineChars="200"/>
        <w:rPr>
          <w:rFonts w:hint="eastAsia" w:ascii="宋体" w:hAnsi="宋体"/>
          <w:color w:val="000000"/>
          <w:sz w:val="24"/>
        </w:rPr>
      </w:pPr>
      <w:r>
        <w:rPr>
          <w:rFonts w:hint="eastAsia" w:ascii="宋体" w:hAnsi="宋体"/>
          <w:color w:val="000000"/>
          <w:sz w:val="24"/>
        </w:rPr>
        <w:t>(6)商务、技术标评审结束后，由主持人宣布无效投标的投标人名单、投标无效的原因及其他有效投标的评审结果；</w:t>
      </w:r>
    </w:p>
    <w:p>
      <w:pPr>
        <w:spacing w:line="360" w:lineRule="auto"/>
        <w:ind w:firstLine="480" w:firstLineChars="200"/>
        <w:rPr>
          <w:rFonts w:hint="eastAsia" w:ascii="宋体" w:hAnsi="宋体"/>
          <w:color w:val="000000"/>
          <w:sz w:val="24"/>
        </w:rPr>
      </w:pPr>
      <w:r>
        <w:rPr>
          <w:rFonts w:hint="eastAsia" w:ascii="宋体" w:hAnsi="宋体"/>
          <w:color w:val="000000"/>
          <w:sz w:val="24"/>
        </w:rPr>
        <w:t>(7)主持人打开报价文件并宣布投标文件份数，宣读报价文件中投标人名称、投标报价以及招标组织机构认为有必要宣读的其他内容；</w:t>
      </w:r>
    </w:p>
    <w:p>
      <w:pPr>
        <w:spacing w:line="360" w:lineRule="auto"/>
        <w:ind w:firstLine="480" w:firstLineChars="200"/>
        <w:rPr>
          <w:rFonts w:hint="eastAsia" w:ascii="宋体" w:hAnsi="宋体"/>
          <w:color w:val="000000"/>
          <w:sz w:val="24"/>
        </w:rPr>
      </w:pPr>
      <w:r>
        <w:rPr>
          <w:rFonts w:hint="eastAsia" w:ascii="宋体" w:hAnsi="宋体"/>
          <w:color w:val="000000"/>
          <w:sz w:val="24"/>
        </w:rPr>
        <w:t>(8)招标组织机构负责开标记录，投标人代表对开标记录进行当场校核及勘误，并签名确认，同时由记录人、监督人当场签名确认。投标人代表未到场签名确认或拒绝签名确认的，不影响评标过程和结果；</w:t>
      </w:r>
    </w:p>
    <w:p>
      <w:pPr>
        <w:spacing w:line="360" w:lineRule="auto"/>
        <w:ind w:firstLine="360" w:firstLineChars="150"/>
        <w:rPr>
          <w:rFonts w:hint="eastAsia" w:ascii="宋体" w:hAnsi="宋体"/>
          <w:color w:val="000000"/>
          <w:sz w:val="24"/>
        </w:rPr>
      </w:pPr>
      <w:r>
        <w:rPr>
          <w:rFonts w:hint="eastAsia" w:ascii="宋体" w:hAnsi="宋体"/>
          <w:color w:val="000000"/>
          <w:sz w:val="24"/>
        </w:rPr>
        <w:t>（9）报价文件送交评标委员会评审；</w:t>
      </w:r>
    </w:p>
    <w:p>
      <w:pPr>
        <w:spacing w:line="360" w:lineRule="auto"/>
        <w:ind w:firstLine="480" w:firstLineChars="200"/>
        <w:rPr>
          <w:rFonts w:hint="eastAsia" w:ascii="宋体" w:hAnsi="宋体"/>
          <w:color w:val="000000"/>
          <w:sz w:val="24"/>
        </w:rPr>
      </w:pPr>
      <w:r>
        <w:rPr>
          <w:rFonts w:hint="eastAsia" w:ascii="宋体" w:hAnsi="宋体"/>
          <w:color w:val="000000"/>
          <w:sz w:val="24"/>
        </w:rPr>
        <w:t>(10)主持人公布评标结果并宣布开标会议结束。</w:t>
      </w:r>
    </w:p>
    <w:p>
      <w:pPr>
        <w:spacing w:line="360" w:lineRule="auto"/>
        <w:ind w:firstLine="482" w:firstLineChars="200"/>
        <w:rPr>
          <w:rFonts w:hint="eastAsia" w:ascii="宋体" w:hAnsi="宋体"/>
          <w:color w:val="000000"/>
          <w:sz w:val="24"/>
        </w:rPr>
      </w:pPr>
      <w:r>
        <w:rPr>
          <w:rFonts w:hint="eastAsia" w:ascii="宋体" w:hAnsi="宋体"/>
          <w:b/>
          <w:color w:val="000000"/>
          <w:sz w:val="24"/>
        </w:rPr>
        <w:t>18.3</w:t>
      </w:r>
      <w:r>
        <w:rPr>
          <w:rFonts w:hint="eastAsia" w:ascii="宋体" w:hAnsi="宋体"/>
          <w:color w:val="000000"/>
          <w:sz w:val="24"/>
        </w:rPr>
        <w:t>开、评标时，投标报价明细表总价合计与投标函报价不一致的，以投标函报价为准。投标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按上述修正错误的原则及方法调整或修正投标文件的报价，经投标人代表签字确认后，调整后的报价对投标人起约束作用。如投标人不接受修正后的报价，则其投标将作为无效投标处理。</w:t>
      </w:r>
    </w:p>
    <w:p>
      <w:pPr>
        <w:spacing w:line="360" w:lineRule="auto"/>
        <w:ind w:firstLine="482" w:firstLineChars="200"/>
        <w:rPr>
          <w:rFonts w:hint="eastAsia" w:ascii="宋体" w:hAnsi="宋体"/>
          <w:color w:val="000000"/>
          <w:sz w:val="24"/>
        </w:rPr>
      </w:pPr>
      <w:r>
        <w:rPr>
          <w:rFonts w:hint="eastAsia" w:ascii="宋体" w:hAnsi="宋体"/>
          <w:b/>
          <w:color w:val="000000"/>
          <w:sz w:val="24"/>
        </w:rPr>
        <w:t>18.4有下列情况之一者，</w:t>
      </w:r>
      <w:r>
        <w:rPr>
          <w:rFonts w:hint="eastAsia" w:ascii="黑体" w:hAnsi="宋体" w:eastAsia="黑体"/>
          <w:color w:val="000000"/>
          <w:sz w:val="24"/>
        </w:rPr>
        <w:t>投标文件将被拒绝接受</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18.4.1</w:t>
      </w:r>
      <w:r>
        <w:rPr>
          <w:rFonts w:ascii="宋体" w:hAnsi="宋体"/>
          <w:color w:val="000000"/>
          <w:sz w:val="24"/>
        </w:rPr>
        <w:t>在招标文件要求提交投标文件的截止时间之后送达投标文件的</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18.4.2投标人代表未在规定时间到达开标现场或未出具有效身份证件原件的。</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18.4.3其他应当被拒绝投标的事项。 </w:t>
      </w:r>
    </w:p>
    <w:p>
      <w:pPr>
        <w:spacing w:line="360" w:lineRule="auto"/>
        <w:ind w:firstLine="482" w:firstLineChars="200"/>
        <w:rPr>
          <w:rFonts w:hint="eastAsia" w:ascii="宋体" w:hAnsi="宋体"/>
          <w:b/>
          <w:color w:val="000000"/>
          <w:sz w:val="24"/>
        </w:rPr>
      </w:pPr>
      <w:r>
        <w:rPr>
          <w:rFonts w:hint="eastAsia" w:ascii="宋体" w:hAnsi="宋体"/>
          <w:b/>
          <w:color w:val="000000"/>
          <w:sz w:val="24"/>
        </w:rPr>
        <w:t>19.投标文件响应情况</w:t>
      </w:r>
    </w:p>
    <w:p>
      <w:pPr>
        <w:spacing w:line="360" w:lineRule="auto"/>
        <w:ind w:firstLine="480" w:firstLineChars="200"/>
        <w:rPr>
          <w:rFonts w:hint="eastAsia" w:ascii="宋体" w:hAnsi="宋体"/>
          <w:color w:val="000000"/>
          <w:sz w:val="24"/>
        </w:rPr>
      </w:pPr>
      <w:r>
        <w:rPr>
          <w:rFonts w:hint="eastAsia" w:ascii="宋体" w:hAnsi="宋体"/>
          <w:color w:val="000000"/>
          <w:sz w:val="24"/>
        </w:rPr>
        <w:t>19.1开标时，若投标人被拒绝投标，招标组织机构将及时通知该投标人。</w:t>
      </w:r>
    </w:p>
    <w:p>
      <w:pPr>
        <w:spacing w:line="360" w:lineRule="auto"/>
        <w:ind w:firstLine="480" w:firstLineChars="200"/>
        <w:rPr>
          <w:rFonts w:hint="eastAsia" w:ascii="宋体" w:hAnsi="宋体"/>
          <w:color w:val="000000"/>
          <w:sz w:val="24"/>
        </w:rPr>
      </w:pPr>
      <w:r>
        <w:rPr>
          <w:rFonts w:hint="eastAsia" w:ascii="宋体" w:hAnsi="宋体"/>
          <w:color w:val="000000"/>
          <w:sz w:val="24"/>
        </w:rPr>
        <w:t>19.2就本条款而言，实质上响应要求的投标文件，应该与招标文件的规定要求、条件、条款和规范相符，无显著差异或保留。</w:t>
      </w:r>
    </w:p>
    <w:p>
      <w:pPr>
        <w:spacing w:line="360" w:lineRule="auto"/>
        <w:ind w:firstLine="480" w:firstLineChars="200"/>
        <w:rPr>
          <w:rFonts w:hint="eastAsia" w:ascii="宋体" w:hAnsi="宋体"/>
          <w:color w:val="000000"/>
          <w:sz w:val="24"/>
        </w:rPr>
      </w:pPr>
      <w:r>
        <w:rPr>
          <w:rFonts w:hint="eastAsia" w:ascii="宋体" w:hAnsi="宋体"/>
          <w:color w:val="000000"/>
          <w:sz w:val="24"/>
        </w:rPr>
        <w:t>19.3如果投标文件实质上不响应招标文件的要求，评标委员会将不允许通过修正或撤消不符合要求的差异或保留，使之成为具有响应性的投标。</w:t>
      </w:r>
    </w:p>
    <w:p>
      <w:pPr>
        <w:pStyle w:val="4"/>
        <w:rPr>
          <w:rFonts w:hint="eastAsia"/>
          <w:color w:val="000000"/>
        </w:rPr>
      </w:pPr>
      <w:bookmarkStart w:id="42" w:name="_Hlt75236101"/>
      <w:bookmarkEnd w:id="42"/>
      <w:bookmarkStart w:id="43" w:name="_Toc91899902"/>
      <w:bookmarkStart w:id="44" w:name="_Toc23265"/>
      <w:r>
        <w:rPr>
          <w:rFonts w:hint="eastAsia"/>
          <w:color w:val="000000"/>
        </w:rPr>
        <w:t>六、评标</w:t>
      </w:r>
      <w:bookmarkEnd w:id="43"/>
      <w:bookmarkEnd w:id="44"/>
    </w:p>
    <w:p>
      <w:pPr>
        <w:spacing w:line="360" w:lineRule="auto"/>
        <w:ind w:firstLine="482" w:firstLineChars="200"/>
        <w:rPr>
          <w:rFonts w:hint="eastAsia" w:ascii="宋体" w:hAnsi="宋体"/>
          <w:b/>
          <w:color w:val="000000"/>
          <w:sz w:val="24"/>
        </w:rPr>
      </w:pPr>
      <w:bookmarkStart w:id="45" w:name="_Toc91899903"/>
      <w:r>
        <w:rPr>
          <w:rFonts w:hint="eastAsia" w:ascii="宋体" w:hAnsi="宋体"/>
          <w:b/>
          <w:color w:val="000000"/>
          <w:sz w:val="24"/>
        </w:rPr>
        <w:t>20.评标组织</w:t>
      </w:r>
    </w:p>
    <w:p>
      <w:pPr>
        <w:spacing w:line="360" w:lineRule="auto"/>
        <w:ind w:firstLine="480" w:firstLineChars="200"/>
        <w:rPr>
          <w:rFonts w:hint="eastAsia" w:ascii="宋体" w:hAnsi="宋体"/>
          <w:color w:val="000000"/>
          <w:sz w:val="24"/>
        </w:rPr>
      </w:pPr>
      <w:r>
        <w:rPr>
          <w:rFonts w:hint="eastAsia" w:ascii="宋体" w:hAnsi="宋体"/>
          <w:color w:val="000000"/>
          <w:sz w:val="24"/>
        </w:rPr>
        <w:t>招标组织机构依照相关法规，组建由5人及以上奇数人员组成评标委员会，</w:t>
      </w:r>
      <w:r>
        <w:rPr>
          <w:rFonts w:ascii="宋体" w:hAnsi="宋体"/>
          <w:color w:val="000000"/>
          <w:sz w:val="24"/>
        </w:rPr>
        <w:t>其中</w:t>
      </w:r>
      <w:r>
        <w:rPr>
          <w:rFonts w:hint="eastAsia" w:ascii="宋体" w:hAnsi="宋体"/>
          <w:color w:val="000000"/>
          <w:sz w:val="24"/>
        </w:rPr>
        <w:t>招标人代表不得超过1人且不能担任评标委员会组长，相关</w:t>
      </w:r>
      <w:r>
        <w:rPr>
          <w:rFonts w:ascii="宋体" w:hAnsi="宋体"/>
          <w:color w:val="000000"/>
          <w:sz w:val="24"/>
        </w:rPr>
        <w:t>专家不少于成员总数的2/3</w:t>
      </w:r>
      <w:r>
        <w:rPr>
          <w:rFonts w:hint="eastAsia" w:ascii="宋体" w:hAnsi="宋体"/>
          <w:color w:val="000000"/>
          <w:sz w:val="24"/>
        </w:rPr>
        <w:t>。评标委员会负责对投标文件进行审查（审查内容包括资格性检查和符合性检查在内的</w:t>
      </w:r>
      <w:r>
        <w:rPr>
          <w:rFonts w:ascii="宋体" w:hAnsi="宋体"/>
          <w:color w:val="000000"/>
          <w:sz w:val="24"/>
        </w:rPr>
        <w:t>投标文件初审</w:t>
      </w:r>
      <w:r>
        <w:rPr>
          <w:rFonts w:hint="eastAsia" w:ascii="宋体" w:hAnsi="宋体"/>
          <w:color w:val="000000"/>
          <w:sz w:val="24"/>
        </w:rPr>
        <w:t>，</w:t>
      </w:r>
      <w:r>
        <w:rPr>
          <w:rFonts w:ascii="宋体" w:hAnsi="宋体"/>
          <w:color w:val="000000"/>
          <w:sz w:val="24"/>
        </w:rPr>
        <w:t>不另行提供</w:t>
      </w:r>
      <w:r>
        <w:rPr>
          <w:rFonts w:hint="eastAsia" w:ascii="宋体" w:hAnsi="宋体"/>
          <w:color w:val="000000"/>
          <w:sz w:val="24"/>
        </w:rPr>
        <w:t>书面授权）、质询、评审和比较等，并形成书面的评标结果。</w:t>
      </w:r>
    </w:p>
    <w:p>
      <w:pPr>
        <w:spacing w:line="360" w:lineRule="auto"/>
        <w:ind w:firstLine="482" w:firstLineChars="200"/>
        <w:rPr>
          <w:rFonts w:hint="eastAsia" w:ascii="宋体" w:hAnsi="宋体"/>
          <w:b/>
          <w:color w:val="000000"/>
          <w:sz w:val="24"/>
        </w:rPr>
      </w:pPr>
      <w:r>
        <w:rPr>
          <w:rFonts w:hint="eastAsia" w:ascii="宋体" w:hAnsi="宋体"/>
          <w:b/>
          <w:color w:val="000000"/>
          <w:sz w:val="24"/>
        </w:rPr>
        <w:t>21.评标原则</w:t>
      </w:r>
    </w:p>
    <w:p>
      <w:pPr>
        <w:spacing w:line="360" w:lineRule="auto"/>
        <w:ind w:firstLine="480" w:firstLineChars="200"/>
        <w:rPr>
          <w:rFonts w:hint="eastAsia" w:ascii="宋体" w:hAnsi="宋体"/>
          <w:color w:val="000000"/>
          <w:sz w:val="24"/>
        </w:rPr>
      </w:pPr>
      <w:r>
        <w:rPr>
          <w:rFonts w:hint="eastAsia" w:ascii="宋体" w:hAnsi="宋体"/>
          <w:color w:val="000000"/>
          <w:sz w:val="24"/>
        </w:rPr>
        <w:t>21.1 认真贯彻国家有关政府采购的法律、法规和政策，维护国家利益。</w:t>
      </w:r>
    </w:p>
    <w:p>
      <w:pPr>
        <w:spacing w:line="360" w:lineRule="auto"/>
        <w:ind w:firstLine="480" w:firstLineChars="200"/>
        <w:rPr>
          <w:rFonts w:hint="eastAsia" w:ascii="宋体" w:hAnsi="宋体"/>
          <w:color w:val="000000"/>
          <w:sz w:val="24"/>
        </w:rPr>
      </w:pPr>
      <w:r>
        <w:rPr>
          <w:rFonts w:hint="eastAsia" w:ascii="宋体" w:hAnsi="宋体"/>
          <w:color w:val="000000"/>
          <w:sz w:val="24"/>
        </w:rPr>
        <w:t>21.2 维护采购人的合法权益。</w:t>
      </w:r>
    </w:p>
    <w:p>
      <w:pPr>
        <w:spacing w:line="360" w:lineRule="auto"/>
        <w:ind w:firstLine="480" w:firstLineChars="200"/>
        <w:rPr>
          <w:rFonts w:hint="eastAsia" w:ascii="宋体" w:hAnsi="宋体"/>
          <w:color w:val="000000"/>
          <w:sz w:val="24"/>
        </w:rPr>
      </w:pPr>
      <w:r>
        <w:rPr>
          <w:rFonts w:hint="eastAsia" w:ascii="宋体" w:hAnsi="宋体"/>
          <w:color w:val="000000"/>
          <w:sz w:val="24"/>
        </w:rPr>
        <w:t>21.3 客观、公正地对待投标人，对所有投标人的投标评审，均采用相同的程序和标准。</w:t>
      </w:r>
    </w:p>
    <w:p>
      <w:pPr>
        <w:spacing w:line="360" w:lineRule="auto"/>
        <w:ind w:firstLine="480" w:firstLineChars="200"/>
        <w:rPr>
          <w:rFonts w:hint="eastAsia" w:ascii="宋体" w:hAnsi="宋体"/>
          <w:color w:val="000000"/>
          <w:sz w:val="24"/>
        </w:rPr>
      </w:pPr>
      <w:r>
        <w:rPr>
          <w:rFonts w:hint="eastAsia" w:ascii="宋体" w:hAnsi="宋体"/>
          <w:color w:val="000000"/>
          <w:sz w:val="24"/>
        </w:rPr>
        <w:t>21.4评标要严格按照招标文件的要求和条件进行。</w:t>
      </w:r>
    </w:p>
    <w:p>
      <w:pPr>
        <w:spacing w:line="360" w:lineRule="auto"/>
        <w:ind w:firstLine="480" w:firstLineChars="200"/>
        <w:rPr>
          <w:rFonts w:hint="eastAsia" w:ascii="宋体" w:hAnsi="宋体"/>
          <w:color w:val="000000"/>
          <w:sz w:val="24"/>
        </w:rPr>
      </w:pPr>
      <w:r>
        <w:rPr>
          <w:rFonts w:hint="eastAsia" w:ascii="宋体" w:hAnsi="宋体"/>
          <w:color w:val="000000"/>
          <w:sz w:val="24"/>
        </w:rPr>
        <w:t>21.5 评标过程中及评标结束后，评标委员会的评标情况和所有投标人的商业秘密都属于保密内容。</w:t>
      </w:r>
    </w:p>
    <w:p>
      <w:pPr>
        <w:spacing w:line="360" w:lineRule="auto"/>
        <w:ind w:firstLine="482" w:firstLineChars="200"/>
        <w:rPr>
          <w:rFonts w:hint="eastAsia" w:ascii="宋体" w:hAnsi="宋体"/>
          <w:b/>
          <w:color w:val="000000"/>
          <w:sz w:val="24"/>
        </w:rPr>
      </w:pPr>
      <w:r>
        <w:rPr>
          <w:rFonts w:hint="eastAsia" w:ascii="宋体" w:hAnsi="宋体"/>
          <w:b/>
          <w:color w:val="000000"/>
          <w:sz w:val="24"/>
        </w:rPr>
        <w:t>22.评标程序</w:t>
      </w:r>
    </w:p>
    <w:p>
      <w:pPr>
        <w:spacing w:line="360" w:lineRule="auto"/>
        <w:ind w:firstLine="480" w:firstLineChars="200"/>
        <w:rPr>
          <w:rFonts w:hint="eastAsia" w:ascii="宋体" w:hAnsi="宋体"/>
          <w:color w:val="000000"/>
          <w:sz w:val="24"/>
        </w:rPr>
      </w:pPr>
      <w:r>
        <w:rPr>
          <w:rFonts w:hint="eastAsia" w:ascii="宋体" w:hAnsi="宋体"/>
          <w:color w:val="000000"/>
          <w:sz w:val="24"/>
        </w:rPr>
        <w:t>22.1 本项目评标一般将按以下程序进行：投标文件初审、澄清有关问题、投标文件技术与商务部分的比较与评价、报价文件的比较与评审、推荐中标候选人和编写评标报告等。</w:t>
      </w:r>
    </w:p>
    <w:p>
      <w:pPr>
        <w:spacing w:line="360" w:lineRule="auto"/>
        <w:ind w:firstLine="482" w:firstLineChars="200"/>
        <w:rPr>
          <w:rFonts w:hint="eastAsia" w:ascii="宋体" w:hAnsi="宋体"/>
          <w:b/>
          <w:color w:val="000000"/>
          <w:sz w:val="24"/>
        </w:rPr>
      </w:pPr>
      <w:r>
        <w:rPr>
          <w:rFonts w:hint="eastAsia" w:ascii="宋体" w:hAnsi="宋体"/>
          <w:b/>
          <w:color w:val="000000"/>
          <w:sz w:val="24"/>
        </w:rPr>
        <w:t>22.2投标文件初审包括资格性检查和符合性检查。</w:t>
      </w:r>
    </w:p>
    <w:p>
      <w:pPr>
        <w:spacing w:line="360" w:lineRule="auto"/>
        <w:ind w:firstLine="480" w:firstLineChars="200"/>
        <w:rPr>
          <w:rFonts w:hint="eastAsia" w:ascii="宋体" w:hAnsi="宋体"/>
          <w:b/>
          <w:color w:val="000000"/>
          <w:sz w:val="24"/>
        </w:rPr>
      </w:pPr>
      <w:r>
        <w:rPr>
          <w:rFonts w:hint="eastAsia" w:ascii="宋体" w:hAnsi="宋体"/>
          <w:color w:val="000000"/>
          <w:sz w:val="24"/>
        </w:rPr>
        <w:t>22.2.1资格性检查：</w:t>
      </w:r>
      <w:r>
        <w:rPr>
          <w:rFonts w:ascii="宋体" w:hAnsi="宋体"/>
          <w:color w:val="000000"/>
          <w:sz w:val="24"/>
        </w:rPr>
        <w:t>依据法律法规和招标文件的规定，对投标文件中的资格证明</w:t>
      </w:r>
      <w:r>
        <w:rPr>
          <w:rFonts w:hint="eastAsia" w:ascii="宋体" w:hAnsi="宋体"/>
          <w:color w:val="000000"/>
          <w:sz w:val="24"/>
        </w:rPr>
        <w:t>等</w:t>
      </w:r>
      <w:r>
        <w:rPr>
          <w:rFonts w:ascii="宋体" w:hAnsi="宋体"/>
          <w:color w:val="000000"/>
          <w:sz w:val="24"/>
        </w:rPr>
        <w:t>进行审查，以确定投标</w:t>
      </w:r>
      <w:r>
        <w:rPr>
          <w:rFonts w:hint="eastAsia" w:ascii="宋体" w:hAnsi="宋体"/>
          <w:color w:val="000000"/>
          <w:sz w:val="24"/>
        </w:rPr>
        <w:t>人</w:t>
      </w:r>
      <w:r>
        <w:rPr>
          <w:rFonts w:ascii="宋体" w:hAnsi="宋体"/>
          <w:color w:val="000000"/>
          <w:sz w:val="24"/>
        </w:rPr>
        <w:t>是否具备投标资格。</w:t>
      </w:r>
      <w:r>
        <w:rPr>
          <w:rFonts w:hint="eastAsia" w:ascii="宋体" w:hAnsi="宋体"/>
          <w:b/>
          <w:color w:val="000000"/>
          <w:sz w:val="24"/>
        </w:rPr>
        <w:t>资格性检查不合格的投标人则无须继续进行符合性检查，并且投标文件初审结论不合格。</w:t>
      </w:r>
    </w:p>
    <w:p>
      <w:pPr>
        <w:spacing w:line="360" w:lineRule="auto"/>
        <w:ind w:firstLine="480" w:firstLineChars="200"/>
        <w:rPr>
          <w:rFonts w:hint="eastAsia" w:ascii="宋体" w:hAnsi="宋体"/>
          <w:b/>
          <w:color w:val="000000"/>
          <w:sz w:val="24"/>
        </w:rPr>
      </w:pPr>
      <w:r>
        <w:rPr>
          <w:rFonts w:hint="eastAsia" w:ascii="宋体" w:hAnsi="宋体"/>
          <w:color w:val="000000"/>
          <w:sz w:val="24"/>
        </w:rPr>
        <w:t>22.2.2</w:t>
      </w:r>
      <w:r>
        <w:rPr>
          <w:rFonts w:ascii="宋体" w:hAnsi="宋体"/>
          <w:color w:val="000000"/>
          <w:sz w:val="24"/>
        </w:rPr>
        <w:t>符合性检查</w:t>
      </w:r>
      <w:r>
        <w:rPr>
          <w:rFonts w:hint="eastAsia" w:ascii="宋体" w:hAnsi="宋体"/>
          <w:color w:val="000000"/>
          <w:sz w:val="24"/>
        </w:rPr>
        <w:t>：</w:t>
      </w:r>
      <w:r>
        <w:rPr>
          <w:rFonts w:ascii="宋体" w:hAnsi="宋体"/>
          <w:color w:val="000000"/>
          <w:sz w:val="24"/>
        </w:rPr>
        <w:t>依据招标文件的规定，从投标文件的</w:t>
      </w:r>
      <w:r>
        <w:rPr>
          <w:rFonts w:hint="eastAsia" w:ascii="宋体" w:hAnsi="宋体"/>
          <w:color w:val="000000"/>
          <w:sz w:val="24"/>
        </w:rPr>
        <w:t>商务、技术文件</w:t>
      </w:r>
      <w:r>
        <w:rPr>
          <w:rFonts w:ascii="宋体" w:hAnsi="宋体"/>
          <w:color w:val="000000"/>
          <w:sz w:val="24"/>
        </w:rPr>
        <w:t>有效性、完整性和对招标文件的响应程度进行审查，以确定是否对招标文件的实质性要求作出响应。</w:t>
      </w:r>
      <w:r>
        <w:rPr>
          <w:rFonts w:hint="eastAsia" w:ascii="宋体" w:hAnsi="宋体"/>
          <w:b/>
          <w:color w:val="000000"/>
          <w:sz w:val="24"/>
        </w:rPr>
        <w:t>符合性检查不合格的投标人，投标文件初审结论不合格。</w:t>
      </w:r>
    </w:p>
    <w:p>
      <w:pPr>
        <w:spacing w:line="360" w:lineRule="auto"/>
        <w:ind w:firstLine="480" w:firstLineChars="200"/>
        <w:rPr>
          <w:rFonts w:hint="eastAsia" w:ascii="宋体" w:hAnsi="宋体"/>
          <w:color w:val="000000"/>
          <w:sz w:val="24"/>
        </w:rPr>
      </w:pPr>
      <w:r>
        <w:rPr>
          <w:rFonts w:hint="eastAsia" w:ascii="宋体" w:hAnsi="宋体"/>
          <w:color w:val="000000"/>
          <w:sz w:val="24"/>
        </w:rPr>
        <w:t>22.2.3投标文件初审结论合格的投标人进入评标后续程序。投标文件初审不合格结论及其理由需通知所有投标人。</w:t>
      </w:r>
    </w:p>
    <w:p>
      <w:pPr>
        <w:spacing w:line="360" w:lineRule="auto"/>
        <w:ind w:firstLine="480" w:firstLineChars="200"/>
        <w:rPr>
          <w:rFonts w:hint="eastAsia" w:ascii="宋体" w:hAnsi="宋体"/>
          <w:color w:val="000000"/>
          <w:sz w:val="24"/>
        </w:rPr>
      </w:pPr>
      <w:r>
        <w:rPr>
          <w:rFonts w:hint="eastAsia" w:ascii="宋体" w:hAnsi="宋体"/>
          <w:color w:val="000000"/>
          <w:sz w:val="24"/>
        </w:rPr>
        <w:t>22.3投标文件的澄清。</w:t>
      </w:r>
      <w:r>
        <w:rPr>
          <w:rFonts w:ascii="宋体" w:hAnsi="宋体"/>
          <w:color w:val="000000"/>
          <w:sz w:val="24"/>
        </w:rPr>
        <w:t>对投标文件中含义不明确、同类问题表述不一致或者有明显文字和计算错误的内容，评标委员会可以书面形式要求投标人作出必要的澄清、说明或者纠正。投标人的澄清、说明或者</w:t>
      </w:r>
      <w:r>
        <w:rPr>
          <w:rFonts w:hint="eastAsia" w:ascii="宋体" w:hAnsi="宋体"/>
          <w:color w:val="000000"/>
          <w:sz w:val="24"/>
        </w:rPr>
        <w:t>纠正</w:t>
      </w:r>
      <w:r>
        <w:rPr>
          <w:rFonts w:ascii="宋体" w:hAnsi="宋体"/>
          <w:color w:val="000000"/>
          <w:sz w:val="24"/>
        </w:rPr>
        <w:t>应当采用书面形式，由</w:t>
      </w:r>
      <w:r>
        <w:rPr>
          <w:rFonts w:hint="eastAsia" w:ascii="宋体" w:hAnsi="宋体"/>
          <w:color w:val="000000"/>
          <w:sz w:val="24"/>
        </w:rPr>
        <w:t>投标人</w:t>
      </w:r>
      <w:r>
        <w:rPr>
          <w:rFonts w:ascii="宋体" w:hAnsi="宋体"/>
          <w:color w:val="000000"/>
          <w:sz w:val="24"/>
        </w:rPr>
        <w:t>代表签字，并不得超出投标文件的范围或者改变投标文件的实质性内容。</w:t>
      </w:r>
    </w:p>
    <w:p>
      <w:pPr>
        <w:spacing w:line="360" w:lineRule="auto"/>
        <w:ind w:firstLine="480" w:firstLineChars="200"/>
        <w:rPr>
          <w:rFonts w:hint="eastAsia" w:ascii="宋体" w:hAnsi="宋体"/>
          <w:color w:val="000000"/>
          <w:sz w:val="24"/>
        </w:rPr>
      </w:pPr>
      <w:r>
        <w:rPr>
          <w:rFonts w:hint="eastAsia" w:ascii="宋体" w:hAnsi="宋体"/>
          <w:color w:val="000000"/>
          <w:sz w:val="24"/>
        </w:rPr>
        <w:t>22.4 比较与评审。按招标文件中规定的评标方法和标准，对资格性检查和符合性检查合格的投标文件进行商务、技术、价格比较和评审。</w:t>
      </w:r>
    </w:p>
    <w:p>
      <w:pPr>
        <w:spacing w:line="360" w:lineRule="auto"/>
        <w:ind w:firstLine="480" w:firstLineChars="200"/>
        <w:rPr>
          <w:rFonts w:hint="eastAsia" w:ascii="宋体" w:hAnsi="宋体"/>
          <w:color w:val="000000"/>
          <w:sz w:val="24"/>
        </w:rPr>
      </w:pPr>
      <w:r>
        <w:rPr>
          <w:rFonts w:hint="eastAsia" w:ascii="宋体" w:hAnsi="宋体"/>
          <w:color w:val="000000"/>
          <w:sz w:val="24"/>
        </w:rPr>
        <w:t>22.5 推荐中标候选人。根据评标情况，确定中标候选人。</w:t>
      </w:r>
    </w:p>
    <w:p>
      <w:pPr>
        <w:spacing w:line="360" w:lineRule="auto"/>
        <w:ind w:firstLine="480" w:firstLineChars="200"/>
        <w:rPr>
          <w:rFonts w:hint="eastAsia" w:ascii="宋体" w:hAnsi="宋体"/>
          <w:color w:val="000000"/>
          <w:sz w:val="24"/>
        </w:rPr>
      </w:pPr>
      <w:r>
        <w:rPr>
          <w:rFonts w:hint="eastAsia" w:ascii="宋体" w:hAnsi="宋体"/>
          <w:color w:val="000000"/>
          <w:sz w:val="24"/>
        </w:rPr>
        <w:t>22.6 编写评标报告。</w:t>
      </w:r>
    </w:p>
    <w:p>
      <w:pPr>
        <w:spacing w:line="360" w:lineRule="auto"/>
        <w:ind w:firstLine="482" w:firstLineChars="200"/>
        <w:rPr>
          <w:rFonts w:hint="eastAsia" w:ascii="宋体" w:hAnsi="宋体"/>
          <w:b/>
          <w:color w:val="000000"/>
          <w:sz w:val="24"/>
        </w:rPr>
      </w:pPr>
      <w:r>
        <w:rPr>
          <w:rFonts w:hint="eastAsia" w:ascii="宋体" w:hAnsi="宋体"/>
          <w:b/>
          <w:color w:val="000000"/>
          <w:sz w:val="24"/>
        </w:rPr>
        <w:t>23.评标方法</w:t>
      </w:r>
    </w:p>
    <w:p>
      <w:pPr>
        <w:spacing w:line="360" w:lineRule="auto"/>
        <w:ind w:firstLine="482" w:firstLineChars="200"/>
        <w:rPr>
          <w:rFonts w:hint="eastAsia" w:ascii="宋体" w:hAnsi="宋体"/>
          <w:b/>
          <w:color w:val="000000"/>
          <w:sz w:val="24"/>
        </w:rPr>
      </w:pPr>
      <w:r>
        <w:rPr>
          <w:rFonts w:hint="eastAsia" w:ascii="宋体" w:hAnsi="宋体"/>
          <w:b/>
          <w:color w:val="000000"/>
          <w:sz w:val="24"/>
        </w:rPr>
        <w:t>23.1综合评分法：在最大限度地满足招标文件实质性要求前提下，按照招标文件中规定的各项因素进行综合评审后，以评标总得分最高的投标人作为中标候选人。</w:t>
      </w:r>
    </w:p>
    <w:p>
      <w:pPr>
        <w:spacing w:line="360" w:lineRule="auto"/>
        <w:ind w:firstLine="480" w:firstLineChars="200"/>
        <w:rPr>
          <w:rFonts w:hint="eastAsia" w:ascii="宋体" w:hAnsi="宋体"/>
          <w:color w:val="000000"/>
          <w:sz w:val="24"/>
        </w:rPr>
      </w:pPr>
      <w:r>
        <w:rPr>
          <w:rFonts w:hint="eastAsia" w:ascii="宋体" w:hAnsi="宋体"/>
          <w:color w:val="000000"/>
          <w:sz w:val="24"/>
        </w:rPr>
        <w:t>23.1.1  评标委员会对投标文件初审合格的投标人进行综合评分，投标人的综合得分为技术、商务和价格部分的总计分，得分采用百分制。</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23.1.2评标中，先进行商务、技术部分评分，评标委员会每人一张记名评分表，分值保留至小数点后一位。评标委员会成员的有效评分的算术平均值（保留至小数点后两位）为各投标人商务、技术部分的最终评分值。招标组织机构在公布商务、技术部分得分后再开启报价文件进行唱标。使用综合评分法的采购项目，提供的全部核心产品均为相同品牌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  </w:t>
      </w:r>
    </w:p>
    <w:p>
      <w:pPr>
        <w:spacing w:line="360" w:lineRule="auto"/>
        <w:ind w:firstLine="480" w:firstLineChars="200"/>
        <w:rPr>
          <w:rFonts w:hint="eastAsia" w:ascii="宋体" w:hAnsi="宋体"/>
          <w:color w:val="000000"/>
          <w:sz w:val="24"/>
        </w:rPr>
      </w:pPr>
      <w:r>
        <w:rPr>
          <w:rFonts w:hint="eastAsia" w:ascii="宋体" w:hAnsi="宋体"/>
          <w:color w:val="000000"/>
          <w:sz w:val="24"/>
        </w:rPr>
        <w:t>23.1.3评标委员会将综合得分最高的投标人，作为中标候选人向采购人推荐，并提交评标报告。得分相同的，按投标报价由低到高顺序排列，得分且投标报价相同的并列。</w:t>
      </w:r>
    </w:p>
    <w:p>
      <w:pPr>
        <w:spacing w:line="360" w:lineRule="auto"/>
        <w:ind w:firstLine="480" w:firstLineChars="200"/>
        <w:rPr>
          <w:rFonts w:hint="eastAsia" w:ascii="宋体" w:hAnsi="宋体"/>
          <w:color w:val="000000"/>
          <w:sz w:val="24"/>
        </w:rPr>
      </w:pPr>
      <w:r>
        <w:rPr>
          <w:rFonts w:hint="eastAsia" w:ascii="宋体" w:hAnsi="宋体"/>
          <w:color w:val="000000"/>
          <w:sz w:val="24"/>
        </w:rPr>
        <w:t>23.1.4如果评标委员会认为本次投标不具有竞争性，可不予推荐本次招标的中标候选人。</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23.2最低评标价法：即在全部满足招标文件实质性要求前提下，依据统一的价格要素评定价格，以提出最低报价的投标人作为中标候选人的评标方法。</w:t>
      </w:r>
    </w:p>
    <w:p>
      <w:pPr>
        <w:spacing w:line="360" w:lineRule="auto"/>
        <w:ind w:firstLine="480" w:firstLineChars="200"/>
        <w:rPr>
          <w:rFonts w:hint="eastAsia" w:ascii="宋体" w:hAnsi="宋体"/>
          <w:color w:val="000000"/>
          <w:sz w:val="24"/>
        </w:rPr>
      </w:pPr>
      <w:r>
        <w:rPr>
          <w:rFonts w:hint="eastAsia" w:ascii="宋体" w:hAnsi="宋体"/>
          <w:color w:val="000000"/>
          <w:sz w:val="24"/>
        </w:rPr>
        <w:t>23.2.1最低评标价法的投标报价为一次性最终报价。</w:t>
      </w:r>
    </w:p>
    <w:p>
      <w:pPr>
        <w:spacing w:line="360" w:lineRule="auto"/>
        <w:ind w:firstLine="480" w:firstLineChars="200"/>
        <w:rPr>
          <w:rFonts w:hint="eastAsia" w:ascii="宋体" w:hAnsi="宋体"/>
          <w:color w:val="000000"/>
          <w:sz w:val="24"/>
        </w:rPr>
      </w:pPr>
      <w:r>
        <w:rPr>
          <w:rFonts w:hint="eastAsia" w:ascii="宋体" w:hAnsi="宋体"/>
          <w:color w:val="000000"/>
          <w:sz w:val="24"/>
        </w:rPr>
        <w:t>23.2.2提供的全部核心产品均为相同品牌的不同投标人参加同一合同项下投标的，以其中通过资格审查、符合性审查且报价最低的参加评标;</w:t>
      </w:r>
    </w:p>
    <w:p>
      <w:pPr>
        <w:spacing w:line="360" w:lineRule="auto"/>
        <w:ind w:firstLine="480" w:firstLineChars="200"/>
        <w:rPr>
          <w:rFonts w:hint="eastAsia" w:ascii="宋体" w:hAnsi="宋体"/>
          <w:color w:val="000000"/>
          <w:sz w:val="24"/>
        </w:rPr>
      </w:pPr>
      <w:r>
        <w:rPr>
          <w:rFonts w:hint="eastAsia" w:ascii="宋体" w:hAnsi="宋体"/>
          <w:color w:val="000000"/>
          <w:sz w:val="24"/>
        </w:rPr>
        <w:t>23.2.3投标文件满足招标文件全部实质性要求且投标报价最低的投标人为排名第一的中标候选人。投标报价相同的并列。</w:t>
      </w:r>
    </w:p>
    <w:p>
      <w:pPr>
        <w:spacing w:line="360" w:lineRule="auto"/>
        <w:ind w:firstLine="480" w:firstLineChars="200"/>
        <w:rPr>
          <w:rFonts w:hint="eastAsia" w:ascii="宋体" w:hAnsi="宋体"/>
          <w:color w:val="000000"/>
          <w:sz w:val="24"/>
        </w:rPr>
      </w:pPr>
      <w:r>
        <w:rPr>
          <w:rFonts w:hint="eastAsia" w:ascii="宋体" w:hAnsi="宋体"/>
          <w:color w:val="000000"/>
          <w:sz w:val="24"/>
        </w:rPr>
        <w:t>23.2.4报价是中标的一个重要因素，但最低报价不是中标的唯一依据。</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23.2.5如果评标委员会认为本次投标情况不具有竞争性，不予推荐本次招标的中标候选人。 </w:t>
      </w:r>
    </w:p>
    <w:p>
      <w:pPr>
        <w:spacing w:line="360" w:lineRule="auto"/>
        <w:ind w:firstLine="482" w:firstLineChars="200"/>
        <w:rPr>
          <w:rFonts w:hint="eastAsia" w:ascii="宋体" w:hAnsi="宋体"/>
          <w:b/>
          <w:color w:val="000000"/>
          <w:sz w:val="24"/>
        </w:rPr>
      </w:pPr>
      <w:r>
        <w:rPr>
          <w:rFonts w:hint="eastAsia" w:ascii="宋体" w:hAnsi="宋体"/>
          <w:b/>
          <w:color w:val="000000"/>
          <w:sz w:val="24"/>
        </w:rPr>
        <w:t>24.无效投标</w:t>
      </w:r>
    </w:p>
    <w:p>
      <w:pPr>
        <w:spacing w:line="360" w:lineRule="auto"/>
        <w:ind w:firstLine="482" w:firstLineChars="200"/>
        <w:rPr>
          <w:rFonts w:hint="eastAsia" w:ascii="宋体" w:hAnsi="宋体"/>
          <w:b/>
          <w:color w:val="000000"/>
          <w:sz w:val="24"/>
        </w:rPr>
      </w:pPr>
      <w:r>
        <w:rPr>
          <w:rFonts w:hint="eastAsia" w:ascii="宋体" w:hAnsi="宋体"/>
          <w:b/>
          <w:color w:val="000000"/>
          <w:sz w:val="24"/>
        </w:rPr>
        <w:t>24.1投标文件属于下列情况之一的，应当在资格性、符合性检查时按照无效投标处理：</w:t>
      </w:r>
    </w:p>
    <w:p>
      <w:pPr>
        <w:spacing w:line="360" w:lineRule="auto"/>
        <w:ind w:firstLine="480" w:firstLineChars="200"/>
        <w:rPr>
          <w:rFonts w:hint="eastAsia" w:ascii="宋体" w:hAnsi="宋体"/>
          <w:color w:val="000000"/>
          <w:sz w:val="24"/>
        </w:rPr>
      </w:pPr>
      <w:r>
        <w:rPr>
          <w:rFonts w:hint="eastAsia" w:ascii="宋体" w:hAnsi="宋体"/>
          <w:color w:val="000000"/>
          <w:sz w:val="24"/>
        </w:rPr>
        <w:t>24.1.1 投标文件未提供有效的授权委托书或投标人代表身份与授权书内容不一致的；应交未交投标保证金的；</w:t>
      </w:r>
    </w:p>
    <w:p>
      <w:pPr>
        <w:spacing w:line="360" w:lineRule="auto"/>
        <w:ind w:firstLine="480" w:firstLineChars="200"/>
        <w:rPr>
          <w:rFonts w:hint="eastAsia" w:ascii="宋体" w:hAnsi="宋体"/>
          <w:color w:val="000000"/>
          <w:sz w:val="24"/>
        </w:rPr>
      </w:pPr>
      <w:r>
        <w:rPr>
          <w:rFonts w:hint="eastAsia" w:ascii="宋体" w:hAnsi="宋体"/>
          <w:color w:val="000000"/>
          <w:sz w:val="24"/>
        </w:rPr>
        <w:t>24.1.2投标文件未按照招标文件“15.”要求密封、装订、签署、盖章的；</w:t>
      </w:r>
      <w:r>
        <w:rPr>
          <w:rFonts w:hint="eastAsia"/>
          <w:color w:val="000000"/>
          <w:sz w:val="24"/>
        </w:rPr>
        <w:t>投标文件份数未按招标文件前附表规定提供的；</w:t>
      </w:r>
    </w:p>
    <w:p>
      <w:pPr>
        <w:spacing w:line="360" w:lineRule="auto"/>
        <w:ind w:firstLine="480" w:firstLineChars="200"/>
        <w:rPr>
          <w:rFonts w:hint="eastAsia" w:ascii="宋体" w:hAnsi="宋体"/>
          <w:color w:val="000000"/>
          <w:sz w:val="24"/>
        </w:rPr>
      </w:pPr>
      <w:r>
        <w:rPr>
          <w:rFonts w:hint="eastAsia" w:ascii="宋体" w:hAnsi="宋体"/>
          <w:color w:val="000000"/>
          <w:sz w:val="24"/>
        </w:rPr>
        <w:t>24.1.3 资格证明文件不全的，或者不符合招标文件标明的资格要求的；</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24.1.4投标文件未按招标文件要求提供有效社会保险证明； </w:t>
      </w:r>
    </w:p>
    <w:p>
      <w:pPr>
        <w:spacing w:line="360" w:lineRule="auto"/>
        <w:ind w:firstLine="480" w:firstLineChars="200"/>
        <w:rPr>
          <w:rFonts w:hint="eastAsia" w:ascii="宋体" w:hAnsi="宋体"/>
          <w:color w:val="000000"/>
          <w:sz w:val="24"/>
        </w:rPr>
      </w:pPr>
      <w:r>
        <w:rPr>
          <w:rFonts w:hint="eastAsia" w:ascii="宋体" w:hAnsi="宋体"/>
          <w:color w:val="000000"/>
          <w:sz w:val="24"/>
        </w:rPr>
        <w:t>24.1.5投标文件不响应招标文件的实质性规定与采购需求的实质性内容的；投标内容有重大缺项或者涂改模糊处未作有效修正或者实质性内容表述矛盾歧义，评标委员会不能确认为有效的；</w:t>
      </w:r>
    </w:p>
    <w:p>
      <w:pPr>
        <w:spacing w:line="360" w:lineRule="auto"/>
        <w:ind w:firstLine="480" w:firstLineChars="200"/>
        <w:rPr>
          <w:rFonts w:hint="eastAsia" w:ascii="宋体" w:hAnsi="宋体"/>
          <w:color w:val="000000"/>
          <w:sz w:val="24"/>
        </w:rPr>
      </w:pPr>
      <w:r>
        <w:rPr>
          <w:rFonts w:hint="eastAsia" w:ascii="宋体" w:hAnsi="宋体"/>
          <w:color w:val="000000"/>
          <w:sz w:val="24"/>
        </w:rPr>
        <w:t>24.1.6有证据证明投标人违背有关法律、法规投标的；</w:t>
      </w:r>
    </w:p>
    <w:p>
      <w:pPr>
        <w:spacing w:line="360" w:lineRule="auto"/>
        <w:ind w:firstLine="480" w:firstLineChars="200"/>
        <w:rPr>
          <w:rFonts w:hint="eastAsia" w:ascii="宋体" w:hAnsi="宋体"/>
          <w:color w:val="000000"/>
          <w:sz w:val="24"/>
        </w:rPr>
      </w:pPr>
      <w:r>
        <w:rPr>
          <w:rFonts w:hint="eastAsia" w:ascii="宋体" w:hAnsi="宋体"/>
          <w:color w:val="000000"/>
          <w:sz w:val="24"/>
        </w:rPr>
        <w:t>24.1.7</w:t>
      </w:r>
      <w:r>
        <w:rPr>
          <w:rFonts w:ascii="宋体" w:hAnsi="宋体"/>
          <w:color w:val="000000"/>
          <w:sz w:val="24"/>
        </w:rPr>
        <w:t>不符合法律、法规</w:t>
      </w:r>
      <w:r>
        <w:rPr>
          <w:rFonts w:hint="eastAsia" w:ascii="宋体" w:hAnsi="宋体"/>
          <w:color w:val="000000"/>
          <w:sz w:val="24"/>
        </w:rPr>
        <w:t>或投标文件有招标方不能接受的附加条件的；</w:t>
      </w:r>
    </w:p>
    <w:p>
      <w:pPr>
        <w:spacing w:line="360" w:lineRule="auto"/>
        <w:ind w:firstLine="480" w:firstLineChars="200"/>
        <w:rPr>
          <w:rFonts w:hint="eastAsia" w:ascii="宋体" w:hAnsi="宋体"/>
          <w:color w:val="000000"/>
          <w:sz w:val="24"/>
        </w:rPr>
      </w:pPr>
      <w:r>
        <w:rPr>
          <w:rFonts w:hint="eastAsia" w:ascii="宋体" w:hAnsi="宋体"/>
          <w:color w:val="000000"/>
          <w:sz w:val="24"/>
        </w:rPr>
        <w:t>24.1.8 根据招标文件要求，评标委员会认为应当作无效投标的其他情况。</w:t>
      </w:r>
    </w:p>
    <w:p>
      <w:pPr>
        <w:spacing w:line="360" w:lineRule="auto"/>
        <w:ind w:firstLine="480" w:firstLineChars="200"/>
        <w:rPr>
          <w:rFonts w:hint="eastAsia" w:ascii="宋体" w:hAnsi="宋体"/>
          <w:color w:val="000000"/>
          <w:sz w:val="24"/>
        </w:rPr>
      </w:pPr>
      <w:r>
        <w:rPr>
          <w:rFonts w:hint="eastAsia" w:ascii="宋体" w:hAnsi="宋体"/>
          <w:color w:val="000000"/>
          <w:sz w:val="24"/>
        </w:rPr>
        <w:t>24.1.9有下列情形之一的，视为投标人串通投标，其投标无效：</w:t>
      </w:r>
    </w:p>
    <w:p>
      <w:pPr>
        <w:spacing w:line="360" w:lineRule="auto"/>
        <w:ind w:firstLine="480" w:firstLineChars="200"/>
        <w:rPr>
          <w:rFonts w:hint="eastAsia" w:ascii="宋体" w:hAnsi="宋体"/>
          <w:color w:val="000000"/>
          <w:sz w:val="24"/>
        </w:rPr>
      </w:pPr>
      <w:r>
        <w:rPr>
          <w:rFonts w:hint="eastAsia" w:ascii="宋体" w:hAnsi="宋体"/>
          <w:color w:val="000000"/>
          <w:sz w:val="24"/>
        </w:rPr>
        <w:t>（1）不同投标人的投标文件由同一单位或者个人编制；</w:t>
      </w:r>
    </w:p>
    <w:p>
      <w:pPr>
        <w:spacing w:line="360" w:lineRule="auto"/>
        <w:ind w:firstLine="480" w:firstLineChars="200"/>
        <w:rPr>
          <w:rFonts w:hint="eastAsia" w:ascii="宋体" w:hAnsi="宋体"/>
          <w:color w:val="000000"/>
          <w:sz w:val="24"/>
        </w:rPr>
      </w:pPr>
      <w:r>
        <w:rPr>
          <w:rFonts w:hint="eastAsia" w:ascii="宋体" w:hAnsi="宋体"/>
          <w:color w:val="000000"/>
          <w:sz w:val="24"/>
        </w:rPr>
        <w:t>（2）不同投标人委托同一单位或者个人办理投标事宜；</w:t>
      </w:r>
    </w:p>
    <w:p>
      <w:pPr>
        <w:spacing w:line="360" w:lineRule="auto"/>
        <w:ind w:firstLine="480" w:firstLineChars="200"/>
        <w:rPr>
          <w:rFonts w:hint="eastAsia" w:ascii="宋体" w:hAnsi="宋体"/>
          <w:color w:val="000000"/>
          <w:sz w:val="24"/>
        </w:rPr>
      </w:pPr>
      <w:r>
        <w:rPr>
          <w:rFonts w:hint="eastAsia" w:ascii="宋体" w:hAnsi="宋体"/>
          <w:color w:val="000000"/>
          <w:sz w:val="24"/>
        </w:rPr>
        <w:t>（3）不同投标人的投标文件载明的项目管理成员或者联系人员为同一人；</w:t>
      </w:r>
    </w:p>
    <w:p>
      <w:pPr>
        <w:spacing w:line="360" w:lineRule="auto"/>
        <w:ind w:firstLine="480" w:firstLineChars="200"/>
        <w:rPr>
          <w:rFonts w:hint="eastAsia" w:ascii="宋体" w:hAnsi="宋体"/>
          <w:color w:val="000000"/>
          <w:sz w:val="24"/>
        </w:rPr>
      </w:pPr>
      <w:r>
        <w:rPr>
          <w:rFonts w:hint="eastAsia" w:ascii="宋体" w:hAnsi="宋体"/>
          <w:color w:val="000000"/>
          <w:sz w:val="24"/>
        </w:rPr>
        <w:t>（4）不同投标人的投标文件异常一致或者投标报价呈现规律性差异；</w:t>
      </w:r>
    </w:p>
    <w:p>
      <w:pPr>
        <w:spacing w:line="360" w:lineRule="auto"/>
        <w:ind w:firstLine="480" w:firstLineChars="200"/>
        <w:rPr>
          <w:rFonts w:hint="eastAsia" w:ascii="宋体" w:hAnsi="宋体"/>
          <w:color w:val="000000"/>
          <w:sz w:val="24"/>
        </w:rPr>
      </w:pPr>
      <w:r>
        <w:rPr>
          <w:rFonts w:hint="eastAsia" w:ascii="宋体" w:hAnsi="宋体"/>
          <w:color w:val="000000"/>
          <w:sz w:val="24"/>
        </w:rPr>
        <w:t>（5）不同投标人的投标文件相互混装；</w:t>
      </w:r>
    </w:p>
    <w:p>
      <w:pPr>
        <w:spacing w:line="360" w:lineRule="auto"/>
        <w:ind w:firstLine="480" w:firstLineChars="200"/>
        <w:rPr>
          <w:rFonts w:hint="eastAsia" w:ascii="宋体" w:hAnsi="宋体"/>
          <w:color w:val="000000"/>
          <w:sz w:val="24"/>
        </w:rPr>
      </w:pPr>
      <w:r>
        <w:rPr>
          <w:rFonts w:hint="eastAsia" w:ascii="宋体" w:hAnsi="宋体"/>
          <w:color w:val="000000"/>
          <w:sz w:val="24"/>
        </w:rPr>
        <w:t>（6）不同投标人的投标保证金从同一单位或者个人帐户转出。</w:t>
      </w:r>
    </w:p>
    <w:p>
      <w:pPr>
        <w:spacing w:line="360" w:lineRule="auto"/>
        <w:ind w:firstLine="480" w:firstLineChars="200"/>
        <w:rPr>
          <w:rFonts w:hint="eastAsia" w:ascii="宋体" w:hAnsi="宋体"/>
          <w:color w:val="000000"/>
          <w:sz w:val="24"/>
        </w:rPr>
      </w:pPr>
      <w:r>
        <w:rPr>
          <w:rFonts w:hint="eastAsia" w:ascii="宋体" w:hAnsi="宋体"/>
          <w:color w:val="000000"/>
          <w:sz w:val="24"/>
        </w:rPr>
        <w:t>24.2 投标文件有下属情况之一的，应当在报价文件评审时按照无效标处理：</w:t>
      </w:r>
    </w:p>
    <w:p>
      <w:pPr>
        <w:spacing w:line="360" w:lineRule="auto"/>
        <w:ind w:firstLine="480" w:firstLineChars="200"/>
        <w:rPr>
          <w:rFonts w:hint="eastAsia" w:ascii="宋体" w:hAnsi="宋体"/>
          <w:color w:val="000000"/>
          <w:sz w:val="24"/>
        </w:rPr>
      </w:pPr>
      <w:r>
        <w:rPr>
          <w:rFonts w:hint="eastAsia" w:ascii="宋体" w:hAnsi="宋体"/>
          <w:color w:val="000000"/>
          <w:sz w:val="24"/>
        </w:rPr>
        <w:t>24.2.1 报价文件未按照招标文件规定要求密封、装订、签署、盖章的；</w:t>
      </w:r>
    </w:p>
    <w:p>
      <w:pPr>
        <w:spacing w:line="360" w:lineRule="auto"/>
        <w:ind w:firstLine="480" w:firstLineChars="200"/>
        <w:rPr>
          <w:rFonts w:hint="eastAsia" w:ascii="宋体" w:hAnsi="宋体"/>
          <w:color w:val="000000"/>
          <w:sz w:val="24"/>
        </w:rPr>
      </w:pPr>
      <w:r>
        <w:rPr>
          <w:rFonts w:hint="eastAsia" w:ascii="宋体" w:hAnsi="宋体"/>
          <w:color w:val="000000"/>
          <w:sz w:val="24"/>
        </w:rPr>
        <w:t>24.2.2报价超过招标文件中规定的预算金额或者最高限价的；</w:t>
      </w:r>
    </w:p>
    <w:p>
      <w:pPr>
        <w:spacing w:line="360" w:lineRule="auto"/>
        <w:ind w:firstLine="480" w:firstLineChars="200"/>
        <w:rPr>
          <w:rFonts w:hint="eastAsia" w:ascii="宋体" w:hAnsi="宋体"/>
          <w:color w:val="000000"/>
          <w:sz w:val="24"/>
        </w:rPr>
      </w:pPr>
      <w:r>
        <w:rPr>
          <w:rFonts w:hint="eastAsia" w:ascii="宋体" w:hAnsi="宋体"/>
          <w:color w:val="000000"/>
          <w:sz w:val="24"/>
        </w:rPr>
        <w:t>24.2.3投标报价具有选择性的；</w:t>
      </w:r>
    </w:p>
    <w:p>
      <w:pPr>
        <w:spacing w:line="360" w:lineRule="auto"/>
        <w:ind w:firstLine="480" w:firstLineChars="200"/>
        <w:rPr>
          <w:rFonts w:hint="eastAsia" w:ascii="宋体" w:hAnsi="宋体"/>
          <w:color w:val="000000"/>
          <w:sz w:val="24"/>
        </w:rPr>
      </w:pPr>
      <w:r>
        <w:rPr>
          <w:rFonts w:hint="eastAsia" w:ascii="宋体" w:hAnsi="宋体"/>
          <w:color w:val="000000"/>
          <w:sz w:val="24"/>
        </w:rPr>
        <w:t>24.2.4 评标委员会认为投标人的报价明显低于其他通过符合性审查投标人的报价，有可能影响产品质量或者不能诚信履约的，而投标人又不能作出合理说明或提供相关证明材料的；</w:t>
      </w:r>
    </w:p>
    <w:p>
      <w:pPr>
        <w:spacing w:line="360" w:lineRule="auto"/>
        <w:ind w:firstLine="480" w:firstLineChars="200"/>
        <w:rPr>
          <w:rFonts w:hint="eastAsia" w:ascii="宋体" w:hAnsi="宋体"/>
          <w:color w:val="000000"/>
          <w:sz w:val="24"/>
        </w:rPr>
      </w:pPr>
      <w:r>
        <w:rPr>
          <w:rFonts w:hint="eastAsia" w:ascii="宋体" w:hAnsi="宋体"/>
          <w:color w:val="000000"/>
          <w:sz w:val="24"/>
        </w:rPr>
        <w:t>24.2.5投标报价明细表合计总价与投标函投标总价不一致，且高于或低于投标总价5%的；</w:t>
      </w:r>
    </w:p>
    <w:p>
      <w:pPr>
        <w:spacing w:line="360" w:lineRule="auto"/>
        <w:ind w:firstLine="480" w:firstLineChars="200"/>
        <w:rPr>
          <w:rFonts w:hint="eastAsia" w:ascii="宋体" w:hAnsi="宋体"/>
          <w:color w:val="000000"/>
          <w:sz w:val="24"/>
        </w:rPr>
      </w:pPr>
      <w:r>
        <w:rPr>
          <w:rFonts w:hint="eastAsia" w:ascii="宋体" w:hAnsi="宋体"/>
          <w:color w:val="000000"/>
          <w:sz w:val="24"/>
        </w:rPr>
        <w:t>24.2.6 报价文件内容与商务、技术文件内容严重不一致，评标委员会无法评审的；</w:t>
      </w:r>
    </w:p>
    <w:p>
      <w:pPr>
        <w:spacing w:line="360" w:lineRule="auto"/>
        <w:ind w:firstLine="480" w:firstLineChars="200"/>
        <w:rPr>
          <w:rFonts w:hint="eastAsia" w:ascii="宋体" w:hAnsi="宋体"/>
          <w:color w:val="000000"/>
          <w:sz w:val="24"/>
        </w:rPr>
      </w:pPr>
      <w:r>
        <w:rPr>
          <w:rFonts w:hint="eastAsia" w:ascii="宋体" w:hAnsi="宋体"/>
          <w:color w:val="000000"/>
          <w:sz w:val="24"/>
        </w:rPr>
        <w:t>24.2.7根据法律、法规或招标文件要求，评标委员会认为应当作无效投标的其他情况。</w:t>
      </w:r>
    </w:p>
    <w:p>
      <w:pPr>
        <w:spacing w:line="360" w:lineRule="auto"/>
        <w:ind w:firstLine="482" w:firstLineChars="200"/>
        <w:rPr>
          <w:rFonts w:hint="eastAsia" w:ascii="宋体" w:hAnsi="宋体"/>
          <w:b/>
          <w:color w:val="000000"/>
          <w:sz w:val="24"/>
        </w:rPr>
      </w:pPr>
      <w:r>
        <w:rPr>
          <w:rFonts w:hint="eastAsia" w:ascii="宋体" w:hAnsi="宋体"/>
          <w:b/>
          <w:color w:val="000000"/>
          <w:sz w:val="24"/>
        </w:rPr>
        <w:t>25. 废标</w:t>
      </w:r>
    </w:p>
    <w:p>
      <w:pPr>
        <w:spacing w:line="360" w:lineRule="auto"/>
        <w:ind w:firstLine="482" w:firstLineChars="200"/>
        <w:rPr>
          <w:rFonts w:hint="eastAsia" w:ascii="宋体" w:hAnsi="宋体"/>
          <w:b/>
          <w:color w:val="000000"/>
          <w:sz w:val="24"/>
        </w:rPr>
      </w:pPr>
      <w:r>
        <w:rPr>
          <w:rFonts w:hint="eastAsia" w:ascii="宋体" w:hAnsi="宋体"/>
          <w:b/>
          <w:color w:val="000000"/>
          <w:sz w:val="24"/>
        </w:rPr>
        <w:t>在招标采购中，出现下列情形之一的，应予</w:t>
      </w:r>
      <w:r>
        <w:rPr>
          <w:rFonts w:hint="eastAsia" w:ascii="黑体" w:hAnsi="宋体" w:eastAsia="黑体"/>
          <w:b/>
          <w:color w:val="000000"/>
          <w:sz w:val="24"/>
        </w:rPr>
        <w:t>废标</w:t>
      </w:r>
      <w:r>
        <w:rPr>
          <w:rFonts w:hint="eastAsia" w:ascii="宋体" w:hAnsi="宋体"/>
          <w:b/>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(1)符合专业条件的供应商或者对采购文件作实质响应的供应商不足三家的；</w:t>
      </w:r>
    </w:p>
    <w:p>
      <w:pPr>
        <w:spacing w:line="360" w:lineRule="auto"/>
        <w:ind w:firstLine="480" w:firstLineChars="200"/>
        <w:rPr>
          <w:rFonts w:hint="eastAsia" w:ascii="宋体" w:hAnsi="宋体"/>
          <w:color w:val="000000"/>
          <w:sz w:val="24"/>
        </w:rPr>
      </w:pPr>
      <w:r>
        <w:rPr>
          <w:rFonts w:hint="eastAsia" w:ascii="宋体" w:hAnsi="宋体"/>
          <w:color w:val="000000"/>
          <w:sz w:val="24"/>
        </w:rPr>
        <w:t>(2)出现影响采购公正的违法、违规行为的；</w:t>
      </w:r>
    </w:p>
    <w:p>
      <w:pPr>
        <w:spacing w:line="360" w:lineRule="auto"/>
        <w:ind w:firstLine="480" w:firstLineChars="200"/>
        <w:rPr>
          <w:rFonts w:hint="eastAsia" w:ascii="宋体" w:hAnsi="宋体"/>
          <w:color w:val="000000"/>
          <w:sz w:val="24"/>
        </w:rPr>
      </w:pPr>
      <w:r>
        <w:rPr>
          <w:rFonts w:hint="eastAsia" w:ascii="宋体" w:hAnsi="宋体"/>
          <w:color w:val="000000"/>
          <w:sz w:val="24"/>
        </w:rPr>
        <w:t>(3)投标人的报价均超过了采购预算，用户单位不能支付的；</w:t>
      </w:r>
    </w:p>
    <w:p>
      <w:pPr>
        <w:spacing w:line="360" w:lineRule="auto"/>
        <w:ind w:firstLine="480" w:firstLineChars="200"/>
        <w:rPr>
          <w:rFonts w:hint="eastAsia" w:ascii="宋体" w:hAnsi="宋体"/>
          <w:color w:val="000000"/>
          <w:sz w:val="24"/>
        </w:rPr>
      </w:pPr>
      <w:r>
        <w:rPr>
          <w:rFonts w:hint="eastAsia" w:ascii="宋体" w:hAnsi="宋体"/>
          <w:color w:val="000000"/>
          <w:sz w:val="24"/>
        </w:rPr>
        <w:t>(4)因重大变故，采购任务取消的；</w:t>
      </w:r>
    </w:p>
    <w:p>
      <w:pPr>
        <w:spacing w:line="360" w:lineRule="auto"/>
        <w:ind w:firstLine="480" w:firstLineChars="200"/>
        <w:rPr>
          <w:rFonts w:hint="eastAsia" w:ascii="宋体" w:hAnsi="宋体"/>
          <w:color w:val="000000"/>
          <w:sz w:val="24"/>
        </w:rPr>
      </w:pPr>
      <w:r>
        <w:rPr>
          <w:rFonts w:hint="eastAsia" w:ascii="宋体" w:hAnsi="宋体"/>
          <w:color w:val="000000"/>
          <w:sz w:val="24"/>
        </w:rPr>
        <w:t>(5)评标委员会未推荐中标候选人的。</w:t>
      </w:r>
    </w:p>
    <w:p>
      <w:pPr>
        <w:spacing w:line="360" w:lineRule="auto"/>
        <w:ind w:firstLine="480" w:firstLineChars="200"/>
        <w:rPr>
          <w:rFonts w:hint="eastAsia" w:ascii="宋体" w:hAnsi="宋体"/>
          <w:color w:val="000000"/>
          <w:sz w:val="24"/>
        </w:rPr>
      </w:pPr>
      <w:r>
        <w:rPr>
          <w:rFonts w:hint="eastAsia" w:ascii="宋体" w:hAnsi="宋体"/>
          <w:color w:val="000000"/>
          <w:sz w:val="24"/>
        </w:rPr>
        <w:t>第一款按照有关法律法规，除作为废标外可经批准后采取其他方式采购。废标后，应当将废标理由通知所有投标人。</w:t>
      </w:r>
    </w:p>
    <w:bookmarkEnd w:id="45"/>
    <w:p>
      <w:pPr>
        <w:spacing w:line="360" w:lineRule="auto"/>
        <w:ind w:firstLine="482" w:firstLineChars="200"/>
        <w:rPr>
          <w:rFonts w:hint="eastAsia" w:ascii="宋体" w:hAnsi="宋体"/>
          <w:b/>
          <w:color w:val="000000"/>
          <w:sz w:val="24"/>
        </w:rPr>
      </w:pPr>
      <w:bookmarkStart w:id="46" w:name="_Toc86216994"/>
      <w:r>
        <w:rPr>
          <w:rFonts w:hint="eastAsia" w:ascii="宋体" w:hAnsi="宋体"/>
          <w:b/>
          <w:color w:val="000000"/>
          <w:sz w:val="24"/>
        </w:rPr>
        <w:t>26. 评标内容的保密</w:t>
      </w:r>
    </w:p>
    <w:p>
      <w:pPr>
        <w:spacing w:line="360" w:lineRule="auto"/>
        <w:ind w:firstLine="480" w:firstLineChars="200"/>
        <w:rPr>
          <w:rFonts w:hint="eastAsia" w:ascii="宋体" w:hAnsi="宋体"/>
          <w:color w:val="000000"/>
          <w:sz w:val="24"/>
        </w:rPr>
      </w:pPr>
      <w:r>
        <w:rPr>
          <w:rFonts w:hint="eastAsia" w:ascii="宋体" w:hAnsi="宋体"/>
          <w:color w:val="000000"/>
          <w:sz w:val="24"/>
        </w:rPr>
        <w:t>26.1</w:t>
      </w:r>
      <w:r>
        <w:rPr>
          <w:rFonts w:hint="eastAsia" w:ascii="宋体" w:hAnsi="宋体"/>
          <w:b/>
          <w:bCs/>
          <w:color w:val="000000"/>
          <w:sz w:val="24"/>
        </w:rPr>
        <w:t xml:space="preserve"> 公开开标后，直到确定中标单位止，</w:t>
      </w:r>
      <w:r>
        <w:rPr>
          <w:rFonts w:hint="eastAsia" w:ascii="宋体" w:hAnsi="宋体"/>
          <w:color w:val="000000"/>
          <w:sz w:val="24"/>
        </w:rPr>
        <w:t>凡属于审查、澄清、评价和比较投标的所有资料，都不应向投标人或与评标无关的其他人泄漏。</w:t>
      </w:r>
    </w:p>
    <w:p>
      <w:pPr>
        <w:spacing w:line="360" w:lineRule="auto"/>
        <w:ind w:firstLine="480" w:firstLineChars="200"/>
        <w:rPr>
          <w:rFonts w:hint="eastAsia" w:ascii="宋体" w:hAnsi="宋体"/>
          <w:color w:val="000000"/>
          <w:sz w:val="24"/>
        </w:rPr>
      </w:pPr>
      <w:r>
        <w:rPr>
          <w:rFonts w:hint="eastAsia" w:ascii="宋体" w:hAnsi="宋体"/>
          <w:color w:val="000000"/>
          <w:sz w:val="24"/>
        </w:rPr>
        <w:t>26.2 在投标文件的审查、澄清、评价和比较以及确定中标单位过程中，投标人对招标组织机构和评标委员会施加影响的任何行为，都将导致取消中标资格。</w:t>
      </w:r>
    </w:p>
    <w:p>
      <w:pPr>
        <w:pStyle w:val="4"/>
        <w:rPr>
          <w:rFonts w:hint="eastAsia"/>
          <w:color w:val="000000"/>
        </w:rPr>
      </w:pPr>
      <w:bookmarkStart w:id="47" w:name="_Toc29047"/>
      <w:r>
        <w:rPr>
          <w:rFonts w:hint="eastAsia"/>
          <w:color w:val="000000"/>
        </w:rPr>
        <w:t>七、定标</w:t>
      </w:r>
      <w:bookmarkEnd w:id="46"/>
      <w:bookmarkEnd w:id="47"/>
    </w:p>
    <w:p>
      <w:pPr>
        <w:spacing w:line="360" w:lineRule="auto"/>
        <w:ind w:firstLine="482" w:firstLineChars="200"/>
        <w:rPr>
          <w:rFonts w:hint="eastAsia" w:ascii="宋体" w:hAnsi="宋体"/>
          <w:b/>
          <w:color w:val="000000"/>
          <w:sz w:val="24"/>
        </w:rPr>
      </w:pPr>
      <w:r>
        <w:rPr>
          <w:rFonts w:hint="eastAsia" w:ascii="宋体" w:hAnsi="宋体"/>
          <w:b/>
          <w:color w:val="000000"/>
          <w:sz w:val="24"/>
        </w:rPr>
        <w:t>27. 定标</w:t>
      </w:r>
    </w:p>
    <w:p>
      <w:pPr>
        <w:spacing w:line="360" w:lineRule="auto"/>
        <w:ind w:firstLine="480" w:firstLineChars="200"/>
        <w:rPr>
          <w:rFonts w:hint="eastAsia" w:ascii="宋体" w:hAnsi="宋体"/>
          <w:color w:val="000000"/>
          <w:sz w:val="24"/>
        </w:rPr>
      </w:pPr>
      <w:bookmarkStart w:id="48" w:name="_Hlt75236103"/>
      <w:bookmarkEnd w:id="48"/>
      <w:bookmarkStart w:id="49" w:name="_Toc86216995"/>
      <w:bookmarkStart w:id="50" w:name="_Toc91899910"/>
      <w:r>
        <w:rPr>
          <w:rFonts w:hint="eastAsia" w:ascii="宋体" w:hAnsi="宋体"/>
          <w:color w:val="000000"/>
          <w:sz w:val="24"/>
        </w:rPr>
        <w:t>27.1采购人或经采购人委托的评标委员会按评标报告确定中标人。（中标候选人并列的，采取随机抽取方式确定中标人。）</w:t>
      </w:r>
    </w:p>
    <w:p>
      <w:pPr>
        <w:spacing w:line="360" w:lineRule="auto"/>
        <w:ind w:firstLine="480" w:firstLineChars="200"/>
        <w:rPr>
          <w:rFonts w:hint="eastAsia" w:ascii="宋体" w:hAnsi="宋体"/>
          <w:color w:val="000000"/>
          <w:sz w:val="24"/>
        </w:rPr>
      </w:pPr>
      <w:r>
        <w:rPr>
          <w:rFonts w:hint="eastAsia" w:ascii="宋体" w:hAnsi="宋体"/>
          <w:color w:val="000000"/>
          <w:sz w:val="24"/>
        </w:rPr>
        <w:t>27.2中标通知书发放。采购人确定中标人后，发放中标通知书。</w:t>
      </w:r>
    </w:p>
    <w:p>
      <w:pPr>
        <w:spacing w:line="360" w:lineRule="auto"/>
        <w:ind w:firstLine="480" w:firstLineChars="200"/>
        <w:rPr>
          <w:rFonts w:hint="eastAsia" w:ascii="宋体" w:hAnsi="宋体"/>
          <w:color w:val="000000"/>
          <w:sz w:val="24"/>
        </w:rPr>
      </w:pPr>
    </w:p>
    <w:p>
      <w:pPr>
        <w:pStyle w:val="4"/>
        <w:rPr>
          <w:rFonts w:hint="eastAsia"/>
          <w:color w:val="000000"/>
        </w:rPr>
      </w:pPr>
      <w:bookmarkStart w:id="51" w:name="_Toc29960"/>
      <w:r>
        <w:rPr>
          <w:rFonts w:hint="eastAsia"/>
          <w:color w:val="000000"/>
        </w:rPr>
        <w:t>八、</w:t>
      </w:r>
      <w:bookmarkEnd w:id="49"/>
      <w:r>
        <w:rPr>
          <w:rFonts w:hint="eastAsia"/>
          <w:color w:val="000000"/>
        </w:rPr>
        <w:t>合同签订及其他</w:t>
      </w:r>
      <w:bookmarkEnd w:id="51"/>
    </w:p>
    <w:bookmarkEnd w:id="50"/>
    <w:p>
      <w:pPr>
        <w:spacing w:line="360" w:lineRule="auto"/>
        <w:ind w:firstLine="482" w:firstLineChars="200"/>
        <w:rPr>
          <w:rFonts w:hint="eastAsia" w:ascii="宋体" w:hAnsi="宋体"/>
          <w:b/>
          <w:color w:val="000000"/>
          <w:sz w:val="24"/>
        </w:rPr>
      </w:pPr>
      <w:r>
        <w:rPr>
          <w:rFonts w:hint="eastAsia" w:ascii="宋体" w:hAnsi="宋体"/>
          <w:b/>
          <w:color w:val="000000"/>
          <w:sz w:val="24"/>
        </w:rPr>
        <w:t>28.合同的签订</w:t>
      </w:r>
    </w:p>
    <w:p>
      <w:pPr>
        <w:spacing w:line="360" w:lineRule="auto"/>
        <w:ind w:firstLine="480" w:firstLineChars="200"/>
        <w:rPr>
          <w:rFonts w:hint="eastAsia" w:ascii="宋体" w:hAnsi="宋体"/>
          <w:color w:val="000000"/>
          <w:sz w:val="24"/>
        </w:rPr>
      </w:pPr>
      <w:r>
        <w:rPr>
          <w:rFonts w:hint="eastAsia" w:ascii="宋体" w:hAnsi="宋体"/>
          <w:color w:val="000000"/>
          <w:sz w:val="24"/>
        </w:rPr>
        <w:t>28.1采购人与中标人应当在《中标通知书》发出之日起30日内按照招标文件和中标人投标文件的约定签订政府采购合同。</w:t>
      </w:r>
    </w:p>
    <w:p>
      <w:pPr>
        <w:spacing w:line="360" w:lineRule="auto"/>
        <w:ind w:firstLine="480" w:firstLineChars="200"/>
        <w:rPr>
          <w:rFonts w:hint="eastAsia" w:ascii="宋体" w:hAnsi="宋体"/>
          <w:color w:val="000000"/>
          <w:sz w:val="24"/>
        </w:rPr>
      </w:pPr>
      <w:r>
        <w:rPr>
          <w:rFonts w:hint="eastAsia" w:ascii="宋体" w:hAnsi="宋体"/>
          <w:color w:val="000000"/>
          <w:sz w:val="24"/>
        </w:rPr>
        <w:t>28.2投标人全部接受合同条件并签订合同后，中标通知书亦成为合同的组成部分。</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28.3如中标人拒绝承担中标的项目，或提出采购人不能接受的条件，致使合同无法签订，其中标资格将被取消，并不再退还其投标保证金。 </w:t>
      </w:r>
    </w:p>
    <w:p>
      <w:pPr>
        <w:spacing w:line="360" w:lineRule="auto"/>
        <w:ind w:firstLine="480" w:firstLineChars="200"/>
        <w:rPr>
          <w:rFonts w:hint="eastAsia" w:ascii="宋体" w:hAnsi="宋体"/>
          <w:color w:val="000000"/>
          <w:sz w:val="24"/>
        </w:rPr>
      </w:pPr>
      <w:r>
        <w:rPr>
          <w:rFonts w:hint="eastAsia" w:ascii="宋体" w:hAnsi="宋体"/>
          <w:color w:val="000000"/>
          <w:sz w:val="24"/>
        </w:rPr>
        <w:t>28.4在中标人签订合同并生效后，中标人即为供应商。</w:t>
      </w:r>
    </w:p>
    <w:p>
      <w:pPr>
        <w:spacing w:line="360" w:lineRule="auto"/>
        <w:ind w:firstLine="482" w:firstLineChars="200"/>
        <w:rPr>
          <w:rFonts w:hint="eastAsia" w:ascii="宋体" w:hAnsi="宋体"/>
          <w:b/>
          <w:color w:val="000000"/>
          <w:sz w:val="24"/>
        </w:rPr>
      </w:pPr>
      <w:r>
        <w:rPr>
          <w:rFonts w:hint="eastAsia" w:ascii="宋体" w:hAnsi="宋体"/>
          <w:b/>
          <w:color w:val="000000"/>
          <w:sz w:val="24"/>
        </w:rPr>
        <w:t>29.履约保证金、质量保证金</w:t>
      </w:r>
    </w:p>
    <w:p>
      <w:pPr>
        <w:spacing w:line="360" w:lineRule="auto"/>
        <w:ind w:firstLine="480" w:firstLineChars="200"/>
        <w:rPr>
          <w:rFonts w:hint="eastAsia" w:ascii="宋体" w:hAnsi="宋体"/>
          <w:color w:val="000000"/>
          <w:sz w:val="24"/>
        </w:rPr>
      </w:pPr>
      <w:r>
        <w:rPr>
          <w:rFonts w:hint="eastAsia" w:ascii="宋体" w:hAnsi="宋体"/>
          <w:color w:val="000000"/>
          <w:sz w:val="24"/>
        </w:rPr>
        <w:t>中标人凭中标通知书向采购人缴纳前附表第</w:t>
      </w:r>
      <w:r>
        <w:rPr>
          <w:rFonts w:ascii="宋体" w:hAnsi="宋体"/>
          <w:color w:val="000000"/>
          <w:sz w:val="24"/>
        </w:rPr>
        <w:t>7</w:t>
      </w:r>
      <w:r>
        <w:rPr>
          <w:rFonts w:hint="eastAsia" w:ascii="宋体" w:hAnsi="宋体"/>
          <w:color w:val="000000"/>
          <w:sz w:val="24"/>
        </w:rPr>
        <w:t>项规定额度的履约保证金，若在合同履行期间有违约行为的，按合同约定扣除相应的履约保证金。货物类项目经采购人验收合格后，中标单位向采购人交纳质量保证金，采购人同时退付履约保证金；质保期结束且无质量问题，采购人无息退还供方质量保证金。服务类项目至服务期结束，采购人退付履约保证金，并根据实际情况自行确定是否需要供应商交纳一定额度的质量保证金。</w:t>
      </w:r>
    </w:p>
    <w:p>
      <w:pPr>
        <w:spacing w:line="360" w:lineRule="auto"/>
        <w:ind w:firstLine="482" w:firstLineChars="200"/>
        <w:rPr>
          <w:rFonts w:hint="eastAsia" w:ascii="宋体" w:hAnsi="宋体"/>
          <w:b/>
          <w:color w:val="000000"/>
          <w:sz w:val="24"/>
        </w:rPr>
      </w:pPr>
      <w:r>
        <w:rPr>
          <w:rFonts w:hint="eastAsia" w:ascii="宋体" w:hAnsi="宋体"/>
          <w:b/>
          <w:color w:val="000000"/>
          <w:sz w:val="24"/>
        </w:rPr>
        <w:t>30.供货方式、交货时间及验收方式</w:t>
      </w:r>
    </w:p>
    <w:p>
      <w:pPr>
        <w:spacing w:line="360" w:lineRule="auto"/>
        <w:ind w:firstLine="480" w:firstLineChars="200"/>
        <w:rPr>
          <w:rFonts w:hint="eastAsia" w:ascii="宋体" w:hAnsi="宋体"/>
          <w:color w:val="000000"/>
          <w:sz w:val="24"/>
        </w:rPr>
      </w:pPr>
      <w:r>
        <w:rPr>
          <w:rFonts w:hint="eastAsia" w:ascii="宋体" w:hAnsi="宋体"/>
          <w:color w:val="000000"/>
          <w:sz w:val="24"/>
        </w:rPr>
        <w:t>30.1供应商在合同规定期限内，将所供设备（出厂原包装）按合同清单运至指定地点，设备运行正常后交付使用。</w:t>
      </w:r>
    </w:p>
    <w:p>
      <w:pPr>
        <w:spacing w:line="360" w:lineRule="auto"/>
        <w:ind w:firstLine="480" w:firstLineChars="200"/>
        <w:rPr>
          <w:rFonts w:hint="eastAsia"/>
          <w:color w:val="000000"/>
          <w:sz w:val="24"/>
        </w:rPr>
      </w:pPr>
      <w:r>
        <w:rPr>
          <w:rFonts w:hint="eastAsia" w:ascii="宋体" w:hAnsi="宋体"/>
          <w:color w:val="000000"/>
          <w:sz w:val="24"/>
        </w:rPr>
        <w:t>30.2供应商必须在所供设备的左侧上方粘贴填写完整的《杭州市萧山区政府采购售后服</w:t>
      </w:r>
      <w:r>
        <w:rPr>
          <w:rFonts w:hint="eastAsia"/>
          <w:color w:val="000000"/>
          <w:sz w:val="24"/>
        </w:rPr>
        <w:t>务联系单》，向采购人提供设备发票、产品说明书、质量保证书、“三包凭证”等相关资料和原配的附件，并对用户作使用和维护保养的培训。</w:t>
      </w:r>
    </w:p>
    <w:p>
      <w:pPr>
        <w:spacing w:line="360" w:lineRule="auto"/>
        <w:ind w:firstLine="480" w:firstLineChars="200"/>
        <w:rPr>
          <w:rFonts w:hint="eastAsia" w:ascii="宋体" w:hAnsi="宋体"/>
          <w:color w:val="000000"/>
          <w:sz w:val="24"/>
        </w:rPr>
      </w:pPr>
      <w:r>
        <w:rPr>
          <w:rFonts w:hint="eastAsia"/>
          <w:color w:val="000000"/>
          <w:sz w:val="24"/>
        </w:rPr>
        <w:t>30.3采购人应当组织对供应商履约的验收。验收采用采购人自行组织验收和专门机构验收两种形式，具体按照萧政办发[2014]217号文件执行。验收方成员应当在验收书上签字，并承担相应的法律责任。</w:t>
      </w:r>
      <w:r>
        <w:rPr>
          <w:rFonts w:hint="eastAsia"/>
          <w:b/>
          <w:bCs/>
          <w:color w:val="000000"/>
          <w:sz w:val="24"/>
        </w:rPr>
        <w:t>使用区级财政性资金采购且单项合同金额在</w:t>
      </w:r>
      <w:r>
        <w:rPr>
          <w:b/>
          <w:bCs/>
          <w:color w:val="000000"/>
          <w:sz w:val="24"/>
        </w:rPr>
        <w:t>20</w:t>
      </w:r>
      <w:r>
        <w:rPr>
          <w:rFonts w:hint="eastAsia"/>
          <w:b/>
          <w:bCs/>
          <w:color w:val="000000"/>
          <w:sz w:val="24"/>
        </w:rPr>
        <w:t>万元（含）以上的或使用镇（街道平台）财政性资金采购且合同金额在</w:t>
      </w:r>
      <w:r>
        <w:rPr>
          <w:b/>
          <w:bCs/>
          <w:color w:val="000000"/>
          <w:sz w:val="24"/>
        </w:rPr>
        <w:t>50</w:t>
      </w:r>
      <w:r>
        <w:rPr>
          <w:rFonts w:hint="eastAsia"/>
          <w:b/>
          <w:bCs/>
          <w:color w:val="000000"/>
          <w:sz w:val="24"/>
        </w:rPr>
        <w:t>万元（含）以上的货物类政府采购项目的验收，按萧市监【</w:t>
      </w:r>
      <w:r>
        <w:rPr>
          <w:b/>
          <w:bCs/>
          <w:color w:val="000000"/>
          <w:sz w:val="24"/>
        </w:rPr>
        <w:t>2015</w:t>
      </w:r>
      <w:r>
        <w:rPr>
          <w:rFonts w:hint="eastAsia"/>
          <w:b/>
          <w:bCs/>
          <w:color w:val="000000"/>
          <w:sz w:val="24"/>
        </w:rPr>
        <w:t>】</w:t>
      </w:r>
      <w:r>
        <w:rPr>
          <w:b/>
          <w:bCs/>
          <w:color w:val="000000"/>
          <w:sz w:val="24"/>
        </w:rPr>
        <w:t>127</w:t>
      </w:r>
      <w:r>
        <w:rPr>
          <w:rFonts w:hint="eastAsia"/>
          <w:b/>
          <w:bCs/>
          <w:color w:val="000000"/>
          <w:sz w:val="24"/>
        </w:rPr>
        <w:t>号文件执行。存在隐蔽工程的项目，采购单位及供应商应在货物到货并将实施安装前，申请进行初验收。具体验收流程详见：</w:t>
      </w:r>
      <w:r>
        <w:rPr>
          <w:b/>
          <w:bCs/>
          <w:color w:val="000000"/>
          <w:sz w:val="24"/>
        </w:rPr>
        <w:drawing>
          <wp:inline distT="0" distB="0" distL="114300" distR="114300">
            <wp:extent cx="190500" cy="142875"/>
            <wp:effectExtent l="0" t="0" r="0" b="9525"/>
            <wp:docPr id="1" name="图片 1" descr="C:\Users\len\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AppData\Local\Temp\%W@GJ$ACOF(TYDYECOKVDYB.png"/>
                    <pic:cNvPicPr>
                      <a:picLocks noChangeAspect="1"/>
                    </pic:cNvPicPr>
                  </pic:nvPicPr>
                  <pic:blipFill>
                    <a:blip r:embed="rId10" r:link="rId11"/>
                    <a:stretch>
                      <a:fillRect/>
                    </a:stretch>
                  </pic:blipFill>
                  <pic:spPr>
                    <a:xfrm>
                      <a:off x="0" y="0"/>
                      <a:ext cx="190500" cy="142875"/>
                    </a:xfrm>
                    <a:prstGeom prst="rect">
                      <a:avLst/>
                    </a:prstGeom>
                    <a:noFill/>
                    <a:ln>
                      <a:noFill/>
                    </a:ln>
                  </pic:spPr>
                </pic:pic>
              </a:graphicData>
            </a:graphic>
          </wp:inline>
        </w:drawing>
      </w:r>
      <w:r>
        <w:rPr>
          <w:rFonts w:hint="eastAsia" w:ascii="宋体" w:hAnsi="宋体"/>
          <w:color w:val="000000"/>
          <w:sz w:val="24"/>
        </w:rPr>
        <w:fldChar w:fldCharType="begin"/>
      </w:r>
      <w:r>
        <w:rPr>
          <w:rFonts w:hint="eastAsia" w:ascii="宋体" w:hAnsi="宋体"/>
          <w:color w:val="000000"/>
          <w:sz w:val="24"/>
        </w:rPr>
        <w:instrText xml:space="preserve"> HYPERLINK "http://www.xszljl.com/shownew.asp?id=306&amp;menu_id=115" </w:instrText>
      </w:r>
      <w:r>
        <w:rPr>
          <w:rFonts w:hint="eastAsia" w:ascii="宋体" w:hAnsi="宋体"/>
          <w:color w:val="000000"/>
          <w:sz w:val="24"/>
        </w:rPr>
        <w:fldChar w:fldCharType="separate"/>
      </w:r>
      <w:r>
        <w:rPr>
          <w:rFonts w:hint="eastAsia" w:ascii="宋体" w:hAnsi="宋体"/>
          <w:color w:val="000000"/>
          <w:sz w:val="24"/>
        </w:rPr>
        <w:t>http://www.xszljl.com/shownew.asp?id=306&amp;menu_id=115</w:t>
      </w:r>
      <w:r>
        <w:rPr>
          <w:rFonts w:hint="eastAsia" w:ascii="宋体" w:hAnsi="宋体"/>
          <w:color w:val="000000"/>
          <w:sz w:val="24"/>
        </w:rPr>
        <w:fldChar w:fldCharType="end"/>
      </w:r>
      <w:r>
        <w:rPr>
          <w:rFonts w:hint="eastAsia" w:ascii="宋体" w:hAnsi="宋体"/>
          <w:color w:val="000000"/>
          <w:sz w:val="24"/>
        </w:rPr>
        <w:t>。</w:t>
      </w:r>
    </w:p>
    <w:p>
      <w:pPr>
        <w:spacing w:line="360" w:lineRule="auto"/>
        <w:rPr>
          <w:rFonts w:hint="eastAsia" w:ascii="宋体" w:hAnsi="宋体"/>
          <w:color w:val="000000"/>
          <w:sz w:val="24"/>
        </w:rPr>
      </w:pPr>
      <w:r>
        <w:rPr>
          <w:rFonts w:hint="eastAsia" w:ascii="宋体" w:hAnsi="宋体"/>
          <w:color w:val="000000"/>
          <w:sz w:val="24"/>
        </w:rPr>
        <w:t>联系电话: 0571-83587785/0571-82816012  联系地址: 萧山区通惠北路2-1号302室</w:t>
      </w:r>
    </w:p>
    <w:p>
      <w:pPr>
        <w:spacing w:line="360" w:lineRule="auto"/>
        <w:ind w:firstLine="480" w:firstLineChars="200"/>
        <w:rPr>
          <w:rFonts w:hint="eastAsia" w:ascii="宋体" w:hAnsi="宋体"/>
          <w:color w:val="000000"/>
          <w:sz w:val="24"/>
        </w:rPr>
      </w:pPr>
      <w:r>
        <w:rPr>
          <w:rFonts w:hint="eastAsia" w:ascii="宋体" w:hAnsi="宋体"/>
          <w:color w:val="000000"/>
          <w:sz w:val="24"/>
        </w:rPr>
        <w:t>30.4采购人如发现供应商以低于合同约定条款随意置换中标物品，将根据合同约定，对供应商进行违约处罚。</w:t>
      </w:r>
    </w:p>
    <w:p>
      <w:pPr>
        <w:spacing w:line="360" w:lineRule="auto"/>
        <w:ind w:firstLine="482" w:firstLineChars="200"/>
        <w:rPr>
          <w:rFonts w:hint="eastAsia" w:ascii="宋体" w:hAnsi="宋体"/>
          <w:b/>
          <w:color w:val="000000"/>
          <w:sz w:val="24"/>
        </w:rPr>
      </w:pPr>
      <w:r>
        <w:rPr>
          <w:rFonts w:hint="eastAsia" w:ascii="宋体" w:hAnsi="宋体"/>
          <w:b/>
          <w:color w:val="000000"/>
          <w:sz w:val="24"/>
        </w:rPr>
        <w:t>31.合同备案</w:t>
      </w:r>
    </w:p>
    <w:p>
      <w:pPr>
        <w:spacing w:line="360" w:lineRule="auto"/>
        <w:ind w:firstLine="480" w:firstLineChars="200"/>
        <w:rPr>
          <w:rFonts w:hint="eastAsia"/>
          <w:color w:val="000000"/>
          <w:sz w:val="24"/>
        </w:rPr>
      </w:pPr>
      <w:r>
        <w:rPr>
          <w:rFonts w:hint="eastAsia"/>
          <w:color w:val="000000"/>
          <w:sz w:val="24"/>
        </w:rPr>
        <w:t>采购人与成交供应商应当在《成交通知书》发出之日起30日内按照采购文件和成交供应商响应文件的约定签订政府采购合同。合同签订后七个工作日内</w:t>
      </w:r>
      <w:r>
        <w:rPr>
          <w:color w:val="000000"/>
          <w:sz w:val="24"/>
        </w:rPr>
        <w:t>进行备案</w:t>
      </w:r>
      <w:r>
        <w:rPr>
          <w:rFonts w:hint="eastAsia"/>
          <w:color w:val="000000"/>
          <w:sz w:val="24"/>
        </w:rPr>
        <w:t>，</w:t>
      </w:r>
      <w:r>
        <w:rPr>
          <w:color w:val="000000"/>
          <w:sz w:val="24"/>
        </w:rPr>
        <w:t>备案程序如下：</w:t>
      </w:r>
    </w:p>
    <w:p>
      <w:pPr>
        <w:spacing w:line="360" w:lineRule="auto"/>
        <w:ind w:firstLine="480" w:firstLineChars="200"/>
        <w:rPr>
          <w:rFonts w:hint="eastAsia" w:ascii="宋体" w:hAnsi="宋体"/>
          <w:color w:val="000000"/>
          <w:sz w:val="24"/>
        </w:rPr>
      </w:pPr>
      <w:r>
        <w:rPr>
          <w:rFonts w:hint="eastAsia" w:ascii="宋体" w:hAnsi="宋体"/>
          <w:color w:val="000000"/>
          <w:sz w:val="24"/>
        </w:rPr>
        <w:t>1、采购人在“政采云”系统完成合同备案并在省级财政部门网站上公告，凭系统“已备案”及在省财政部门网站上公告的截图作为结算依据；采购人无需到区招管办办理纸质合同备案手续。</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、无法通过“政采云”平台实现在省级财政部门网站上进行合同公示的项目，需到区招管办办理纸质合同备案手续。在签订之日起七个工作日内到杭州市萧山区招投标管理办公室备案。届时需提供以下资料：</w:t>
      </w:r>
    </w:p>
    <w:p>
      <w:pPr>
        <w:spacing w:line="360" w:lineRule="auto"/>
        <w:ind w:firstLine="480" w:firstLineChars="200"/>
        <w:rPr>
          <w:rFonts w:hint="eastAsia" w:ascii="宋体" w:hAnsi="宋体"/>
          <w:color w:val="000000"/>
          <w:sz w:val="24"/>
        </w:rPr>
      </w:pPr>
      <w:r>
        <w:rPr>
          <w:rFonts w:hint="eastAsia" w:ascii="宋体" w:hAnsi="宋体"/>
          <w:color w:val="000000"/>
          <w:sz w:val="24"/>
        </w:rPr>
        <w:t>(1)《中标通知书》复印件1份（原件备查）；</w:t>
      </w:r>
    </w:p>
    <w:p>
      <w:pPr>
        <w:spacing w:line="360" w:lineRule="auto"/>
        <w:ind w:firstLine="480" w:firstLineChars="200"/>
        <w:rPr>
          <w:rFonts w:hint="eastAsia" w:ascii="宋体" w:hAnsi="宋体"/>
          <w:color w:val="000000"/>
          <w:sz w:val="24"/>
        </w:rPr>
      </w:pPr>
      <w:r>
        <w:rPr>
          <w:rFonts w:hint="eastAsia" w:ascii="宋体" w:hAnsi="宋体"/>
          <w:color w:val="000000"/>
          <w:sz w:val="24"/>
        </w:rPr>
        <w:t>(2) 合同原件4份；</w:t>
      </w:r>
    </w:p>
    <w:p>
      <w:pPr>
        <w:spacing w:line="360" w:lineRule="auto"/>
        <w:ind w:firstLine="480" w:firstLineChars="200"/>
        <w:rPr>
          <w:rFonts w:ascii="宋体" w:hAnsi="宋体"/>
          <w:color w:val="000000"/>
          <w:sz w:val="24"/>
        </w:rPr>
      </w:pPr>
      <w:r>
        <w:rPr>
          <w:rFonts w:hint="eastAsia" w:ascii="宋体" w:hAnsi="宋体"/>
          <w:color w:val="000000"/>
          <w:sz w:val="24"/>
        </w:rPr>
        <w:t>(3) 招标文件1份。</w:t>
      </w:r>
    </w:p>
    <w:p>
      <w:pPr>
        <w:spacing w:line="360" w:lineRule="auto"/>
        <w:ind w:firstLine="480" w:firstLineChars="200"/>
        <w:rPr>
          <w:rFonts w:hint="eastAsia" w:ascii="宋体" w:hAnsi="宋体"/>
          <w:color w:val="000000"/>
          <w:sz w:val="24"/>
        </w:rPr>
      </w:pPr>
      <w:r>
        <w:rPr>
          <w:rFonts w:hint="eastAsia" w:ascii="宋体" w:hAnsi="宋体"/>
          <w:color w:val="000000"/>
          <w:sz w:val="24"/>
        </w:rPr>
        <w:t>3、非通过“政采云”电子卖场完成的采购，采购人在“政采云”系统完成合同备案并在省级财政部门网站上公告的，可凭系统“已备案”及在省财政部门网站上公告的截图作为结算依据；</w:t>
      </w:r>
    </w:p>
    <w:p>
      <w:pPr>
        <w:spacing w:line="360" w:lineRule="auto"/>
        <w:ind w:firstLine="482" w:firstLineChars="200"/>
        <w:rPr>
          <w:rFonts w:hint="eastAsia" w:ascii="宋体" w:hAnsi="宋体"/>
          <w:b/>
          <w:color w:val="000000"/>
          <w:sz w:val="24"/>
        </w:rPr>
      </w:pPr>
      <w:r>
        <w:rPr>
          <w:rFonts w:hint="eastAsia" w:ascii="宋体" w:hAnsi="宋体"/>
          <w:b/>
          <w:color w:val="000000"/>
          <w:sz w:val="24"/>
        </w:rPr>
        <w:t>32.资金结算方式</w:t>
      </w:r>
    </w:p>
    <w:p>
      <w:pPr>
        <w:spacing w:line="360" w:lineRule="auto"/>
        <w:ind w:firstLine="480" w:firstLineChars="200"/>
        <w:rPr>
          <w:rFonts w:hint="eastAsia" w:ascii="宋体" w:hAnsi="宋体"/>
          <w:color w:val="000000"/>
          <w:sz w:val="24"/>
        </w:rPr>
      </w:pPr>
      <w:r>
        <w:rPr>
          <w:rFonts w:hint="eastAsia" w:ascii="宋体" w:hAnsi="宋体"/>
          <w:color w:val="000000"/>
          <w:sz w:val="24"/>
        </w:rPr>
        <w:t>合同履行完毕，验收合格后供应商按财政结算要求办理资金结算手续。</w:t>
      </w:r>
    </w:p>
    <w:p>
      <w:pPr>
        <w:spacing w:line="360" w:lineRule="auto"/>
        <w:ind w:firstLine="482" w:firstLineChars="200"/>
        <w:rPr>
          <w:rFonts w:hint="eastAsia" w:ascii="宋体" w:hAnsi="宋体"/>
          <w:b/>
          <w:color w:val="000000"/>
          <w:sz w:val="24"/>
        </w:rPr>
      </w:pPr>
      <w:r>
        <w:rPr>
          <w:rFonts w:hint="eastAsia" w:ascii="宋体" w:hAnsi="宋体"/>
          <w:b/>
          <w:color w:val="000000"/>
          <w:sz w:val="24"/>
        </w:rPr>
        <w:t>33.质疑与投诉</w:t>
      </w:r>
    </w:p>
    <w:p>
      <w:pPr>
        <w:spacing w:line="360" w:lineRule="auto"/>
        <w:ind w:firstLine="480" w:firstLineChars="200"/>
        <w:rPr>
          <w:rFonts w:hint="eastAsia" w:ascii="宋体" w:hAnsi="宋体"/>
          <w:color w:val="000000"/>
          <w:sz w:val="24"/>
        </w:rPr>
      </w:pPr>
      <w:r>
        <w:rPr>
          <w:rFonts w:hint="eastAsia" w:ascii="宋体" w:hAnsi="宋体"/>
          <w:color w:val="000000"/>
          <w:sz w:val="24"/>
        </w:rPr>
        <w:t>33.1投标人对政府采购活动认为自己的权益受到损害的，应当在知道或者应知其权益受到损害之日起七个工作日内向采购人</w:t>
      </w:r>
      <w:r>
        <w:rPr>
          <w:rFonts w:hint="eastAsia"/>
          <w:color w:val="000000"/>
        </w:rPr>
        <w:t>或代理机构</w:t>
      </w:r>
      <w:r>
        <w:rPr>
          <w:rFonts w:hint="eastAsia" w:ascii="宋体" w:hAnsi="宋体"/>
          <w:color w:val="000000"/>
          <w:sz w:val="24"/>
        </w:rPr>
        <w:t>提出书面质疑，采购人将在七个工作日内作出答复，但答复的内容不得涉及商业秘密。</w:t>
      </w:r>
    </w:p>
    <w:p>
      <w:pPr>
        <w:spacing w:line="360" w:lineRule="auto"/>
        <w:ind w:firstLine="480" w:firstLineChars="200"/>
        <w:rPr>
          <w:rFonts w:hint="eastAsia" w:ascii="宋体" w:hAnsi="宋体"/>
          <w:color w:val="000000"/>
          <w:sz w:val="24"/>
        </w:rPr>
      </w:pPr>
      <w:r>
        <w:rPr>
          <w:rFonts w:hint="eastAsia" w:ascii="宋体" w:hAnsi="宋体"/>
          <w:color w:val="000000"/>
          <w:sz w:val="24"/>
        </w:rPr>
        <w:t>33.2质疑的投标人对采购人或代理机构的答复不满意或者未在规定的时间内作出答复的，质疑</w:t>
      </w:r>
      <w:r>
        <w:rPr>
          <w:rFonts w:ascii="宋体" w:hAnsi="宋体"/>
          <w:color w:val="000000"/>
          <w:sz w:val="24"/>
        </w:rPr>
        <w:t>人须做好答复的签收工作</w:t>
      </w:r>
      <w:r>
        <w:rPr>
          <w:rFonts w:hint="eastAsia" w:ascii="宋体" w:hAnsi="宋体"/>
          <w:color w:val="000000"/>
          <w:sz w:val="24"/>
        </w:rPr>
        <w:t>，</w:t>
      </w:r>
      <w:r>
        <w:rPr>
          <w:rFonts w:ascii="宋体" w:hAnsi="宋体"/>
          <w:color w:val="000000"/>
          <w:sz w:val="24"/>
        </w:rPr>
        <w:t>之后</w:t>
      </w:r>
      <w:r>
        <w:rPr>
          <w:rFonts w:hint="eastAsia" w:ascii="宋体" w:hAnsi="宋体"/>
          <w:color w:val="000000"/>
          <w:sz w:val="24"/>
        </w:rPr>
        <w:t>可以在答复期满后十五个工作日内向杭州市萧山区财政局提出投诉。</w:t>
      </w:r>
    </w:p>
    <w:p>
      <w:pPr>
        <w:rPr>
          <w:rFonts w:hint="eastAsia"/>
          <w:color w:val="000000"/>
        </w:rPr>
      </w:pPr>
      <w:bookmarkStart w:id="52" w:name="_Toc331323740"/>
    </w:p>
    <w:p>
      <w:pPr>
        <w:pStyle w:val="3"/>
        <w:rPr>
          <w:rFonts w:hint="eastAsia"/>
          <w:color w:val="000000"/>
        </w:rPr>
      </w:pPr>
      <w:r>
        <w:rPr>
          <w:color w:val="000000"/>
        </w:rPr>
        <w:br w:type="page"/>
      </w:r>
      <w:bookmarkStart w:id="53" w:name="_Toc31692"/>
      <w:r>
        <w:rPr>
          <w:rFonts w:hint="eastAsia"/>
          <w:color w:val="000000"/>
        </w:rPr>
        <w:t>第二节  投标人须知之专用条款</w:t>
      </w:r>
      <w:bookmarkEnd w:id="52"/>
      <w:bookmarkEnd w:id="53"/>
    </w:p>
    <w:p>
      <w:pPr>
        <w:pStyle w:val="4"/>
        <w:rPr>
          <w:rFonts w:hint="eastAsia"/>
          <w:color w:val="000000"/>
        </w:rPr>
      </w:pPr>
      <w:bookmarkStart w:id="54" w:name="_Toc15562"/>
      <w:r>
        <w:rPr>
          <w:rFonts w:hint="eastAsia"/>
          <w:color w:val="000000"/>
        </w:rPr>
        <w:t>一、专用条款</w:t>
      </w:r>
      <w:bookmarkEnd w:id="54"/>
    </w:p>
    <w:p>
      <w:pPr>
        <w:spacing w:line="360" w:lineRule="auto"/>
        <w:ind w:firstLine="482" w:firstLineChars="200"/>
        <w:rPr>
          <w:rFonts w:hint="eastAsia" w:ascii="宋体" w:hAnsi="宋体"/>
          <w:b/>
          <w:color w:val="000000"/>
          <w:sz w:val="24"/>
        </w:rPr>
      </w:pPr>
      <w:r>
        <w:rPr>
          <w:rFonts w:hint="eastAsia" w:ascii="宋体" w:hAnsi="宋体"/>
          <w:b/>
          <w:color w:val="000000"/>
          <w:sz w:val="24"/>
        </w:rPr>
        <w:t>34.投标文件组成的特别要求</w:t>
      </w:r>
    </w:p>
    <w:p>
      <w:pPr>
        <w:spacing w:line="360" w:lineRule="auto"/>
        <w:ind w:firstLine="236" w:firstLineChars="98"/>
        <w:rPr>
          <w:rFonts w:hint="eastAsia" w:ascii="宋体" w:hAnsi="宋体"/>
          <w:b/>
          <w:color w:val="000000"/>
          <w:sz w:val="24"/>
        </w:rPr>
      </w:pPr>
      <w:r>
        <w:rPr>
          <w:rFonts w:hint="eastAsia" w:ascii="宋体" w:hAnsi="宋体"/>
          <w:b/>
          <w:color w:val="000000"/>
          <w:sz w:val="24"/>
        </w:rPr>
        <w:t>★34.1 本采购项目连续三个月的社会保险证明是指</w:t>
      </w:r>
      <w:r>
        <w:rPr>
          <w:rFonts w:ascii="宋体" w:hAnsi="宋体"/>
          <w:b/>
          <w:color w:val="000000"/>
          <w:sz w:val="24"/>
        </w:rPr>
        <w:t>2018</w:t>
      </w:r>
      <w:r>
        <w:rPr>
          <w:rFonts w:hint="eastAsia" w:ascii="宋体" w:hAnsi="宋体"/>
          <w:b/>
          <w:color w:val="000000"/>
          <w:sz w:val="24"/>
        </w:rPr>
        <w:t>年</w:t>
      </w:r>
      <w:r>
        <w:rPr>
          <w:rFonts w:hint="eastAsia" w:ascii="宋体" w:hAnsi="宋体"/>
          <w:b/>
          <w:color w:val="000000"/>
          <w:sz w:val="24"/>
          <w:lang w:val="en-US" w:eastAsia="zh-CN"/>
        </w:rPr>
        <w:t>1</w:t>
      </w:r>
      <w:r>
        <w:rPr>
          <w:rFonts w:hint="eastAsia" w:ascii="宋体" w:hAnsi="宋体"/>
          <w:b/>
          <w:color w:val="000000"/>
          <w:sz w:val="24"/>
          <w:lang w:val="en-US" w:eastAsia="zh-CN"/>
        </w:rPr>
        <w:t>0</w:t>
      </w:r>
      <w:r>
        <w:rPr>
          <w:rFonts w:hint="eastAsia" w:ascii="宋体" w:hAnsi="宋体"/>
          <w:b/>
          <w:color w:val="000000"/>
          <w:sz w:val="24"/>
        </w:rPr>
        <w:t>月</w:t>
      </w:r>
      <w:r>
        <w:rPr>
          <w:rFonts w:ascii="宋体" w:hAnsi="宋体"/>
          <w:b/>
          <w:color w:val="000000"/>
          <w:sz w:val="24"/>
        </w:rPr>
        <w:t>-</w:t>
      </w:r>
      <w:r>
        <w:rPr>
          <w:rFonts w:hint="eastAsia" w:ascii="宋体" w:hAnsi="宋体"/>
          <w:b/>
          <w:color w:val="000000"/>
          <w:sz w:val="24"/>
          <w:lang w:val="en-US" w:eastAsia="zh-CN"/>
        </w:rPr>
        <w:t>2</w:t>
      </w:r>
      <w:r>
        <w:rPr>
          <w:rFonts w:hint="eastAsia" w:ascii="宋体" w:hAnsi="宋体"/>
          <w:b/>
          <w:color w:val="000000"/>
          <w:sz w:val="24"/>
          <w:lang w:val="en-US" w:eastAsia="zh-CN"/>
        </w:rPr>
        <w:t>019年1</w:t>
      </w:r>
      <w:r>
        <w:rPr>
          <w:rFonts w:hint="eastAsia" w:ascii="宋体" w:hAnsi="宋体"/>
          <w:b/>
          <w:color w:val="000000"/>
          <w:sz w:val="24"/>
        </w:rPr>
        <w:t>月</w:t>
      </w:r>
      <w:r>
        <w:rPr>
          <w:rFonts w:ascii="宋体" w:hAnsi="宋体"/>
          <w:b/>
          <w:color w:val="000000"/>
          <w:sz w:val="24"/>
        </w:rPr>
        <w:t>中任意连续三个月</w:t>
      </w:r>
      <w:r>
        <w:rPr>
          <w:rFonts w:hint="eastAsia" w:ascii="宋体" w:hAnsi="宋体"/>
          <w:b/>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34.2详见采购需求。</w:t>
      </w:r>
    </w:p>
    <w:p>
      <w:pPr>
        <w:spacing w:line="360" w:lineRule="auto"/>
        <w:ind w:firstLine="482" w:firstLineChars="200"/>
        <w:rPr>
          <w:rFonts w:hint="eastAsia" w:ascii="宋体" w:hAnsi="宋体"/>
          <w:b/>
          <w:color w:val="000000"/>
          <w:sz w:val="24"/>
        </w:rPr>
      </w:pPr>
      <w:r>
        <w:rPr>
          <w:rFonts w:hint="eastAsia" w:ascii="宋体" w:hAnsi="宋体"/>
          <w:b/>
          <w:color w:val="000000"/>
          <w:sz w:val="24"/>
        </w:rPr>
        <w:t>35.无效投标的特别规定</w:t>
      </w:r>
    </w:p>
    <w:p>
      <w:pPr>
        <w:spacing w:line="360" w:lineRule="auto"/>
        <w:ind w:firstLine="480" w:firstLineChars="200"/>
        <w:rPr>
          <w:rFonts w:hint="eastAsia" w:ascii="宋体" w:hAnsi="宋体"/>
          <w:color w:val="000000"/>
          <w:sz w:val="24"/>
        </w:rPr>
      </w:pPr>
      <w:r>
        <w:rPr>
          <w:rFonts w:hint="eastAsia" w:ascii="宋体" w:hAnsi="宋体"/>
          <w:color w:val="000000"/>
          <w:sz w:val="24"/>
        </w:rPr>
        <w:t>本项目</w:t>
      </w:r>
      <w:r>
        <w:rPr>
          <w:rFonts w:hint="eastAsia" w:ascii="宋体" w:hAnsi="宋体"/>
          <w:b/>
          <w:color w:val="000000"/>
          <w:sz w:val="24"/>
        </w:rPr>
        <w:t>不接受</w:t>
      </w:r>
      <w:r>
        <w:rPr>
          <w:rFonts w:hint="eastAsia" w:ascii="宋体" w:hAnsi="宋体"/>
          <w:color w:val="000000"/>
          <w:sz w:val="24"/>
        </w:rPr>
        <w:t>进口产品的投标。进口产品是指通过海关验放进入中国境内且产自关境外的进口产品。</w:t>
      </w:r>
    </w:p>
    <w:p>
      <w:pPr>
        <w:spacing w:line="360" w:lineRule="auto"/>
        <w:ind w:firstLine="482" w:firstLineChars="200"/>
        <w:rPr>
          <w:rFonts w:hint="eastAsia" w:ascii="宋体" w:hAnsi="宋体"/>
          <w:b/>
          <w:color w:val="000000"/>
          <w:sz w:val="24"/>
        </w:rPr>
      </w:pPr>
      <w:r>
        <w:rPr>
          <w:rFonts w:hint="eastAsia" w:ascii="宋体" w:hAnsi="宋体"/>
          <w:b/>
          <w:color w:val="000000"/>
          <w:sz w:val="24"/>
        </w:rPr>
        <w:t>36.投标报价</w:t>
      </w:r>
    </w:p>
    <w:p>
      <w:pPr>
        <w:spacing w:line="360" w:lineRule="auto"/>
        <w:ind w:firstLine="480" w:firstLineChars="200"/>
        <w:rPr>
          <w:rFonts w:hint="eastAsia" w:ascii="宋体" w:hAnsi="宋体"/>
          <w:color w:val="000000"/>
          <w:sz w:val="24"/>
        </w:rPr>
      </w:pPr>
      <w:r>
        <w:rPr>
          <w:rFonts w:hint="eastAsia" w:ascii="宋体" w:hAnsi="宋体"/>
          <w:color w:val="000000"/>
          <w:sz w:val="24"/>
          <w:u w:val="single"/>
        </w:rPr>
        <w:t>（货物）</w:t>
      </w:r>
      <w:r>
        <w:rPr>
          <w:rFonts w:hint="eastAsia" w:ascii="宋体" w:hAnsi="宋体"/>
          <w:color w:val="000000"/>
          <w:sz w:val="24"/>
        </w:rPr>
        <w:t>投标人的报价是投标人响应招标项目要求的全部工作内容的价格体现，包括投标人完成本项目所需的一切费用。具体包括货物报价和标准附件、备品备件、专用工具、运输、装卸、保险、安装调试、检测、验收合格、技术支持、售后服务、维护所需的各种费用以及必要的保险费用和各项税金等所有费用的总和。</w:t>
      </w:r>
    </w:p>
    <w:p>
      <w:pPr>
        <w:pStyle w:val="4"/>
        <w:rPr>
          <w:rFonts w:hint="eastAsia"/>
          <w:color w:val="000000"/>
        </w:rPr>
      </w:pPr>
      <w:r>
        <w:rPr>
          <w:color w:val="000000"/>
        </w:rPr>
        <w:br w:type="page"/>
      </w:r>
      <w:bookmarkStart w:id="55" w:name="_Toc7387"/>
      <w:r>
        <w:rPr>
          <w:rFonts w:hint="eastAsia"/>
          <w:color w:val="000000"/>
        </w:rPr>
        <w:t>二、评分细则</w:t>
      </w:r>
      <w:bookmarkEnd w:id="55"/>
    </w:p>
    <w:p>
      <w:pPr>
        <w:spacing w:line="360" w:lineRule="auto"/>
        <w:ind w:firstLine="482" w:firstLineChars="200"/>
        <w:rPr>
          <w:rFonts w:hint="eastAsia" w:ascii="宋体" w:hAnsi="宋体"/>
          <w:b/>
          <w:color w:val="000000"/>
          <w:sz w:val="24"/>
        </w:rPr>
      </w:pPr>
      <w:r>
        <w:rPr>
          <w:rFonts w:hint="eastAsia" w:ascii="宋体" w:hAnsi="宋体"/>
          <w:b/>
          <w:color w:val="000000"/>
          <w:sz w:val="24"/>
        </w:rPr>
        <w:t>37.评分细则</w:t>
      </w:r>
    </w:p>
    <w:p>
      <w:pPr>
        <w:widowControl/>
        <w:spacing w:line="360" w:lineRule="auto"/>
        <w:jc w:val="left"/>
        <w:rPr>
          <w:rFonts w:hint="eastAsia"/>
          <w:b/>
          <w:color w:val="000000"/>
          <w:sz w:val="24"/>
        </w:rPr>
      </w:pPr>
      <w:r>
        <w:rPr>
          <w:rFonts w:hint="eastAsia" w:ascii="宋体" w:hAnsi="宋体"/>
          <w:color w:val="000000"/>
          <w:sz w:val="24"/>
        </w:rPr>
        <w:t>37.1商务技术评分表（</w:t>
      </w:r>
      <w:r>
        <w:rPr>
          <w:rFonts w:hint="eastAsia" w:ascii="宋体" w:hAnsi="宋体"/>
          <w:color w:val="000000"/>
          <w:sz w:val="24"/>
          <w:lang w:val="en-US" w:eastAsia="zh-CN"/>
        </w:rPr>
        <w:t>60</w:t>
      </w:r>
      <w:r>
        <w:rPr>
          <w:rFonts w:hint="eastAsia" w:ascii="宋体" w:hAnsi="宋体"/>
          <w:color w:val="000000"/>
          <w:sz w:val="24"/>
        </w:rPr>
        <w:t>分）</w:t>
      </w:r>
    </w:p>
    <w:tbl>
      <w:tblPr>
        <w:tblStyle w:val="31"/>
        <w:tblW w:w="0" w:type="auto"/>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723"/>
        <w:gridCol w:w="6791"/>
        <w:gridCol w:w="6"/>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43"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7514"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评分内容和标准</w:t>
            </w:r>
          </w:p>
        </w:tc>
        <w:tc>
          <w:tcPr>
            <w:tcW w:w="1243"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3" w:type="dxa"/>
            <w:vMerge w:val="restart"/>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商务资信分</w:t>
            </w:r>
          </w:p>
          <w:p>
            <w:pPr>
              <w:widowControl/>
              <w:rPr>
                <w:rFonts w:hint="eastAsia" w:ascii="宋体" w:hAnsi="宋体" w:cs="宋体"/>
                <w:color w:val="000000"/>
                <w:kern w:val="0"/>
                <w:sz w:val="24"/>
              </w:rPr>
            </w:pPr>
            <w:r>
              <w:rPr>
                <w:rFonts w:hint="eastAsia" w:ascii="宋体" w:hAnsi="宋体" w:cs="宋体"/>
                <w:color w:val="000000"/>
                <w:kern w:val="0"/>
                <w:sz w:val="24"/>
              </w:rPr>
              <w:t>（20分）</w:t>
            </w:r>
          </w:p>
        </w:tc>
        <w:tc>
          <w:tcPr>
            <w:tcW w:w="723" w:type="dxa"/>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6791" w:type="dxa"/>
            <w:shd w:val="clear" w:color="000000" w:fill="D9D9D9"/>
            <w:noWrap w:val="0"/>
            <w:vAlign w:val="center"/>
          </w:tcPr>
          <w:p>
            <w:pPr>
              <w:jc w:val="left"/>
              <w:rPr>
                <w:rFonts w:hint="eastAsia" w:ascii="宋体" w:hAnsi="宋体" w:cs="宋体"/>
                <w:color w:val="000000"/>
                <w:kern w:val="0"/>
                <w:sz w:val="24"/>
              </w:rPr>
            </w:pPr>
            <w:r>
              <w:rPr>
                <w:rFonts w:hint="eastAsia" w:ascii="宋体" w:hAnsi="宋体"/>
                <w:color w:val="000000"/>
                <w:sz w:val="24"/>
              </w:rPr>
              <w:t>根据投标人综合实力、履约能力等情况综合评定对比打分</w:t>
            </w:r>
          </w:p>
        </w:tc>
        <w:tc>
          <w:tcPr>
            <w:tcW w:w="1243" w:type="dxa"/>
            <w:gridSpan w:val="2"/>
            <w:shd w:val="clear" w:color="000000" w:fill="D9D9D9"/>
            <w:noWrap w:val="0"/>
            <w:vAlign w:val="center"/>
          </w:tcPr>
          <w:p>
            <w:pPr>
              <w:spacing w:line="400" w:lineRule="exact"/>
              <w:jc w:val="center"/>
              <w:rPr>
                <w:rFonts w:hint="eastAsia" w:ascii="宋体" w:hAnsi="宋体" w:cs="宋体"/>
                <w:b/>
                <w:bCs/>
                <w:color w:val="000000"/>
                <w:kern w:val="0"/>
                <w:sz w:val="24"/>
              </w:rPr>
            </w:pPr>
            <w:r>
              <w:rPr>
                <w:rFonts w:hint="eastAsia" w:ascii="宋体" w:hAnsi="宋体"/>
                <w:bCs/>
                <w:color w:val="000000"/>
                <w:sz w:val="24"/>
              </w:rPr>
              <w:t>1</w:t>
            </w:r>
            <w:r>
              <w:rPr>
                <w:rFonts w:hint="eastAsia" w:ascii="宋体" w:hAnsi="宋体"/>
                <w:b/>
                <w:bCs/>
                <w:color w:val="000000"/>
                <w:sz w:val="24"/>
              </w:rPr>
              <w:t>-</w:t>
            </w:r>
            <w:r>
              <w:rPr>
                <w:rFonts w:hint="eastAsia" w:ascii="宋体" w:hAnsi="宋体"/>
                <w:color w:val="00000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743" w:type="dxa"/>
            <w:vMerge w:val="continue"/>
            <w:shd w:val="clear" w:color="auto" w:fill="auto"/>
            <w:noWrap w:val="0"/>
            <w:vAlign w:val="center"/>
          </w:tcPr>
          <w:p>
            <w:pPr>
              <w:widowControl/>
              <w:jc w:val="left"/>
              <w:rPr>
                <w:rFonts w:hint="eastAsia" w:ascii="宋体" w:hAnsi="宋体" w:cs="宋体"/>
                <w:color w:val="000000"/>
                <w:kern w:val="0"/>
                <w:sz w:val="24"/>
              </w:rPr>
            </w:pPr>
          </w:p>
        </w:tc>
        <w:tc>
          <w:tcPr>
            <w:tcW w:w="723" w:type="dxa"/>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6791" w:type="dxa"/>
            <w:shd w:val="clear" w:color="000000" w:fill="D9D9D9"/>
            <w:noWrap w:val="0"/>
            <w:vAlign w:val="top"/>
          </w:tcPr>
          <w:p>
            <w:pPr>
              <w:rPr>
                <w:rFonts w:ascii="宋体" w:hAnsi="宋体"/>
                <w:color w:val="000000"/>
                <w:sz w:val="24"/>
              </w:rPr>
            </w:pPr>
            <w:r>
              <w:rPr>
                <w:rFonts w:hint="eastAsia" w:ascii="宋体" w:hAnsi="宋体"/>
                <w:color w:val="000000"/>
                <w:sz w:val="24"/>
              </w:rPr>
              <w:t>投标人经营状况</w:t>
            </w:r>
          </w:p>
          <w:p>
            <w:pPr>
              <w:rPr>
                <w:rFonts w:hint="eastAsia" w:ascii="宋体" w:hAnsi="宋体" w:cs="宋体"/>
                <w:color w:val="000000"/>
                <w:kern w:val="0"/>
                <w:sz w:val="24"/>
              </w:rPr>
            </w:pPr>
            <w:r>
              <w:rPr>
                <w:rFonts w:hint="eastAsia" w:ascii="宋体" w:hAnsi="宋体"/>
                <w:color w:val="000000"/>
                <w:sz w:val="24"/>
              </w:rPr>
              <w:t>（根据投标人经营类似项目时间长短、产品市场占有率、获得荣誉等情况综合评定对比打分）</w:t>
            </w:r>
          </w:p>
        </w:tc>
        <w:tc>
          <w:tcPr>
            <w:tcW w:w="1243" w:type="dxa"/>
            <w:gridSpan w:val="2"/>
            <w:shd w:val="clear" w:color="000000" w:fill="D9D9D9"/>
            <w:noWrap w:val="0"/>
            <w:vAlign w:val="center"/>
          </w:tcPr>
          <w:p>
            <w:pPr>
              <w:spacing w:line="400" w:lineRule="exact"/>
              <w:jc w:val="center"/>
              <w:rPr>
                <w:rFonts w:hint="eastAsia" w:ascii="宋体" w:hAnsi="宋体" w:cs="宋体"/>
                <w:color w:val="000000"/>
                <w:kern w:val="0"/>
                <w:sz w:val="24"/>
              </w:rPr>
            </w:pPr>
            <w:r>
              <w:rPr>
                <w:rFonts w:hint="eastAsia" w:ascii="宋体" w:hAnsi="宋体"/>
                <w:color w:val="000000"/>
                <w:sz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743" w:type="dxa"/>
            <w:vMerge w:val="continue"/>
            <w:shd w:val="clear" w:color="auto" w:fill="auto"/>
            <w:noWrap w:val="0"/>
            <w:vAlign w:val="center"/>
          </w:tcPr>
          <w:p>
            <w:pPr>
              <w:widowControl/>
              <w:jc w:val="left"/>
              <w:rPr>
                <w:rFonts w:hint="eastAsia" w:ascii="宋体" w:hAnsi="宋体" w:cs="宋体"/>
                <w:color w:val="000000"/>
                <w:kern w:val="0"/>
                <w:sz w:val="24"/>
              </w:rPr>
            </w:pPr>
          </w:p>
        </w:tc>
        <w:tc>
          <w:tcPr>
            <w:tcW w:w="723" w:type="dxa"/>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6791" w:type="dxa"/>
            <w:shd w:val="clear" w:color="000000" w:fill="D9D9D9"/>
            <w:noWrap w:val="0"/>
            <w:vAlign w:val="top"/>
          </w:tcPr>
          <w:p>
            <w:pPr>
              <w:rPr>
                <w:rFonts w:ascii="宋体" w:hAnsi="宋体"/>
                <w:color w:val="000000"/>
                <w:sz w:val="24"/>
              </w:rPr>
            </w:pPr>
            <w:r>
              <w:rPr>
                <w:rFonts w:hint="eastAsia" w:ascii="宋体" w:hAnsi="宋体"/>
                <w:color w:val="000000"/>
                <w:sz w:val="24"/>
              </w:rPr>
              <w:t>投标人信用（投标人需提供相关证书或文件）</w:t>
            </w:r>
          </w:p>
          <w:p>
            <w:pPr>
              <w:rPr>
                <w:rFonts w:hint="eastAsia" w:ascii="宋体" w:hAnsi="宋体" w:cs="宋体"/>
                <w:color w:val="000000"/>
                <w:kern w:val="0"/>
                <w:sz w:val="24"/>
              </w:rPr>
            </w:pPr>
            <w:r>
              <w:rPr>
                <w:rFonts w:hint="eastAsia" w:ascii="宋体" w:hAnsi="宋体"/>
                <w:color w:val="000000"/>
                <w:sz w:val="24"/>
              </w:rPr>
              <w:t>201</w:t>
            </w:r>
            <w:r>
              <w:rPr>
                <w:rFonts w:hint="eastAsia" w:ascii="宋体" w:hAnsi="宋体"/>
                <w:color w:val="000000"/>
                <w:sz w:val="24"/>
                <w:lang w:val="en-US" w:eastAsia="zh-CN"/>
              </w:rPr>
              <w:t>6</w:t>
            </w:r>
            <w:r>
              <w:rPr>
                <w:rFonts w:hint="eastAsia" w:ascii="宋体" w:hAnsi="宋体"/>
                <w:color w:val="000000"/>
                <w:sz w:val="24"/>
              </w:rPr>
              <w:t>年1月后获得过工商行政管理部门确认的“守合同、重信用”企业称号，国家级的得3分，省级的得2分，省级以下的得1分</w:t>
            </w:r>
            <w:r>
              <w:rPr>
                <w:rFonts w:hint="eastAsia" w:ascii="宋体" w:hAnsi="宋体"/>
                <w:b/>
                <w:color w:val="000000"/>
                <w:sz w:val="24"/>
              </w:rPr>
              <w:t>（投标人需提供相关证书原件，无原件不得分）</w:t>
            </w:r>
          </w:p>
        </w:tc>
        <w:tc>
          <w:tcPr>
            <w:tcW w:w="1243" w:type="dxa"/>
            <w:gridSpan w:val="2"/>
            <w:shd w:val="clear" w:color="000000" w:fill="D9D9D9"/>
            <w:noWrap w:val="0"/>
            <w:vAlign w:val="center"/>
          </w:tcPr>
          <w:p>
            <w:pPr>
              <w:spacing w:line="400" w:lineRule="exact"/>
              <w:jc w:val="center"/>
              <w:rPr>
                <w:rFonts w:hint="eastAsia" w:ascii="宋体" w:hAnsi="宋体" w:cs="宋体"/>
                <w:color w:val="000000"/>
                <w:kern w:val="0"/>
                <w:sz w:val="24"/>
              </w:rPr>
            </w:pPr>
            <w:r>
              <w:rPr>
                <w:rFonts w:hint="eastAsia" w:ascii="宋体" w:hAnsi="宋体"/>
                <w:color w:val="00000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3" w:type="dxa"/>
            <w:vMerge w:val="continue"/>
            <w:shd w:val="clear" w:color="auto" w:fill="auto"/>
            <w:noWrap w:val="0"/>
            <w:vAlign w:val="center"/>
          </w:tcPr>
          <w:p>
            <w:pPr>
              <w:widowControl/>
              <w:jc w:val="left"/>
              <w:rPr>
                <w:rFonts w:hint="eastAsia" w:ascii="宋体" w:hAnsi="宋体" w:cs="宋体"/>
                <w:color w:val="000000"/>
                <w:kern w:val="0"/>
                <w:sz w:val="24"/>
              </w:rPr>
            </w:pPr>
          </w:p>
        </w:tc>
        <w:tc>
          <w:tcPr>
            <w:tcW w:w="723" w:type="dxa"/>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6791" w:type="dxa"/>
            <w:shd w:val="clear" w:color="000000" w:fill="D9D9D9"/>
            <w:noWrap w:val="0"/>
            <w:vAlign w:val="top"/>
          </w:tcPr>
          <w:p>
            <w:pPr>
              <w:rPr>
                <w:rFonts w:ascii="宋体" w:hAnsi="宋体"/>
                <w:color w:val="000000"/>
                <w:sz w:val="24"/>
              </w:rPr>
            </w:pPr>
            <w:r>
              <w:rPr>
                <w:rFonts w:hint="eastAsia" w:ascii="宋体" w:hAnsi="宋体"/>
                <w:color w:val="000000"/>
                <w:sz w:val="24"/>
              </w:rPr>
              <w:t>投标货物优势</w:t>
            </w:r>
          </w:p>
          <w:p>
            <w:pPr>
              <w:rPr>
                <w:rFonts w:ascii="宋体" w:hAnsi="宋体"/>
                <w:color w:val="000000"/>
                <w:sz w:val="24"/>
              </w:rPr>
            </w:pPr>
            <w:r>
              <w:rPr>
                <w:rFonts w:hint="eastAsia" w:ascii="宋体" w:hAnsi="宋体"/>
                <w:color w:val="000000"/>
                <w:sz w:val="24"/>
              </w:rPr>
              <w:t>1）主要产品列入财政部公布的《</w:t>
            </w:r>
            <w:r>
              <w:rPr>
                <w:rFonts w:hint="eastAsia" w:ascii="宋体" w:hAnsi="宋体" w:cs="黑体"/>
                <w:color w:val="000000"/>
                <w:kern w:val="0"/>
                <w:sz w:val="24"/>
              </w:rPr>
              <w:t>节能产品政府采购清单</w:t>
            </w:r>
            <w:r>
              <w:rPr>
                <w:rFonts w:hint="eastAsia" w:ascii="宋体" w:hAnsi="宋体"/>
                <w:color w:val="000000"/>
                <w:sz w:val="24"/>
              </w:rPr>
              <w:t>》的，得1分</w:t>
            </w:r>
          </w:p>
          <w:p>
            <w:pPr>
              <w:rPr>
                <w:rFonts w:hint="eastAsia" w:ascii="宋体" w:hAnsi="宋体"/>
                <w:color w:val="000000"/>
                <w:sz w:val="24"/>
              </w:rPr>
            </w:pPr>
            <w:r>
              <w:rPr>
                <w:rFonts w:hint="eastAsia" w:ascii="宋体" w:hAnsi="宋体"/>
                <w:color w:val="000000"/>
                <w:sz w:val="24"/>
              </w:rPr>
              <w:t>（提供有效期内的《</w:t>
            </w:r>
            <w:r>
              <w:rPr>
                <w:rFonts w:hint="eastAsia" w:ascii="宋体" w:hAnsi="宋体" w:cs="黑体"/>
                <w:color w:val="000000"/>
                <w:kern w:val="0"/>
                <w:sz w:val="24"/>
              </w:rPr>
              <w:t>节能产品政府采购清单</w:t>
            </w:r>
            <w:r>
              <w:rPr>
                <w:rFonts w:hint="eastAsia" w:ascii="宋体" w:hAnsi="宋体"/>
                <w:color w:val="000000"/>
                <w:sz w:val="24"/>
              </w:rPr>
              <w:t>》）</w:t>
            </w:r>
          </w:p>
          <w:p>
            <w:pPr>
              <w:rPr>
                <w:rFonts w:hint="eastAsia" w:ascii="宋体" w:hAnsi="宋体"/>
                <w:color w:val="000000"/>
                <w:sz w:val="24"/>
              </w:rPr>
            </w:pPr>
            <w:r>
              <w:rPr>
                <w:rFonts w:hint="eastAsia" w:ascii="宋体" w:hAnsi="宋体"/>
                <w:color w:val="000000"/>
                <w:sz w:val="24"/>
              </w:rPr>
              <w:t>2）主要产品列入财政部公布的《环境标志产品政府采购清单》的，得1分</w:t>
            </w:r>
          </w:p>
          <w:p>
            <w:pPr>
              <w:rPr>
                <w:rFonts w:hint="eastAsia" w:ascii="宋体" w:hAnsi="宋体" w:cs="宋体"/>
                <w:color w:val="000000"/>
                <w:kern w:val="0"/>
                <w:sz w:val="24"/>
              </w:rPr>
            </w:pPr>
            <w:r>
              <w:rPr>
                <w:rFonts w:hint="eastAsia" w:ascii="宋体" w:hAnsi="宋体"/>
                <w:color w:val="000000"/>
                <w:sz w:val="24"/>
              </w:rPr>
              <w:t>（提供有效期内的《环境标志产品政府采购清单》）</w:t>
            </w:r>
          </w:p>
        </w:tc>
        <w:tc>
          <w:tcPr>
            <w:tcW w:w="1243" w:type="dxa"/>
            <w:gridSpan w:val="2"/>
            <w:shd w:val="clear" w:color="000000" w:fill="D9D9D9"/>
            <w:noWrap w:val="0"/>
            <w:vAlign w:val="center"/>
          </w:tcPr>
          <w:p>
            <w:pPr>
              <w:spacing w:line="400" w:lineRule="exact"/>
              <w:jc w:val="center"/>
              <w:rPr>
                <w:rFonts w:hint="eastAsia" w:ascii="宋体" w:hAnsi="宋体" w:cs="宋体"/>
                <w:color w:val="000000"/>
                <w:kern w:val="0"/>
                <w:sz w:val="24"/>
              </w:rPr>
            </w:pPr>
            <w:r>
              <w:rPr>
                <w:rFonts w:hint="eastAsia" w:ascii="宋体" w:hAnsi="宋体"/>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3" w:type="dxa"/>
            <w:vMerge w:val="continue"/>
            <w:shd w:val="clear" w:color="auto" w:fill="auto"/>
            <w:noWrap w:val="0"/>
            <w:vAlign w:val="center"/>
          </w:tcPr>
          <w:p>
            <w:pPr>
              <w:widowControl/>
              <w:jc w:val="left"/>
              <w:rPr>
                <w:rFonts w:hint="eastAsia" w:ascii="宋体" w:hAnsi="宋体" w:cs="宋体"/>
                <w:color w:val="000000"/>
                <w:kern w:val="0"/>
                <w:sz w:val="24"/>
              </w:rPr>
            </w:pPr>
          </w:p>
        </w:tc>
        <w:tc>
          <w:tcPr>
            <w:tcW w:w="723" w:type="dxa"/>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6791" w:type="dxa"/>
            <w:shd w:val="clear" w:color="000000" w:fill="D9D9D9"/>
            <w:noWrap w:val="0"/>
            <w:vAlign w:val="top"/>
          </w:tcPr>
          <w:p>
            <w:pPr>
              <w:rPr>
                <w:rFonts w:ascii="宋体" w:hAnsi="宋体"/>
                <w:color w:val="000000"/>
                <w:sz w:val="24"/>
              </w:rPr>
            </w:pPr>
            <w:r>
              <w:rPr>
                <w:rFonts w:hint="eastAsia" w:ascii="宋体" w:hAnsi="宋体"/>
                <w:color w:val="000000"/>
                <w:sz w:val="24"/>
              </w:rPr>
              <w:t>投标人为中小微企业的，得1分</w:t>
            </w:r>
          </w:p>
          <w:p>
            <w:pPr>
              <w:rPr>
                <w:rFonts w:hint="eastAsia" w:ascii="宋体" w:hAnsi="宋体" w:cs="宋体"/>
                <w:color w:val="000000"/>
                <w:kern w:val="0"/>
                <w:sz w:val="24"/>
              </w:rPr>
            </w:pPr>
            <w:r>
              <w:rPr>
                <w:rFonts w:hint="eastAsia" w:ascii="宋体" w:hAnsi="宋体"/>
                <w:color w:val="000000"/>
                <w:sz w:val="24"/>
              </w:rPr>
              <w:t>（提供中小企业申明函，否则不得分）</w:t>
            </w:r>
          </w:p>
        </w:tc>
        <w:tc>
          <w:tcPr>
            <w:tcW w:w="1243" w:type="dxa"/>
            <w:gridSpan w:val="2"/>
            <w:shd w:val="clear" w:color="000000" w:fill="D9D9D9"/>
            <w:noWrap w:val="0"/>
            <w:vAlign w:val="center"/>
          </w:tcPr>
          <w:p>
            <w:pPr>
              <w:spacing w:line="400" w:lineRule="exact"/>
              <w:jc w:val="center"/>
              <w:rPr>
                <w:rFonts w:hint="eastAsia" w:ascii="宋体" w:hAnsi="宋体" w:cs="宋体"/>
                <w:color w:val="000000"/>
                <w:kern w:val="0"/>
                <w:sz w:val="24"/>
              </w:rPr>
            </w:pPr>
            <w:r>
              <w:rPr>
                <w:rFonts w:hint="eastAsia" w:ascii="宋体" w:hAnsi="宋体"/>
                <w:color w:val="000000"/>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3" w:type="dxa"/>
            <w:vMerge w:val="continue"/>
            <w:noWrap w:val="0"/>
            <w:vAlign w:val="center"/>
          </w:tcPr>
          <w:p>
            <w:pPr>
              <w:widowControl/>
              <w:jc w:val="left"/>
              <w:rPr>
                <w:rFonts w:hint="eastAsia" w:ascii="宋体" w:hAnsi="宋体" w:cs="宋体"/>
                <w:color w:val="000000"/>
                <w:kern w:val="0"/>
                <w:sz w:val="24"/>
              </w:rPr>
            </w:pPr>
          </w:p>
        </w:tc>
        <w:tc>
          <w:tcPr>
            <w:tcW w:w="723"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6791" w:type="dxa"/>
            <w:noWrap w:val="0"/>
            <w:vAlign w:val="center"/>
          </w:tcPr>
          <w:p>
            <w:pPr>
              <w:widowControl/>
              <w:jc w:val="left"/>
              <w:rPr>
                <w:rFonts w:hint="eastAsia" w:ascii="宋体" w:hAnsi="宋体"/>
                <w:color w:val="000000"/>
                <w:sz w:val="24"/>
              </w:rPr>
            </w:pPr>
            <w:r>
              <w:rPr>
                <w:rFonts w:hint="eastAsia" w:ascii="宋体" w:hAnsi="宋体" w:cs="宋体"/>
                <w:color w:val="000000"/>
                <w:kern w:val="0"/>
                <w:sz w:val="24"/>
              </w:rPr>
              <w:t>投标人具有2016年1月1日至今类似项目案例，合同金额在</w:t>
            </w:r>
            <w:r>
              <w:rPr>
                <w:rFonts w:ascii="宋体" w:hAnsi="宋体" w:cs="宋体"/>
                <w:color w:val="000000"/>
                <w:kern w:val="0"/>
                <w:sz w:val="24"/>
              </w:rPr>
              <w:t>350</w:t>
            </w:r>
            <w:r>
              <w:rPr>
                <w:rFonts w:hint="eastAsia" w:ascii="宋体" w:hAnsi="宋体" w:cs="宋体"/>
                <w:color w:val="000000"/>
                <w:kern w:val="0"/>
                <w:sz w:val="24"/>
              </w:rPr>
              <w:t>万及以上的，每个得0.5分，最高得</w:t>
            </w:r>
            <w:r>
              <w:rPr>
                <w:rFonts w:ascii="宋体" w:hAnsi="宋体" w:cs="宋体"/>
                <w:color w:val="000000"/>
                <w:kern w:val="0"/>
                <w:sz w:val="24"/>
              </w:rPr>
              <w:t>3</w:t>
            </w:r>
            <w:r>
              <w:rPr>
                <w:rFonts w:hint="eastAsia" w:ascii="宋体" w:hAnsi="宋体" w:cs="宋体"/>
                <w:color w:val="000000"/>
                <w:kern w:val="0"/>
                <w:sz w:val="24"/>
              </w:rPr>
              <w:t>分。（开标时必须现场递交原件，未递交或递交的原件与投标文件复印件不符的按不得分处理。）</w:t>
            </w:r>
          </w:p>
        </w:tc>
        <w:tc>
          <w:tcPr>
            <w:tcW w:w="1243" w:type="dxa"/>
            <w:gridSpan w:val="2"/>
            <w:noWrap w:val="0"/>
            <w:vAlign w:val="center"/>
          </w:tcPr>
          <w:p>
            <w:pPr>
              <w:widowControl/>
              <w:jc w:val="center"/>
              <w:rPr>
                <w:rFonts w:hint="eastAsia" w:ascii="宋体" w:hAnsi="宋体"/>
                <w:color w:val="000000"/>
                <w:sz w:val="24"/>
              </w:rPr>
            </w:pPr>
            <w:r>
              <w:rPr>
                <w:rFonts w:hint="eastAsia" w:ascii="宋体" w:hAnsi="宋体" w:cs="宋体"/>
                <w:color w:val="000000"/>
                <w:kern w:val="0"/>
                <w:sz w:val="24"/>
              </w:rPr>
              <w:t>0-</w:t>
            </w:r>
            <w:r>
              <w:rPr>
                <w:rFonts w:ascii="宋体" w:hAnsi="宋体" w:cs="宋体"/>
                <w:color w:val="000000"/>
                <w:kern w:val="0"/>
                <w:sz w:val="24"/>
              </w:rPr>
              <w:t>3</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3" w:type="dxa"/>
            <w:vMerge w:val="continue"/>
            <w:noWrap w:val="0"/>
            <w:vAlign w:val="center"/>
          </w:tcPr>
          <w:p>
            <w:pPr>
              <w:widowControl/>
              <w:jc w:val="left"/>
              <w:rPr>
                <w:rFonts w:hint="eastAsia" w:ascii="宋体" w:hAnsi="宋体" w:cs="宋体"/>
                <w:color w:val="000000"/>
                <w:kern w:val="0"/>
                <w:sz w:val="24"/>
              </w:rPr>
            </w:pPr>
          </w:p>
        </w:tc>
        <w:tc>
          <w:tcPr>
            <w:tcW w:w="723"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6791" w:type="dxa"/>
            <w:noWrap w:val="0"/>
            <w:vAlign w:val="center"/>
          </w:tcPr>
          <w:p>
            <w:pPr>
              <w:widowControl/>
              <w:rPr>
                <w:rFonts w:hint="eastAsia" w:ascii="宋体" w:hAnsi="宋体"/>
                <w:color w:val="000000"/>
                <w:sz w:val="24"/>
              </w:rPr>
            </w:pPr>
            <w:r>
              <w:rPr>
                <w:rFonts w:hint="eastAsia" w:ascii="宋体" w:hAnsi="宋体"/>
                <w:color w:val="000000"/>
                <w:sz w:val="24"/>
              </w:rPr>
              <w:t>投标单位获得认证:</w:t>
            </w:r>
          </w:p>
          <w:p>
            <w:pPr>
              <w:widowControl/>
              <w:rPr>
                <w:rFonts w:hint="eastAsia" w:ascii="宋体" w:hAnsi="宋体"/>
                <w:color w:val="000000"/>
                <w:sz w:val="24"/>
              </w:rPr>
            </w:pPr>
            <w:r>
              <w:rPr>
                <w:rFonts w:hint="eastAsia" w:ascii="宋体" w:hAnsi="宋体"/>
                <w:color w:val="000000"/>
                <w:sz w:val="24"/>
              </w:rPr>
              <w:t>ISO14001（环境管理体系认证）；</w:t>
            </w:r>
          </w:p>
          <w:p>
            <w:pPr>
              <w:widowControl/>
              <w:rPr>
                <w:rFonts w:hint="eastAsia" w:ascii="宋体" w:hAnsi="宋体"/>
                <w:color w:val="000000"/>
                <w:sz w:val="24"/>
              </w:rPr>
            </w:pPr>
            <w:r>
              <w:rPr>
                <w:rFonts w:ascii="宋体" w:hAnsi="宋体"/>
                <w:color w:val="000000"/>
                <w:sz w:val="24"/>
              </w:rPr>
              <w:t>ISO</w:t>
            </w:r>
            <w:r>
              <w:rPr>
                <w:rFonts w:hint="eastAsia" w:ascii="宋体" w:hAnsi="宋体"/>
                <w:color w:val="000000"/>
                <w:sz w:val="24"/>
              </w:rPr>
              <w:t>/</w:t>
            </w:r>
            <w:r>
              <w:rPr>
                <w:rFonts w:ascii="宋体" w:hAnsi="宋体"/>
                <w:color w:val="000000"/>
                <w:sz w:val="24"/>
              </w:rPr>
              <w:t>IEC20000</w:t>
            </w:r>
            <w:r>
              <w:rPr>
                <w:rFonts w:hint="eastAsia" w:ascii="宋体" w:hAnsi="宋体"/>
                <w:color w:val="000000"/>
                <w:sz w:val="24"/>
              </w:rPr>
              <w:t>（信息技术服务管理体系认证）；</w:t>
            </w:r>
          </w:p>
          <w:p>
            <w:pPr>
              <w:widowControl/>
              <w:rPr>
                <w:rFonts w:hint="eastAsia" w:ascii="宋体" w:hAnsi="宋体"/>
                <w:color w:val="000000"/>
                <w:sz w:val="24"/>
              </w:rPr>
            </w:pPr>
            <w:r>
              <w:rPr>
                <w:rFonts w:ascii="宋体" w:hAnsi="宋体"/>
                <w:color w:val="000000"/>
                <w:sz w:val="24"/>
              </w:rPr>
              <w:t>ISO</w:t>
            </w:r>
            <w:r>
              <w:rPr>
                <w:rFonts w:hint="eastAsia" w:ascii="宋体" w:hAnsi="宋体"/>
                <w:color w:val="000000"/>
                <w:sz w:val="24"/>
              </w:rPr>
              <w:t>/</w:t>
            </w:r>
            <w:r>
              <w:rPr>
                <w:rFonts w:ascii="宋体" w:hAnsi="宋体"/>
                <w:color w:val="000000"/>
                <w:sz w:val="24"/>
              </w:rPr>
              <w:t>IEC27001</w:t>
            </w:r>
            <w:r>
              <w:rPr>
                <w:rFonts w:hint="eastAsia" w:ascii="宋体" w:hAnsi="宋体"/>
                <w:color w:val="000000"/>
                <w:sz w:val="24"/>
              </w:rPr>
              <w:t>（信息安全管理体系认证）；</w:t>
            </w:r>
          </w:p>
          <w:p>
            <w:pPr>
              <w:widowControl/>
              <w:rPr>
                <w:rFonts w:hint="eastAsia" w:ascii="宋体" w:hAnsi="宋体"/>
                <w:color w:val="000000"/>
                <w:sz w:val="24"/>
              </w:rPr>
            </w:pPr>
            <w:r>
              <w:rPr>
                <w:rFonts w:ascii="宋体" w:hAnsi="宋体"/>
                <w:color w:val="000000"/>
                <w:sz w:val="24"/>
              </w:rPr>
              <w:t>OHSAS18001</w:t>
            </w:r>
            <w:r>
              <w:rPr>
                <w:rFonts w:hint="eastAsia" w:ascii="宋体" w:hAnsi="宋体"/>
                <w:color w:val="000000"/>
                <w:sz w:val="24"/>
              </w:rPr>
              <w:t>（职业健康安全管理体系认证）。</w:t>
            </w:r>
          </w:p>
          <w:p>
            <w:pPr>
              <w:widowControl/>
              <w:jc w:val="left"/>
              <w:rPr>
                <w:rFonts w:hint="eastAsia" w:ascii="宋体" w:hAnsi="宋体" w:cs="宋体"/>
                <w:color w:val="000000"/>
                <w:kern w:val="0"/>
                <w:sz w:val="24"/>
              </w:rPr>
            </w:pPr>
            <w:r>
              <w:rPr>
                <w:rFonts w:hint="eastAsia" w:ascii="宋体" w:hAnsi="宋体" w:cs="宋体"/>
                <w:color w:val="000000"/>
                <w:sz w:val="24"/>
              </w:rPr>
              <w:t>每个得0.5分，最高得2分（</w:t>
            </w:r>
            <w:r>
              <w:rPr>
                <w:rFonts w:hint="eastAsia" w:ascii="宋体" w:hAnsi="宋体" w:cs="宋体"/>
                <w:color w:val="000000"/>
                <w:kern w:val="0"/>
                <w:sz w:val="24"/>
              </w:rPr>
              <w:t>开标时必须现场递交原件证书，未递交或递交的原件与投标文件复印件不符的按不得分处理。</w:t>
            </w:r>
            <w:r>
              <w:rPr>
                <w:rFonts w:hint="eastAsia" w:ascii="宋体" w:hAnsi="宋体" w:cs="宋体"/>
                <w:color w:val="000000"/>
                <w:sz w:val="24"/>
              </w:rPr>
              <w:t>）</w:t>
            </w:r>
          </w:p>
        </w:tc>
        <w:tc>
          <w:tcPr>
            <w:tcW w:w="1243"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-2</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3" w:type="dxa"/>
            <w:vMerge w:val="continue"/>
            <w:noWrap w:val="0"/>
            <w:vAlign w:val="center"/>
          </w:tcPr>
          <w:p>
            <w:pPr>
              <w:widowControl/>
              <w:jc w:val="left"/>
              <w:rPr>
                <w:rFonts w:hint="eastAsia" w:ascii="宋体" w:hAnsi="宋体" w:cs="宋体"/>
                <w:color w:val="000000"/>
                <w:kern w:val="0"/>
                <w:sz w:val="24"/>
              </w:rPr>
            </w:pPr>
          </w:p>
        </w:tc>
        <w:tc>
          <w:tcPr>
            <w:tcW w:w="723"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6791" w:type="dxa"/>
            <w:noWrap w:val="0"/>
            <w:vAlign w:val="center"/>
          </w:tcPr>
          <w:p>
            <w:pPr>
              <w:widowControl/>
              <w:jc w:val="left"/>
              <w:rPr>
                <w:rFonts w:hint="eastAsia" w:ascii="宋体" w:hAnsi="宋体" w:cs="宋体"/>
                <w:color w:val="000000"/>
                <w:sz w:val="24"/>
              </w:rPr>
            </w:pPr>
            <w:r>
              <w:rPr>
                <w:rFonts w:hint="eastAsia" w:ascii="宋体" w:hAnsi="宋体"/>
                <w:color w:val="000000"/>
                <w:kern w:val="0"/>
                <w:sz w:val="24"/>
              </w:rPr>
              <w:t>投标人</w:t>
            </w:r>
            <w:r>
              <w:rPr>
                <w:rFonts w:hint="eastAsia" w:ascii="宋体" w:hAnsi="宋体"/>
                <w:color w:val="000000"/>
                <w:sz w:val="24"/>
              </w:rPr>
              <w:t>近2016年1月1日至今所参建的智能化项目获得过荣誉，省级（不含）以下政府部门颁发的每个得</w:t>
            </w:r>
            <w:r>
              <w:rPr>
                <w:rFonts w:ascii="宋体" w:hAnsi="宋体"/>
                <w:color w:val="000000"/>
                <w:sz w:val="24"/>
              </w:rPr>
              <w:t>1</w:t>
            </w:r>
            <w:r>
              <w:rPr>
                <w:rFonts w:hint="eastAsia" w:ascii="宋体" w:hAnsi="宋体"/>
                <w:color w:val="000000"/>
                <w:sz w:val="24"/>
              </w:rPr>
              <w:t>分；由省级（含）及以上政府部门颁发的每个得</w:t>
            </w:r>
            <w:r>
              <w:rPr>
                <w:rFonts w:ascii="宋体" w:hAnsi="宋体"/>
                <w:color w:val="000000"/>
                <w:sz w:val="24"/>
              </w:rPr>
              <w:t>2</w:t>
            </w:r>
            <w:r>
              <w:rPr>
                <w:rFonts w:hint="eastAsia" w:ascii="宋体" w:hAnsi="宋体"/>
                <w:color w:val="000000"/>
                <w:sz w:val="24"/>
              </w:rPr>
              <w:t>分，本项最高得</w:t>
            </w:r>
            <w:r>
              <w:rPr>
                <w:rFonts w:ascii="宋体" w:hAnsi="宋体"/>
                <w:color w:val="000000"/>
                <w:sz w:val="24"/>
              </w:rPr>
              <w:t>2</w:t>
            </w:r>
            <w:r>
              <w:rPr>
                <w:rFonts w:hint="eastAsia" w:ascii="宋体" w:hAnsi="宋体"/>
                <w:color w:val="000000"/>
                <w:sz w:val="24"/>
              </w:rPr>
              <w:t>分</w:t>
            </w:r>
            <w:r>
              <w:rPr>
                <w:rFonts w:hint="eastAsia" w:ascii="宋体" w:hAnsi="宋体" w:cs="宋体"/>
                <w:color w:val="000000"/>
                <w:sz w:val="24"/>
              </w:rPr>
              <w:t>（</w:t>
            </w:r>
            <w:r>
              <w:rPr>
                <w:rFonts w:hint="eastAsia" w:ascii="宋体" w:hAnsi="宋体" w:cs="宋体"/>
                <w:color w:val="000000"/>
                <w:kern w:val="0"/>
                <w:sz w:val="24"/>
              </w:rPr>
              <w:t>开标时必须现场递交原件，未递交或递交的原件与投标文件复印件不符的按不得分处理。</w:t>
            </w:r>
            <w:r>
              <w:rPr>
                <w:rFonts w:hint="eastAsia" w:ascii="宋体" w:hAnsi="宋体" w:cs="宋体"/>
                <w:color w:val="000000"/>
                <w:sz w:val="24"/>
              </w:rPr>
              <w:t>）</w:t>
            </w:r>
          </w:p>
        </w:tc>
        <w:tc>
          <w:tcPr>
            <w:tcW w:w="1243"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2</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 w:hRule="atLeast"/>
        </w:trPr>
        <w:tc>
          <w:tcPr>
            <w:tcW w:w="743" w:type="dxa"/>
            <w:vMerge w:val="restart"/>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技术分（40分）</w:t>
            </w:r>
          </w:p>
        </w:tc>
        <w:tc>
          <w:tcPr>
            <w:tcW w:w="723" w:type="dxa"/>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9</w:t>
            </w:r>
          </w:p>
        </w:tc>
        <w:tc>
          <w:tcPr>
            <w:tcW w:w="6797" w:type="dxa"/>
            <w:gridSpan w:val="2"/>
            <w:shd w:val="clear" w:color="000000" w:fill="D9D9D9"/>
            <w:noWrap w:val="0"/>
            <w:vAlign w:val="center"/>
          </w:tcPr>
          <w:p>
            <w:pPr>
              <w:spacing w:line="300" w:lineRule="exact"/>
              <w:rPr>
                <w:rFonts w:hint="eastAsia" w:ascii="宋体" w:hAnsi="宋体"/>
                <w:color w:val="000000"/>
                <w:sz w:val="24"/>
                <w:shd w:val="clear" w:color="FFFFFF" w:fill="D9D9D9"/>
              </w:rPr>
            </w:pPr>
            <w:r>
              <w:rPr>
                <w:rFonts w:hint="eastAsia" w:ascii="宋体" w:hAnsi="宋体"/>
                <w:color w:val="000000"/>
                <w:sz w:val="24"/>
                <w:shd w:val="clear" w:color="FFFFFF" w:fill="D9D9D9"/>
              </w:rPr>
              <w:t>货物整体性能的可靠性、先进性、完整性等</w:t>
            </w:r>
          </w:p>
          <w:p>
            <w:pPr>
              <w:widowControl/>
              <w:spacing w:line="260" w:lineRule="exact"/>
              <w:jc w:val="left"/>
              <w:rPr>
                <w:rFonts w:hint="eastAsia" w:ascii="宋体" w:hAnsi="宋体" w:cs="宋体"/>
                <w:color w:val="000000"/>
                <w:kern w:val="0"/>
                <w:sz w:val="24"/>
              </w:rPr>
            </w:pPr>
            <w:r>
              <w:rPr>
                <w:rFonts w:hint="eastAsia" w:ascii="宋体" w:hAnsi="宋体"/>
                <w:color w:val="000000"/>
                <w:sz w:val="24"/>
                <w:shd w:val="clear" w:color="FFFFFF" w:fill="D9D9D9"/>
              </w:rPr>
              <w:t>（根据技术参数、产品配置及与采购需求的偏离程度等综合评定对比打分）</w:t>
            </w:r>
          </w:p>
        </w:tc>
        <w:tc>
          <w:tcPr>
            <w:tcW w:w="1237"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743" w:type="dxa"/>
            <w:vMerge w:val="continue"/>
            <w:shd w:val="clear" w:color="auto" w:fill="auto"/>
            <w:noWrap w:val="0"/>
            <w:vAlign w:val="center"/>
          </w:tcPr>
          <w:p>
            <w:pPr>
              <w:widowControl/>
              <w:spacing w:line="260" w:lineRule="exact"/>
              <w:jc w:val="left"/>
              <w:rPr>
                <w:rFonts w:hint="eastAsia" w:ascii="宋体" w:hAnsi="宋体" w:cs="宋体"/>
                <w:color w:val="000000"/>
                <w:kern w:val="0"/>
                <w:sz w:val="24"/>
              </w:rPr>
            </w:pPr>
          </w:p>
        </w:tc>
        <w:tc>
          <w:tcPr>
            <w:tcW w:w="723" w:type="dxa"/>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10</w:t>
            </w:r>
          </w:p>
        </w:tc>
        <w:tc>
          <w:tcPr>
            <w:tcW w:w="6797" w:type="dxa"/>
            <w:gridSpan w:val="2"/>
            <w:shd w:val="clear" w:color="000000" w:fill="D9D9D9"/>
            <w:noWrap w:val="0"/>
            <w:vAlign w:val="center"/>
          </w:tcPr>
          <w:p>
            <w:pPr>
              <w:spacing w:line="300" w:lineRule="exact"/>
              <w:rPr>
                <w:rFonts w:hint="eastAsia" w:ascii="宋体" w:hAnsi="宋体"/>
                <w:color w:val="000000"/>
                <w:sz w:val="24"/>
                <w:shd w:val="clear" w:color="FFFFFF" w:fill="D9D9D9"/>
              </w:rPr>
            </w:pPr>
            <w:r>
              <w:rPr>
                <w:rFonts w:hint="eastAsia" w:ascii="宋体" w:hAnsi="宋体"/>
                <w:color w:val="000000"/>
                <w:sz w:val="24"/>
                <w:shd w:val="clear" w:color="FFFFFF" w:fill="D9D9D9"/>
              </w:rPr>
              <w:t>技术方案的合理性、科学性、全面性等</w:t>
            </w:r>
          </w:p>
          <w:p>
            <w:pPr>
              <w:widowControl/>
              <w:spacing w:line="260" w:lineRule="exact"/>
              <w:jc w:val="left"/>
              <w:rPr>
                <w:rFonts w:hint="eastAsia" w:ascii="宋体" w:hAnsi="宋体" w:cs="宋体"/>
                <w:color w:val="000000"/>
                <w:kern w:val="0"/>
                <w:sz w:val="24"/>
              </w:rPr>
            </w:pPr>
            <w:r>
              <w:rPr>
                <w:rFonts w:hint="eastAsia" w:ascii="宋体" w:hAnsi="宋体"/>
                <w:color w:val="000000"/>
                <w:sz w:val="24"/>
                <w:shd w:val="clear" w:color="FFFFFF" w:fill="D9D9D9"/>
              </w:rPr>
              <w:t>（综合评定对比打分）</w:t>
            </w:r>
          </w:p>
        </w:tc>
        <w:tc>
          <w:tcPr>
            <w:tcW w:w="1237" w:type="dxa"/>
            <w:noWrap w:val="0"/>
            <w:vAlign w:val="center"/>
          </w:tcPr>
          <w:p>
            <w:pPr>
              <w:widowControl/>
              <w:spacing w:line="260" w:lineRule="exact"/>
              <w:jc w:val="center"/>
              <w:rPr>
                <w:rFonts w:hint="eastAsia"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743" w:type="dxa"/>
            <w:vMerge w:val="continue"/>
            <w:shd w:val="clear" w:color="auto" w:fill="auto"/>
            <w:noWrap w:val="0"/>
            <w:vAlign w:val="center"/>
          </w:tcPr>
          <w:p>
            <w:pPr>
              <w:widowControl/>
              <w:spacing w:line="260" w:lineRule="exact"/>
              <w:jc w:val="left"/>
              <w:rPr>
                <w:rFonts w:hint="eastAsia" w:ascii="宋体" w:hAnsi="宋体" w:cs="宋体"/>
                <w:color w:val="000000"/>
                <w:kern w:val="0"/>
                <w:sz w:val="24"/>
              </w:rPr>
            </w:pPr>
          </w:p>
        </w:tc>
        <w:tc>
          <w:tcPr>
            <w:tcW w:w="723" w:type="dxa"/>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11</w:t>
            </w:r>
          </w:p>
        </w:tc>
        <w:tc>
          <w:tcPr>
            <w:tcW w:w="6797" w:type="dxa"/>
            <w:gridSpan w:val="2"/>
            <w:shd w:val="clear" w:color="000000" w:fill="D9D9D9"/>
            <w:noWrap w:val="0"/>
            <w:vAlign w:val="center"/>
          </w:tcPr>
          <w:p>
            <w:pPr>
              <w:spacing w:line="300" w:lineRule="exact"/>
              <w:rPr>
                <w:rFonts w:hint="eastAsia" w:ascii="宋体" w:hAnsi="宋体"/>
                <w:color w:val="000000"/>
                <w:sz w:val="24"/>
                <w:shd w:val="clear" w:color="FFFFFF" w:fill="D9D9D9"/>
              </w:rPr>
            </w:pPr>
            <w:r>
              <w:rPr>
                <w:rFonts w:hint="eastAsia" w:ascii="宋体" w:hAnsi="宋体"/>
                <w:color w:val="000000"/>
                <w:sz w:val="24"/>
                <w:shd w:val="clear" w:color="FFFFFF" w:fill="D9D9D9"/>
              </w:rPr>
              <w:t>保证进度和项目完成的方案和措施等</w:t>
            </w:r>
          </w:p>
          <w:p>
            <w:pPr>
              <w:widowControl/>
              <w:spacing w:line="260" w:lineRule="exact"/>
              <w:jc w:val="left"/>
              <w:rPr>
                <w:rFonts w:hint="eastAsia" w:ascii="宋体" w:hAnsi="宋体" w:cs="宋体"/>
                <w:color w:val="000000"/>
                <w:kern w:val="0"/>
                <w:sz w:val="24"/>
              </w:rPr>
            </w:pPr>
            <w:r>
              <w:rPr>
                <w:rFonts w:hint="eastAsia" w:ascii="宋体" w:hAnsi="宋体"/>
                <w:color w:val="000000"/>
                <w:sz w:val="24"/>
                <w:shd w:val="clear" w:color="FFFFFF" w:fill="D9D9D9"/>
              </w:rPr>
              <w:t>（综合评定对比打分）</w:t>
            </w:r>
          </w:p>
        </w:tc>
        <w:tc>
          <w:tcPr>
            <w:tcW w:w="1237" w:type="dxa"/>
            <w:noWrap w:val="0"/>
            <w:vAlign w:val="center"/>
          </w:tcPr>
          <w:p>
            <w:pPr>
              <w:widowControl/>
              <w:spacing w:line="260" w:lineRule="exact"/>
              <w:jc w:val="center"/>
              <w:rPr>
                <w:rFonts w:hint="eastAsia"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743" w:type="dxa"/>
            <w:vMerge w:val="continue"/>
            <w:shd w:val="clear" w:color="auto" w:fill="auto"/>
            <w:noWrap w:val="0"/>
            <w:vAlign w:val="center"/>
          </w:tcPr>
          <w:p>
            <w:pPr>
              <w:widowControl/>
              <w:spacing w:line="260" w:lineRule="exact"/>
              <w:jc w:val="left"/>
              <w:rPr>
                <w:rFonts w:hint="eastAsia" w:ascii="宋体" w:hAnsi="宋体" w:cs="宋体"/>
                <w:color w:val="000000"/>
                <w:kern w:val="0"/>
                <w:sz w:val="24"/>
              </w:rPr>
            </w:pPr>
          </w:p>
        </w:tc>
        <w:tc>
          <w:tcPr>
            <w:tcW w:w="723" w:type="dxa"/>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12</w:t>
            </w:r>
          </w:p>
        </w:tc>
        <w:tc>
          <w:tcPr>
            <w:tcW w:w="6797" w:type="dxa"/>
            <w:gridSpan w:val="2"/>
            <w:shd w:val="clear" w:color="000000" w:fill="D9D9D9"/>
            <w:noWrap w:val="0"/>
            <w:vAlign w:val="center"/>
          </w:tcPr>
          <w:p>
            <w:pPr>
              <w:spacing w:line="300" w:lineRule="exact"/>
              <w:rPr>
                <w:rFonts w:hint="eastAsia" w:ascii="宋体" w:hAnsi="宋体"/>
                <w:color w:val="000000"/>
                <w:sz w:val="24"/>
                <w:shd w:val="clear" w:color="FFFFFF" w:fill="D9D9D9"/>
              </w:rPr>
            </w:pPr>
            <w:r>
              <w:rPr>
                <w:rFonts w:hint="eastAsia" w:ascii="宋体" w:hAnsi="宋体"/>
                <w:color w:val="000000"/>
                <w:sz w:val="24"/>
                <w:shd w:val="clear" w:color="FFFFFF" w:fill="D9D9D9"/>
              </w:rPr>
              <w:t>项目负责人及技术力量安排等</w:t>
            </w:r>
          </w:p>
          <w:p>
            <w:pPr>
              <w:widowControl/>
              <w:spacing w:line="260" w:lineRule="exact"/>
              <w:jc w:val="left"/>
              <w:rPr>
                <w:rFonts w:hint="eastAsia" w:ascii="宋体" w:hAnsi="宋体" w:cs="宋体"/>
                <w:color w:val="000000"/>
                <w:kern w:val="0"/>
                <w:sz w:val="24"/>
              </w:rPr>
            </w:pPr>
            <w:r>
              <w:rPr>
                <w:rFonts w:hint="eastAsia" w:ascii="宋体" w:hAnsi="宋体"/>
                <w:color w:val="000000"/>
                <w:sz w:val="24"/>
                <w:shd w:val="clear" w:color="FFFFFF" w:fill="D9D9D9"/>
              </w:rPr>
              <w:t>（综合评定对比打分）</w:t>
            </w:r>
          </w:p>
        </w:tc>
        <w:tc>
          <w:tcPr>
            <w:tcW w:w="1237"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743" w:type="dxa"/>
            <w:vMerge w:val="continue"/>
            <w:shd w:val="clear" w:color="auto" w:fill="auto"/>
            <w:noWrap w:val="0"/>
            <w:vAlign w:val="center"/>
          </w:tcPr>
          <w:p>
            <w:pPr>
              <w:widowControl/>
              <w:spacing w:line="260" w:lineRule="exact"/>
              <w:jc w:val="left"/>
              <w:rPr>
                <w:rFonts w:hint="eastAsia" w:ascii="宋体" w:hAnsi="宋体" w:cs="宋体"/>
                <w:color w:val="000000"/>
                <w:kern w:val="0"/>
                <w:sz w:val="24"/>
              </w:rPr>
            </w:pPr>
          </w:p>
        </w:tc>
        <w:tc>
          <w:tcPr>
            <w:tcW w:w="723" w:type="dxa"/>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13</w:t>
            </w:r>
          </w:p>
        </w:tc>
        <w:tc>
          <w:tcPr>
            <w:tcW w:w="6797" w:type="dxa"/>
            <w:gridSpan w:val="2"/>
            <w:shd w:val="clear" w:color="000000" w:fill="D9D9D9"/>
            <w:noWrap w:val="0"/>
            <w:vAlign w:val="center"/>
          </w:tcPr>
          <w:p>
            <w:pPr>
              <w:widowControl/>
              <w:spacing w:line="260" w:lineRule="exact"/>
              <w:jc w:val="left"/>
              <w:rPr>
                <w:rFonts w:hint="eastAsia" w:ascii="宋体" w:hAnsi="宋体" w:cs="宋体"/>
                <w:color w:val="000000"/>
                <w:kern w:val="0"/>
                <w:sz w:val="24"/>
              </w:rPr>
            </w:pPr>
            <w:r>
              <w:rPr>
                <w:rFonts w:hint="eastAsia" w:ascii="宋体" w:hAnsi="宋体" w:cs="宋体"/>
                <w:color w:val="000000"/>
                <w:kern w:val="0"/>
                <w:sz w:val="24"/>
              </w:rPr>
              <w:t>对本项目的合理化建议（综合评定对比打分）</w:t>
            </w:r>
          </w:p>
        </w:tc>
        <w:tc>
          <w:tcPr>
            <w:tcW w:w="1237"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3</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2" w:hRule="atLeast"/>
        </w:trPr>
        <w:tc>
          <w:tcPr>
            <w:tcW w:w="743" w:type="dxa"/>
            <w:vMerge w:val="continue"/>
            <w:shd w:val="clear" w:color="auto" w:fill="auto"/>
            <w:noWrap w:val="0"/>
            <w:vAlign w:val="center"/>
          </w:tcPr>
          <w:p>
            <w:pPr>
              <w:widowControl/>
              <w:spacing w:line="260" w:lineRule="exact"/>
              <w:jc w:val="left"/>
              <w:rPr>
                <w:rFonts w:hint="eastAsia" w:ascii="宋体" w:hAnsi="宋体" w:cs="宋体"/>
                <w:color w:val="000000"/>
                <w:kern w:val="0"/>
                <w:sz w:val="24"/>
              </w:rPr>
            </w:pPr>
          </w:p>
        </w:tc>
        <w:tc>
          <w:tcPr>
            <w:tcW w:w="723" w:type="dxa"/>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14</w:t>
            </w:r>
          </w:p>
        </w:tc>
        <w:tc>
          <w:tcPr>
            <w:tcW w:w="6797" w:type="dxa"/>
            <w:gridSpan w:val="2"/>
            <w:shd w:val="clear" w:color="000000" w:fill="D9D9D9"/>
            <w:noWrap w:val="0"/>
            <w:vAlign w:val="center"/>
          </w:tcPr>
          <w:p>
            <w:pPr>
              <w:spacing w:line="300" w:lineRule="exact"/>
              <w:rPr>
                <w:rFonts w:hint="eastAsia" w:ascii="宋体" w:hAnsi="宋体"/>
                <w:color w:val="000000"/>
                <w:sz w:val="24"/>
                <w:shd w:val="clear" w:color="FFFFFF" w:fill="D9D9D9"/>
              </w:rPr>
            </w:pPr>
            <w:r>
              <w:rPr>
                <w:rFonts w:hint="eastAsia" w:ascii="宋体" w:hAnsi="宋体"/>
                <w:color w:val="000000"/>
                <w:sz w:val="24"/>
                <w:shd w:val="clear" w:color="FFFFFF" w:fill="D9D9D9"/>
              </w:rPr>
              <w:t>产品质量保证情况</w:t>
            </w:r>
          </w:p>
          <w:p>
            <w:pPr>
              <w:widowControl/>
              <w:spacing w:line="260" w:lineRule="exact"/>
              <w:jc w:val="left"/>
              <w:rPr>
                <w:rFonts w:hint="eastAsia" w:ascii="宋体" w:hAnsi="宋体" w:cs="宋体"/>
                <w:color w:val="000000"/>
                <w:kern w:val="0"/>
                <w:sz w:val="24"/>
              </w:rPr>
            </w:pPr>
            <w:r>
              <w:rPr>
                <w:rFonts w:hint="eastAsia" w:ascii="宋体" w:hAnsi="宋体"/>
                <w:color w:val="000000"/>
                <w:sz w:val="24"/>
                <w:shd w:val="clear" w:color="FFFFFF" w:fill="D9D9D9"/>
              </w:rPr>
              <w:t>（根据质保期限、可实现程度、提供优惠等情况综合评定对比打分）</w:t>
            </w:r>
          </w:p>
        </w:tc>
        <w:tc>
          <w:tcPr>
            <w:tcW w:w="1237"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743" w:type="dxa"/>
            <w:vMerge w:val="continue"/>
            <w:shd w:val="clear" w:color="auto" w:fill="auto"/>
            <w:noWrap w:val="0"/>
            <w:vAlign w:val="center"/>
          </w:tcPr>
          <w:p>
            <w:pPr>
              <w:widowControl/>
              <w:spacing w:line="260" w:lineRule="exact"/>
              <w:jc w:val="left"/>
              <w:rPr>
                <w:rFonts w:hint="eastAsia" w:ascii="宋体" w:hAnsi="宋体" w:cs="宋体"/>
                <w:color w:val="000000"/>
                <w:kern w:val="0"/>
                <w:sz w:val="24"/>
              </w:rPr>
            </w:pPr>
          </w:p>
        </w:tc>
        <w:tc>
          <w:tcPr>
            <w:tcW w:w="723" w:type="dxa"/>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15</w:t>
            </w:r>
          </w:p>
        </w:tc>
        <w:tc>
          <w:tcPr>
            <w:tcW w:w="6797" w:type="dxa"/>
            <w:gridSpan w:val="2"/>
            <w:shd w:val="clear" w:color="000000" w:fill="D9D9D9"/>
            <w:noWrap w:val="0"/>
            <w:vAlign w:val="center"/>
          </w:tcPr>
          <w:p>
            <w:pPr>
              <w:spacing w:line="300" w:lineRule="exact"/>
              <w:rPr>
                <w:rFonts w:hint="eastAsia" w:ascii="宋体" w:hAnsi="宋体"/>
                <w:color w:val="000000"/>
                <w:sz w:val="24"/>
                <w:shd w:val="clear" w:color="FFFFFF" w:fill="D9D9D9"/>
              </w:rPr>
            </w:pPr>
            <w:r>
              <w:rPr>
                <w:rFonts w:hint="eastAsia" w:ascii="宋体" w:hAnsi="宋体"/>
                <w:color w:val="000000"/>
                <w:sz w:val="24"/>
                <w:shd w:val="clear" w:color="FFFFFF" w:fill="D9D9D9"/>
              </w:rPr>
              <w:t>售后服务承诺</w:t>
            </w:r>
          </w:p>
          <w:p>
            <w:pPr>
              <w:spacing w:line="300" w:lineRule="exact"/>
              <w:rPr>
                <w:rFonts w:hint="eastAsia" w:ascii="宋体" w:hAnsi="宋体"/>
                <w:color w:val="000000"/>
                <w:sz w:val="24"/>
                <w:shd w:val="clear" w:color="FFFFFF" w:fill="D9D9D9"/>
              </w:rPr>
            </w:pPr>
            <w:r>
              <w:rPr>
                <w:rFonts w:hint="eastAsia" w:ascii="宋体" w:hAnsi="宋体"/>
                <w:color w:val="000000"/>
                <w:sz w:val="24"/>
                <w:shd w:val="clear" w:color="FFFFFF" w:fill="D9D9D9"/>
              </w:rPr>
              <w:t>（根据售后服务方案、措施、响应及本地化服务能力等</w:t>
            </w:r>
          </w:p>
          <w:p>
            <w:pPr>
              <w:widowControl/>
              <w:spacing w:line="260" w:lineRule="exact"/>
              <w:jc w:val="left"/>
              <w:rPr>
                <w:rFonts w:hint="eastAsia" w:ascii="宋体" w:hAnsi="宋体" w:cs="宋体"/>
                <w:color w:val="000000"/>
                <w:kern w:val="0"/>
                <w:sz w:val="24"/>
              </w:rPr>
            </w:pPr>
            <w:r>
              <w:rPr>
                <w:rFonts w:hint="eastAsia" w:ascii="宋体" w:hAnsi="宋体"/>
                <w:color w:val="000000"/>
                <w:sz w:val="24"/>
                <w:shd w:val="clear" w:color="FFFFFF" w:fill="D9D9D9"/>
              </w:rPr>
              <w:t>情况综合评定对比打分）</w:t>
            </w:r>
          </w:p>
        </w:tc>
        <w:tc>
          <w:tcPr>
            <w:tcW w:w="1237"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7" w:hRule="atLeast"/>
        </w:trPr>
        <w:tc>
          <w:tcPr>
            <w:tcW w:w="743" w:type="dxa"/>
            <w:vMerge w:val="continue"/>
            <w:shd w:val="clear" w:color="auto" w:fill="auto"/>
            <w:noWrap w:val="0"/>
            <w:vAlign w:val="center"/>
          </w:tcPr>
          <w:p>
            <w:pPr>
              <w:widowControl/>
              <w:spacing w:line="260" w:lineRule="exact"/>
              <w:jc w:val="left"/>
              <w:rPr>
                <w:rFonts w:hint="eastAsia" w:ascii="宋体" w:hAnsi="宋体" w:cs="宋体"/>
                <w:color w:val="000000"/>
                <w:kern w:val="0"/>
                <w:sz w:val="24"/>
              </w:rPr>
            </w:pPr>
          </w:p>
        </w:tc>
        <w:tc>
          <w:tcPr>
            <w:tcW w:w="723" w:type="dxa"/>
            <w:tcBorders>
              <w:bottom w:val="single" w:color="auto" w:sz="4" w:space="0"/>
            </w:tcBorders>
            <w:shd w:val="clear" w:color="auto" w:fill="auto"/>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16</w:t>
            </w:r>
          </w:p>
        </w:tc>
        <w:tc>
          <w:tcPr>
            <w:tcW w:w="6797" w:type="dxa"/>
            <w:gridSpan w:val="2"/>
            <w:tcBorders>
              <w:bottom w:val="single" w:color="auto" w:sz="4" w:space="0"/>
            </w:tcBorders>
            <w:shd w:val="clear" w:color="000000" w:fill="D9D9D9"/>
            <w:noWrap w:val="0"/>
            <w:vAlign w:val="center"/>
          </w:tcPr>
          <w:p>
            <w:pPr>
              <w:widowControl/>
              <w:spacing w:line="260" w:lineRule="exact"/>
              <w:jc w:val="left"/>
              <w:rPr>
                <w:rFonts w:hint="eastAsia" w:ascii="宋体" w:hAnsi="宋体" w:cs="宋体"/>
                <w:color w:val="000000"/>
                <w:kern w:val="0"/>
                <w:sz w:val="24"/>
              </w:rPr>
            </w:pPr>
            <w:r>
              <w:rPr>
                <w:rFonts w:hint="eastAsia" w:ascii="宋体" w:hAnsi="宋体" w:cs="宋体"/>
                <w:color w:val="000000"/>
                <w:kern w:val="0"/>
                <w:sz w:val="24"/>
              </w:rPr>
              <w:t>投标文件制作质量（根据投标文件编制有序、内容规范、字句清晰、表述完整等情况综合评定对比打分）</w:t>
            </w:r>
          </w:p>
        </w:tc>
        <w:tc>
          <w:tcPr>
            <w:tcW w:w="1237" w:type="dxa"/>
            <w:tcBorders>
              <w:bottom w:val="single" w:color="auto" w:sz="4" w:space="0"/>
            </w:tcBorders>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5" w:hRule="atLeast"/>
        </w:trPr>
        <w:tc>
          <w:tcPr>
            <w:tcW w:w="743" w:type="dxa"/>
            <w:vMerge w:val="continue"/>
            <w:noWrap w:val="0"/>
            <w:vAlign w:val="center"/>
          </w:tcPr>
          <w:p>
            <w:pPr>
              <w:widowControl/>
              <w:spacing w:line="260" w:lineRule="exact"/>
              <w:jc w:val="left"/>
              <w:rPr>
                <w:rFonts w:hint="eastAsia" w:ascii="宋体" w:hAnsi="宋体" w:cs="宋体"/>
                <w:color w:val="000000"/>
                <w:kern w:val="0"/>
                <w:sz w:val="24"/>
              </w:rPr>
            </w:pPr>
          </w:p>
        </w:tc>
        <w:tc>
          <w:tcPr>
            <w:tcW w:w="723" w:type="dxa"/>
            <w:tcBorders>
              <w:bottom w:val="single" w:color="auto" w:sz="4" w:space="0"/>
            </w:tcBorders>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17</w:t>
            </w:r>
          </w:p>
        </w:tc>
        <w:tc>
          <w:tcPr>
            <w:tcW w:w="6797" w:type="dxa"/>
            <w:gridSpan w:val="2"/>
            <w:tcBorders>
              <w:bottom w:val="single" w:color="auto" w:sz="4" w:space="0"/>
            </w:tcBorders>
            <w:noWrap w:val="0"/>
            <w:vAlign w:val="center"/>
          </w:tcPr>
          <w:p>
            <w:pPr>
              <w:widowControl/>
              <w:spacing w:line="260" w:lineRule="exact"/>
              <w:jc w:val="left"/>
              <w:rPr>
                <w:rFonts w:hint="eastAsia" w:ascii="宋体" w:hAnsi="宋体" w:cs="宋体"/>
                <w:color w:val="000000"/>
                <w:kern w:val="0"/>
                <w:sz w:val="24"/>
              </w:rPr>
            </w:pPr>
            <w:r>
              <w:rPr>
                <w:rFonts w:hint="eastAsia" w:ascii="宋体" w:hAnsi="宋体"/>
                <w:color w:val="000000"/>
                <w:sz w:val="24"/>
              </w:rPr>
              <w:t>投标人服务团队通过ITSS三级认证得0.5分、二级及以上认证得1分（开标现场必须递交证书原件，</w:t>
            </w:r>
            <w:r>
              <w:rPr>
                <w:rFonts w:hint="eastAsia" w:ascii="宋体" w:hAnsi="宋体" w:cs="宋体"/>
                <w:color w:val="000000"/>
                <w:kern w:val="0"/>
                <w:sz w:val="24"/>
              </w:rPr>
              <w:t>未递交或递交的原件与投标文件复印件不符的按不得分处理）</w:t>
            </w:r>
          </w:p>
        </w:tc>
        <w:tc>
          <w:tcPr>
            <w:tcW w:w="1237" w:type="dxa"/>
            <w:tcBorders>
              <w:bottom w:val="single" w:color="auto" w:sz="4" w:space="0"/>
            </w:tcBorders>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w:t>
            </w:r>
            <w:r>
              <w:rPr>
                <w:rFonts w:hint="eastAsia" w:ascii="宋体" w:hAnsi="宋体" w:cs="宋体"/>
                <w:color w:val="000000"/>
                <w:kern w:val="0"/>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743" w:type="dxa"/>
            <w:vMerge w:val="continue"/>
            <w:noWrap w:val="0"/>
            <w:vAlign w:val="center"/>
          </w:tcPr>
          <w:p>
            <w:pPr>
              <w:widowControl/>
              <w:spacing w:line="260" w:lineRule="exact"/>
              <w:jc w:val="left"/>
              <w:rPr>
                <w:rFonts w:hint="eastAsia" w:ascii="宋体" w:hAnsi="宋体" w:cs="宋体"/>
                <w:color w:val="000000"/>
                <w:kern w:val="0"/>
                <w:sz w:val="24"/>
              </w:rPr>
            </w:pPr>
          </w:p>
        </w:tc>
        <w:tc>
          <w:tcPr>
            <w:tcW w:w="723" w:type="dxa"/>
            <w:tcBorders>
              <w:bottom w:val="single" w:color="auto" w:sz="4" w:space="0"/>
            </w:tcBorders>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18</w:t>
            </w:r>
          </w:p>
        </w:tc>
        <w:tc>
          <w:tcPr>
            <w:tcW w:w="6797" w:type="dxa"/>
            <w:gridSpan w:val="2"/>
            <w:tcBorders>
              <w:bottom w:val="single" w:color="auto" w:sz="4" w:space="0"/>
            </w:tcBorders>
            <w:noWrap w:val="0"/>
            <w:vAlign w:val="center"/>
          </w:tcPr>
          <w:p>
            <w:pPr>
              <w:pStyle w:val="50"/>
              <w:spacing w:line="289" w:lineRule="exact"/>
              <w:ind w:right="126"/>
              <w:rPr>
                <w:rFonts w:hint="eastAsia"/>
                <w:color w:val="000000"/>
                <w:kern w:val="0"/>
                <w:sz w:val="24"/>
              </w:rPr>
            </w:pPr>
            <w:r>
              <w:rPr>
                <w:rFonts w:hint="eastAsia"/>
                <w:color w:val="000000"/>
                <w:sz w:val="24"/>
              </w:rPr>
              <w:t>投标主要产品的品牌知名度等情况进行综合评定对比打分</w:t>
            </w:r>
          </w:p>
        </w:tc>
        <w:tc>
          <w:tcPr>
            <w:tcW w:w="1237" w:type="dxa"/>
            <w:tcBorders>
              <w:bottom w:val="single" w:color="auto" w:sz="4" w:space="0"/>
            </w:tcBorders>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-2</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7" w:hRule="atLeast"/>
        </w:trPr>
        <w:tc>
          <w:tcPr>
            <w:tcW w:w="743" w:type="dxa"/>
            <w:vMerge w:val="continue"/>
            <w:noWrap w:val="0"/>
            <w:vAlign w:val="center"/>
          </w:tcPr>
          <w:p>
            <w:pPr>
              <w:widowControl/>
              <w:spacing w:line="260" w:lineRule="exact"/>
              <w:jc w:val="left"/>
              <w:rPr>
                <w:rFonts w:hint="eastAsia" w:ascii="宋体" w:hAnsi="宋体" w:cs="宋体"/>
                <w:color w:val="000000"/>
                <w:kern w:val="0"/>
                <w:sz w:val="24"/>
              </w:rPr>
            </w:pPr>
          </w:p>
        </w:tc>
        <w:tc>
          <w:tcPr>
            <w:tcW w:w="723" w:type="dxa"/>
            <w:tcBorders>
              <w:bottom w:val="single" w:color="auto" w:sz="4" w:space="0"/>
            </w:tcBorders>
            <w:noWrap w:val="0"/>
            <w:vAlign w:val="center"/>
          </w:tcPr>
          <w:p>
            <w:pPr>
              <w:widowControl/>
              <w:spacing w:line="2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19</w:t>
            </w:r>
          </w:p>
        </w:tc>
        <w:tc>
          <w:tcPr>
            <w:tcW w:w="6797" w:type="dxa"/>
            <w:gridSpan w:val="2"/>
            <w:tcBorders>
              <w:bottom w:val="single" w:color="auto" w:sz="4" w:space="0"/>
            </w:tcBorders>
            <w:noWrap w:val="0"/>
            <w:vAlign w:val="center"/>
          </w:tcPr>
          <w:p>
            <w:pPr>
              <w:widowControl/>
              <w:spacing w:line="260" w:lineRule="exact"/>
              <w:jc w:val="left"/>
              <w:rPr>
                <w:rFonts w:hint="eastAsia" w:ascii="宋体" w:hAnsi="宋体"/>
                <w:color w:val="000000"/>
                <w:sz w:val="24"/>
              </w:rPr>
            </w:pPr>
            <w:r>
              <w:rPr>
                <w:rFonts w:hint="eastAsia" w:ascii="宋体" w:hAnsi="宋体"/>
                <w:color w:val="000000"/>
                <w:sz w:val="24"/>
              </w:rPr>
              <w:t>备品备件情况</w:t>
            </w:r>
            <w:r>
              <w:rPr>
                <w:rFonts w:hint="eastAsia" w:ascii="宋体" w:hAnsi="宋体"/>
                <w:color w:val="000000"/>
                <w:sz w:val="24"/>
                <w:lang w:eastAsia="zh-CN"/>
              </w:rPr>
              <w:t>：</w:t>
            </w:r>
            <w:r>
              <w:rPr>
                <w:rFonts w:hint="eastAsia" w:ascii="宋体" w:hAnsi="宋体"/>
                <w:color w:val="000000"/>
                <w:sz w:val="24"/>
              </w:rPr>
              <w:t>投标货物配件、附件、辅助材料的完整性、合理性和可操作性，以及承诺的易损件价格情况等综合对比打分。</w:t>
            </w:r>
          </w:p>
        </w:tc>
        <w:tc>
          <w:tcPr>
            <w:tcW w:w="1237" w:type="dxa"/>
            <w:tcBorders>
              <w:bottom w:val="single" w:color="auto" w:sz="4" w:space="0"/>
            </w:tcBorders>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0-</w:t>
            </w:r>
            <w:r>
              <w:rPr>
                <w:rFonts w:hint="eastAsia" w:ascii="宋体" w:hAnsi="宋体" w:cs="宋体"/>
                <w:color w:val="000000"/>
                <w:kern w:val="0"/>
                <w:sz w:val="24"/>
                <w:lang w:val="en-US" w:eastAsia="zh-CN"/>
              </w:rPr>
              <w:t>2</w:t>
            </w:r>
            <w:r>
              <w:rPr>
                <w:rFonts w:hint="eastAsia" w:ascii="宋体" w:hAnsi="宋体" w:cs="宋体"/>
                <w:color w:val="000000"/>
                <w:kern w:val="0"/>
                <w:sz w:val="24"/>
              </w:rPr>
              <w:t>分</w:t>
            </w:r>
          </w:p>
        </w:tc>
      </w:tr>
    </w:tbl>
    <w:p>
      <w:pPr>
        <w:widowControl/>
        <w:spacing w:line="360" w:lineRule="auto"/>
        <w:jc w:val="left"/>
        <w:rPr>
          <w:b/>
          <w:color w:val="000000"/>
          <w:sz w:val="24"/>
        </w:rPr>
      </w:pPr>
      <w:r>
        <w:rPr>
          <w:rFonts w:hint="eastAsia"/>
          <w:b/>
          <w:color w:val="000000"/>
          <w:sz w:val="24"/>
        </w:rPr>
        <w:t>注：1、若采购人对投标人提供的证明资料要求为原件的，另行提出。</w:t>
      </w:r>
    </w:p>
    <w:p>
      <w:pPr>
        <w:spacing w:line="360" w:lineRule="auto"/>
        <w:rPr>
          <w:b/>
          <w:color w:val="000000"/>
          <w:sz w:val="24"/>
        </w:rPr>
      </w:pPr>
      <w:r>
        <w:rPr>
          <w:b/>
          <w:color w:val="000000"/>
          <w:sz w:val="24"/>
        </w:rPr>
        <w:t>2</w:t>
      </w:r>
      <w:r>
        <w:rPr>
          <w:rFonts w:hint="eastAsia"/>
          <w:b/>
          <w:color w:val="000000"/>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不予退还投标保证金。</w:t>
      </w:r>
    </w:p>
    <w:p>
      <w:pPr>
        <w:spacing w:line="360" w:lineRule="auto"/>
        <w:rPr>
          <w:rFonts w:hint="eastAsia" w:ascii="宋体" w:hAnsi="宋体"/>
          <w:color w:val="000000"/>
          <w:sz w:val="24"/>
        </w:rPr>
      </w:pPr>
      <w:r>
        <w:rPr>
          <w:rFonts w:hint="eastAsia" w:ascii="宋体" w:hAnsi="宋体"/>
          <w:color w:val="000000"/>
          <w:sz w:val="24"/>
        </w:rPr>
        <w:t>37.2价格部分评分方法（</w:t>
      </w:r>
      <w:r>
        <w:rPr>
          <w:rFonts w:hint="eastAsia" w:ascii="宋体" w:hAnsi="宋体"/>
          <w:color w:val="000000"/>
          <w:sz w:val="24"/>
          <w:lang w:val="en-US" w:eastAsia="zh-CN"/>
        </w:rPr>
        <w:t>40</w:t>
      </w:r>
      <w:r>
        <w:rPr>
          <w:rFonts w:hint="eastAsia" w:ascii="宋体" w:hAnsi="宋体"/>
          <w:color w:val="000000"/>
          <w:sz w:val="24"/>
        </w:rPr>
        <w:t>分）：</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jc w:val="center"/>
        </w:trPr>
        <w:tc>
          <w:tcPr>
            <w:tcW w:w="26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olor w:val="000000"/>
                <w:sz w:val="24"/>
                <w:szCs w:val="24"/>
              </w:rPr>
            </w:pPr>
            <w:r>
              <w:rPr>
                <w:rFonts w:hint="eastAsia" w:ascii="宋体" w:hAnsi="宋体"/>
                <w:color w:val="000000"/>
                <w:sz w:val="24"/>
                <w:szCs w:val="24"/>
              </w:rPr>
              <w:t>价格权值</w:t>
            </w:r>
          </w:p>
        </w:tc>
        <w:tc>
          <w:tcPr>
            <w:tcW w:w="62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olor w:val="000000"/>
                <w:sz w:val="24"/>
                <w:szCs w:val="24"/>
              </w:rPr>
            </w:pPr>
            <w:r>
              <w:rPr>
                <w:rFonts w:hint="eastAsia" w:ascii="宋体" w:hAnsi="宋体"/>
                <w:color w:val="000000"/>
                <w:sz w:val="24"/>
                <w:szCs w:val="24"/>
              </w:rPr>
              <w:t>计</w:t>
            </w:r>
            <w:r>
              <w:rPr>
                <w:rFonts w:ascii="宋体" w:hAnsi="宋体"/>
                <w:color w:val="000000"/>
                <w:sz w:val="24"/>
                <w:szCs w:val="24"/>
              </w:rPr>
              <w:t xml:space="preserve">    </w:t>
            </w:r>
            <w:r>
              <w:rPr>
                <w:rFonts w:hint="eastAsia" w:ascii="宋体" w:hAnsi="宋体"/>
                <w:color w:val="000000"/>
                <w:sz w:val="24"/>
                <w:szCs w:val="24"/>
              </w:rPr>
              <w:t>算</w:t>
            </w:r>
            <w:r>
              <w:rPr>
                <w:rFonts w:ascii="宋体" w:hAnsi="宋体"/>
                <w:color w:val="000000"/>
                <w:sz w:val="24"/>
                <w:szCs w:val="24"/>
              </w:rPr>
              <w:t xml:space="preserve">    </w:t>
            </w:r>
            <w:r>
              <w:rPr>
                <w:rFonts w:hint="eastAsia" w:ascii="宋体" w:hAnsi="宋体"/>
                <w:color w:val="000000"/>
                <w:sz w:val="24"/>
                <w:szCs w:val="24"/>
              </w:rPr>
              <w:t>方</w:t>
            </w:r>
            <w:r>
              <w:rPr>
                <w:rFonts w:ascii="宋体" w:hAnsi="宋体"/>
                <w:color w:val="000000"/>
                <w:sz w:val="24"/>
                <w:szCs w:val="24"/>
              </w:rPr>
              <w:t xml:space="preserve">    </w:t>
            </w:r>
            <w:r>
              <w:rPr>
                <w:rFonts w:hint="eastAsia" w:ascii="宋体" w:hAnsi="宋体"/>
                <w:color w:val="000000"/>
                <w:sz w:val="24"/>
                <w:szCs w:val="24"/>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1" w:hRule="atLeast"/>
          <w:jc w:val="center"/>
        </w:trPr>
        <w:tc>
          <w:tcPr>
            <w:tcW w:w="26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olor w:val="000000"/>
                <w:sz w:val="24"/>
                <w:szCs w:val="24"/>
              </w:rPr>
            </w:pPr>
            <w:r>
              <w:rPr>
                <w:rFonts w:hint="eastAsia" w:ascii="宋体" w:hAnsi="宋体"/>
                <w:color w:val="000000"/>
                <w:sz w:val="24"/>
                <w:szCs w:val="24"/>
              </w:rPr>
              <w:t>价格权值</w:t>
            </w:r>
            <w:r>
              <w:rPr>
                <w:rFonts w:ascii="宋体" w:hAnsi="宋体"/>
                <w:color w:val="000000"/>
                <w:sz w:val="24"/>
                <w:szCs w:val="24"/>
              </w:rPr>
              <w:t>=</w:t>
            </w:r>
            <w:r>
              <w:rPr>
                <w:rFonts w:hint="eastAsia" w:ascii="宋体" w:hAnsi="宋体"/>
                <w:color w:val="000000"/>
                <w:sz w:val="24"/>
                <w:szCs w:val="24"/>
                <w:lang w:val="en-US" w:eastAsia="zh-CN"/>
              </w:rPr>
              <w:t>0.40</w:t>
            </w:r>
            <w:r>
              <w:rPr>
                <w:rFonts w:ascii="宋体" w:hAnsi="宋体"/>
                <w:color w:val="000000"/>
                <w:sz w:val="24"/>
                <w:szCs w:val="24"/>
              </w:rPr>
              <w:t xml:space="preserve">  </w:t>
            </w:r>
          </w:p>
        </w:tc>
        <w:tc>
          <w:tcPr>
            <w:tcW w:w="62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olor w:val="000000"/>
                <w:sz w:val="24"/>
                <w:szCs w:val="24"/>
              </w:rPr>
            </w:pPr>
            <w:r>
              <w:rPr>
                <w:rFonts w:hint="eastAsia" w:ascii="宋体" w:hAnsi="宋体"/>
                <w:color w:val="000000"/>
                <w:sz w:val="24"/>
                <w:szCs w:val="24"/>
              </w:rPr>
              <w:t>最低有效投标价格为评标基准价</w:t>
            </w:r>
          </w:p>
          <w:p>
            <w:pPr>
              <w:autoSpaceDE w:val="0"/>
              <w:autoSpaceDN w:val="0"/>
              <w:adjustRightInd w:val="0"/>
              <w:jc w:val="center"/>
              <w:rPr>
                <w:rFonts w:ascii="宋体" w:hAnsi="宋体"/>
                <w:color w:val="000000"/>
                <w:sz w:val="24"/>
                <w:szCs w:val="24"/>
              </w:rPr>
            </w:pPr>
            <w:r>
              <w:rPr>
                <w:rFonts w:hint="eastAsia" w:ascii="宋体" w:hAnsi="宋体"/>
                <w:color w:val="000000"/>
                <w:sz w:val="24"/>
                <w:szCs w:val="24"/>
              </w:rPr>
              <w:t>投标报价得分</w:t>
            </w:r>
            <w:r>
              <w:rPr>
                <w:rFonts w:ascii="宋体" w:hAnsi="宋体"/>
                <w:color w:val="000000"/>
                <w:sz w:val="24"/>
                <w:szCs w:val="24"/>
              </w:rPr>
              <w:t>=(</w:t>
            </w:r>
            <w:r>
              <w:rPr>
                <w:rFonts w:hint="eastAsia" w:ascii="宋体" w:hAnsi="宋体"/>
                <w:color w:val="000000"/>
                <w:sz w:val="24"/>
                <w:szCs w:val="24"/>
              </w:rPr>
              <w:t>评标基准价／投标报价</w:t>
            </w:r>
            <w:r>
              <w:rPr>
                <w:rFonts w:ascii="宋体" w:hAnsi="宋体"/>
                <w:color w:val="000000"/>
                <w:sz w:val="24"/>
                <w:szCs w:val="24"/>
              </w:rPr>
              <w:t>)</w:t>
            </w:r>
            <w:r>
              <w:rPr>
                <w:rFonts w:hint="eastAsia" w:ascii="宋体" w:hAnsi="宋体"/>
                <w:color w:val="000000"/>
                <w:sz w:val="24"/>
                <w:szCs w:val="24"/>
              </w:rPr>
              <w:t>×价格权值×</w:t>
            </w:r>
            <w:r>
              <w:rPr>
                <w:rFonts w:ascii="宋体" w:hAnsi="宋体"/>
                <w:color w:val="000000"/>
                <w:sz w:val="24"/>
                <w:szCs w:val="24"/>
              </w:rPr>
              <w:t xml:space="preserve">100 </w:t>
            </w:r>
          </w:p>
          <w:p>
            <w:pPr>
              <w:autoSpaceDE w:val="0"/>
              <w:autoSpaceDN w:val="0"/>
              <w:adjustRightInd w:val="0"/>
              <w:jc w:val="center"/>
              <w:rPr>
                <w:rFonts w:ascii="宋体" w:hAnsi="宋体"/>
                <w:color w:val="000000"/>
                <w:sz w:val="24"/>
                <w:szCs w:val="24"/>
              </w:rPr>
            </w:pPr>
            <w:r>
              <w:rPr>
                <w:rFonts w:hint="eastAsia" w:ascii="宋体" w:hAnsi="宋体"/>
                <w:color w:val="000000"/>
                <w:sz w:val="24"/>
                <w:szCs w:val="24"/>
              </w:rPr>
              <w:t>（计算得分保留小数点后</w:t>
            </w:r>
            <w:r>
              <w:rPr>
                <w:rFonts w:ascii="宋体" w:hAnsi="宋体"/>
                <w:color w:val="000000"/>
                <w:sz w:val="24"/>
                <w:szCs w:val="24"/>
              </w:rPr>
              <w:t>2</w:t>
            </w:r>
            <w:r>
              <w:rPr>
                <w:rFonts w:hint="eastAsia" w:ascii="宋体" w:hAnsi="宋体"/>
                <w:color w:val="000000"/>
                <w:sz w:val="24"/>
                <w:szCs w:val="24"/>
              </w:rPr>
              <w:t>位）</w:t>
            </w:r>
          </w:p>
        </w:tc>
      </w:tr>
    </w:tbl>
    <w:p>
      <w:pPr>
        <w:spacing w:line="360" w:lineRule="auto"/>
        <w:ind w:firstLine="480" w:firstLineChars="200"/>
        <w:rPr>
          <w:rFonts w:hint="eastAsia" w:ascii="宋体" w:hAnsi="宋体"/>
          <w:color w:val="000000"/>
          <w:sz w:val="24"/>
        </w:rPr>
      </w:pPr>
    </w:p>
    <w:p>
      <w:pPr>
        <w:spacing w:line="360" w:lineRule="auto"/>
        <w:ind w:firstLine="482" w:firstLineChars="200"/>
        <w:rPr>
          <w:rFonts w:hint="eastAsia" w:ascii="宋体" w:hAnsi="宋体"/>
          <w:b/>
          <w:color w:val="000000"/>
          <w:sz w:val="24"/>
        </w:rPr>
      </w:pPr>
      <w:r>
        <w:rPr>
          <w:rFonts w:hint="eastAsia" w:ascii="宋体" w:hAnsi="宋体"/>
          <w:b/>
          <w:color w:val="000000"/>
          <w:sz w:val="24"/>
        </w:rPr>
        <w:t>38.其他需说明事项</w:t>
      </w:r>
    </w:p>
    <w:p>
      <w:pPr>
        <w:spacing w:line="360" w:lineRule="auto"/>
        <w:ind w:firstLine="482" w:firstLineChars="200"/>
        <w:rPr>
          <w:rFonts w:hint="eastAsia" w:ascii="宋体" w:hAnsi="宋体"/>
          <w:b/>
          <w:color w:val="000000"/>
          <w:sz w:val="24"/>
        </w:rPr>
      </w:pPr>
    </w:p>
    <w:p>
      <w:pPr>
        <w:spacing w:line="360" w:lineRule="auto"/>
        <w:ind w:firstLine="482" w:firstLineChars="200"/>
        <w:rPr>
          <w:rFonts w:hint="eastAsia" w:ascii="宋体" w:hAnsi="宋体"/>
          <w:b/>
          <w:color w:val="000000"/>
          <w:sz w:val="24"/>
        </w:rPr>
      </w:pPr>
      <w:r>
        <w:rPr>
          <w:rFonts w:hint="eastAsia" w:ascii="宋体" w:hAnsi="宋体"/>
          <w:b/>
          <w:color w:val="000000"/>
          <w:sz w:val="24"/>
        </w:rPr>
        <w:t>39.解释权</w:t>
      </w:r>
    </w:p>
    <w:p>
      <w:pPr>
        <w:spacing w:line="360" w:lineRule="auto"/>
        <w:ind w:firstLine="480" w:firstLineChars="200"/>
        <w:rPr>
          <w:rFonts w:hint="eastAsia" w:ascii="宋体" w:hAnsi="宋体"/>
          <w:color w:val="000000"/>
          <w:sz w:val="24"/>
        </w:rPr>
      </w:pPr>
      <w:r>
        <w:rPr>
          <w:rFonts w:hint="eastAsia" w:ascii="宋体" w:hAnsi="宋体"/>
          <w:color w:val="000000"/>
          <w:sz w:val="24"/>
        </w:rPr>
        <w:t>专用条款与通用条款有矛盾之处，以专用条款为准。凡涉及本次招标文件的解释权属于</w:t>
      </w:r>
      <w:r>
        <w:rPr>
          <w:rFonts w:hint="eastAsia" w:ascii="宋体" w:hAnsi="宋体"/>
          <w:color w:val="000000"/>
          <w:sz w:val="24"/>
          <w:u w:val="single"/>
        </w:rPr>
        <w:t>采购人与招标组织机构</w:t>
      </w:r>
      <w:r>
        <w:rPr>
          <w:rFonts w:hint="eastAsia" w:ascii="宋体" w:hAnsi="宋体"/>
          <w:color w:val="000000"/>
          <w:sz w:val="24"/>
        </w:rPr>
        <w:t xml:space="preserve">。  </w:t>
      </w:r>
    </w:p>
    <w:p>
      <w:pPr>
        <w:spacing w:line="360" w:lineRule="auto"/>
        <w:ind w:firstLine="480" w:firstLineChars="200"/>
        <w:rPr>
          <w:rFonts w:hint="eastAsia"/>
          <w:b/>
          <w:color w:val="000000"/>
        </w:rPr>
      </w:pPr>
      <w:r>
        <w:rPr>
          <w:rFonts w:hint="eastAsia" w:ascii="宋体" w:hAnsi="宋体"/>
          <w:color w:val="000000"/>
          <w:sz w:val="24"/>
        </w:rPr>
        <w:t xml:space="preserve">                                    </w:t>
      </w:r>
      <w:bookmarkStart w:id="56" w:name="_Toc331323741"/>
    </w:p>
    <w:p>
      <w:pPr>
        <w:rPr>
          <w:rFonts w:hint="eastAsia"/>
          <w:color w:val="000000"/>
        </w:rPr>
      </w:pPr>
    </w:p>
    <w:p>
      <w:pPr>
        <w:pStyle w:val="2"/>
        <w:rPr>
          <w:rFonts w:hint="eastAsia"/>
          <w:color w:val="000000"/>
        </w:rPr>
      </w:pPr>
      <w:bookmarkStart w:id="57" w:name="_Toc27316"/>
      <w:r>
        <w:rPr>
          <w:rFonts w:hint="eastAsia"/>
          <w:color w:val="000000"/>
        </w:rPr>
        <w:t>第三部分  采购需求</w:t>
      </w:r>
      <w:bookmarkEnd w:id="56"/>
      <w:bookmarkEnd w:id="57"/>
    </w:p>
    <w:p>
      <w:pPr>
        <w:pStyle w:val="4"/>
        <w:rPr>
          <w:rFonts w:hint="eastAsia"/>
          <w:color w:val="000000"/>
        </w:rPr>
      </w:pPr>
      <w:bookmarkStart w:id="58" w:name="_Toc29046"/>
      <w:r>
        <w:rPr>
          <w:rFonts w:hint="eastAsia"/>
          <w:color w:val="000000"/>
        </w:rPr>
        <w:t>一、招标一览表</w:t>
      </w:r>
      <w:bookmarkEnd w:id="58"/>
    </w:p>
    <w:p>
      <w:pPr>
        <w:spacing w:line="360" w:lineRule="auto"/>
        <w:jc w:val="left"/>
        <w:rPr>
          <w:rFonts w:hint="eastAsia" w:ascii="宋体" w:hAnsi="宋体"/>
          <w:color w:val="000000"/>
          <w:sz w:val="24"/>
        </w:rPr>
      </w:pPr>
      <w:bookmarkStart w:id="59" w:name="_Toc331323742"/>
      <w:r>
        <w:rPr>
          <w:rFonts w:hint="eastAsia" w:ascii="宋体" w:hAnsi="宋体"/>
          <w:color w:val="000000"/>
          <w:sz w:val="24"/>
        </w:rPr>
        <w:t>标项</w:t>
      </w:r>
      <w:r>
        <w:rPr>
          <w:rFonts w:hint="eastAsia" w:ascii="宋体" w:hAnsi="宋体"/>
          <w:color w:val="000000"/>
          <w:sz w:val="24"/>
          <w:u w:val="single"/>
        </w:rPr>
        <w:t xml:space="preserve">   </w:t>
      </w:r>
      <w:r>
        <w:rPr>
          <w:rFonts w:hint="eastAsia" w:ascii="宋体" w:hAnsi="宋体" w:eastAsia="宋体"/>
          <w:color w:val="000000"/>
          <w:sz w:val="24"/>
          <w:u w:val="single"/>
          <w:lang w:val="en-US" w:eastAsia="zh-CN"/>
        </w:rPr>
        <w:t>1</w:t>
      </w:r>
      <w:r>
        <w:rPr>
          <w:rFonts w:hint="eastAsia" w:ascii="宋体" w:hAnsi="宋体"/>
          <w:color w:val="000000"/>
          <w:sz w:val="24"/>
          <w:u w:val="single"/>
        </w:rPr>
        <w:t xml:space="preserve">   </w:t>
      </w:r>
    </w:p>
    <w:tbl>
      <w:tblPr>
        <w:tblStyle w:val="31"/>
        <w:tblW w:w="0" w:type="auto"/>
        <w:jc w:val="center"/>
        <w:tblLayout w:type="fixed"/>
        <w:tblCellMar>
          <w:top w:w="0" w:type="dxa"/>
          <w:left w:w="0" w:type="dxa"/>
          <w:bottom w:w="0" w:type="dxa"/>
          <w:right w:w="0" w:type="dxa"/>
        </w:tblCellMar>
      </w:tblPr>
      <w:tblGrid>
        <w:gridCol w:w="806"/>
        <w:gridCol w:w="2995"/>
        <w:gridCol w:w="1915"/>
        <w:gridCol w:w="825"/>
        <w:gridCol w:w="840"/>
        <w:gridCol w:w="1770"/>
        <w:gridCol w:w="792"/>
      </w:tblGrid>
      <w:tr>
        <w:tblPrEx>
          <w:tblCellMar>
            <w:top w:w="0" w:type="dxa"/>
            <w:left w:w="0" w:type="dxa"/>
            <w:bottom w:w="0" w:type="dxa"/>
            <w:right w:w="0" w:type="dxa"/>
          </w:tblCellMar>
        </w:tblPrEx>
        <w:trPr>
          <w:wBefore w:w="0" w:type="dxa"/>
          <w:wAfter w:w="0" w:type="dxa"/>
          <w:cantSplit/>
          <w:trHeight w:val="663" w:hRule="atLeast"/>
          <w:jc w:val="center"/>
        </w:trPr>
        <w:tc>
          <w:tcPr>
            <w:tcW w:w="80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Cs/>
                <w:color w:val="000000"/>
                <w:sz w:val="24"/>
              </w:rPr>
            </w:pPr>
            <w:bookmarkStart w:id="60" w:name="_二期网络工程项目改造需求"/>
            <w:bookmarkEnd w:id="60"/>
            <w:r>
              <w:rPr>
                <w:rFonts w:hint="eastAsia" w:ascii="宋体" w:hAnsi="宋体"/>
                <w:bCs/>
                <w:color w:val="000000"/>
                <w:sz w:val="24"/>
              </w:rPr>
              <w:t>序号</w:t>
            </w:r>
          </w:p>
        </w:tc>
        <w:tc>
          <w:tcPr>
            <w:tcW w:w="29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Cs/>
                <w:color w:val="000000"/>
                <w:sz w:val="24"/>
              </w:rPr>
            </w:pPr>
            <w:r>
              <w:rPr>
                <w:rFonts w:hint="eastAsia" w:ascii="宋体" w:hAnsi="宋体"/>
                <w:bCs/>
                <w:color w:val="000000"/>
                <w:sz w:val="24"/>
              </w:rPr>
              <w:t>名称</w:t>
            </w:r>
          </w:p>
        </w:tc>
        <w:tc>
          <w:tcPr>
            <w:tcW w:w="19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Cs/>
                <w:color w:val="000000"/>
                <w:sz w:val="24"/>
              </w:rPr>
            </w:pPr>
            <w:r>
              <w:rPr>
                <w:rFonts w:hint="eastAsia" w:ascii="宋体" w:hAnsi="宋体"/>
                <w:bCs/>
                <w:color w:val="000000"/>
                <w:sz w:val="24"/>
              </w:rPr>
              <w:t>规格型号与参数</w:t>
            </w:r>
          </w:p>
        </w:tc>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Cs/>
                <w:color w:val="000000"/>
                <w:sz w:val="24"/>
              </w:rPr>
            </w:pPr>
            <w:r>
              <w:rPr>
                <w:rFonts w:hint="eastAsia" w:ascii="宋体" w:hAnsi="宋体"/>
                <w:bCs/>
                <w:color w:val="000000"/>
                <w:sz w:val="24"/>
              </w:rPr>
              <w:t>单位</w:t>
            </w:r>
          </w:p>
        </w:tc>
        <w:tc>
          <w:tcPr>
            <w:tcW w:w="84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Cs/>
                <w:color w:val="000000"/>
                <w:sz w:val="24"/>
              </w:rPr>
            </w:pPr>
            <w:r>
              <w:rPr>
                <w:rFonts w:hint="eastAsia" w:ascii="宋体" w:hAnsi="宋体"/>
                <w:bCs/>
                <w:color w:val="000000"/>
                <w:sz w:val="24"/>
              </w:rPr>
              <w:t>数量</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Cs/>
                <w:color w:val="000000"/>
                <w:sz w:val="24"/>
              </w:rPr>
            </w:pPr>
            <w:r>
              <w:rPr>
                <w:rFonts w:hint="eastAsia" w:ascii="宋体" w:hAnsi="宋体"/>
                <w:color w:val="000000"/>
                <w:position w:val="-6"/>
                <w:sz w:val="24"/>
              </w:rPr>
              <w:t>是否为核心产品</w:t>
            </w:r>
          </w:p>
        </w:tc>
        <w:tc>
          <w:tcPr>
            <w:tcW w:w="7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备注</w:t>
            </w:r>
          </w:p>
        </w:tc>
      </w:tr>
      <w:tr>
        <w:tblPrEx>
          <w:tblCellMar>
            <w:top w:w="0" w:type="dxa"/>
            <w:left w:w="0" w:type="dxa"/>
            <w:bottom w:w="0" w:type="dxa"/>
            <w:right w:w="0" w:type="dxa"/>
          </w:tblCellMar>
        </w:tblPrEx>
        <w:trPr>
          <w:wBefore w:w="0" w:type="dxa"/>
          <w:wAfter w:w="0" w:type="dxa"/>
          <w:cantSplit/>
          <w:trHeight w:val="927" w:hRule="atLeast"/>
          <w:jc w:val="center"/>
        </w:trPr>
        <w:tc>
          <w:tcPr>
            <w:tcW w:w="80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1</w:t>
            </w:r>
          </w:p>
        </w:tc>
        <w:tc>
          <w:tcPr>
            <w:tcW w:w="299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s="宋体"/>
                <w:color w:val="000000"/>
                <w:sz w:val="24"/>
              </w:rPr>
              <w:t>市北交警中队过渡用房智能化弱电政府采购项目</w:t>
            </w:r>
          </w:p>
        </w:tc>
        <w:tc>
          <w:tcPr>
            <w:tcW w:w="19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详见招标需求</w:t>
            </w:r>
          </w:p>
        </w:tc>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Calibri"/>
                <w:color w:val="000000"/>
                <w:sz w:val="24"/>
              </w:rPr>
            </w:pPr>
            <w:r>
              <w:rPr>
                <w:rFonts w:hint="eastAsia" w:ascii="宋体" w:hAnsi="宋体"/>
                <w:color w:val="000000"/>
                <w:sz w:val="24"/>
              </w:rPr>
              <w:t>批</w:t>
            </w:r>
          </w:p>
        </w:tc>
        <w:tc>
          <w:tcPr>
            <w:tcW w:w="84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1</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详见招标需求</w:t>
            </w:r>
          </w:p>
        </w:tc>
        <w:tc>
          <w:tcPr>
            <w:tcW w:w="7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olor w:val="000000"/>
                <w:sz w:val="24"/>
              </w:rPr>
            </w:pPr>
          </w:p>
        </w:tc>
      </w:tr>
    </w:tbl>
    <w:p>
      <w:pPr>
        <w:rPr>
          <w:rFonts w:hint="eastAsia"/>
          <w:color w:val="000000"/>
          <w:lang w:val="en-US" w:eastAsia="zh-CN"/>
        </w:rPr>
      </w:pPr>
    </w:p>
    <w:p>
      <w:pPr>
        <w:pStyle w:val="4"/>
        <w:rPr>
          <w:rFonts w:hint="eastAsia"/>
          <w:color w:val="000000"/>
        </w:rPr>
      </w:pPr>
      <w:bookmarkStart w:id="61" w:name="_Toc7420"/>
      <w:r>
        <w:rPr>
          <w:rFonts w:hint="eastAsia"/>
          <w:color w:val="000000"/>
        </w:rPr>
        <w:t>二、招标需求</w:t>
      </w:r>
      <w:bookmarkEnd w:id="61"/>
    </w:p>
    <w:p>
      <w:pPr>
        <w:pStyle w:val="4"/>
        <w:rPr>
          <w:rFonts w:hint="eastAsia"/>
          <w:color w:val="000000"/>
        </w:rPr>
      </w:pPr>
    </w:p>
    <w:p>
      <w:pPr>
        <w:pStyle w:val="4"/>
        <w:numPr>
          <w:ilvl w:val="0"/>
          <w:numId w:val="0"/>
        </w:numPr>
        <w:jc w:val="left"/>
        <w:rPr>
          <w:rFonts w:hint="eastAsia"/>
          <w:color w:val="000000"/>
          <w:lang w:eastAsia="zh-CN"/>
        </w:rPr>
      </w:pPr>
      <w:bookmarkStart w:id="62" w:name="_Toc26874"/>
      <w:r>
        <w:rPr>
          <w:rFonts w:hint="eastAsia"/>
          <w:color w:val="000000"/>
          <w:lang w:val="en-US" w:eastAsia="zh-CN"/>
        </w:rPr>
        <w:t>1、</w:t>
      </w:r>
      <w:r>
        <w:rPr>
          <w:rFonts w:hint="eastAsia"/>
          <w:color w:val="000000"/>
          <w:lang w:eastAsia="zh-CN"/>
        </w:rPr>
        <w:t>技术需求：</w:t>
      </w:r>
      <w:bookmarkEnd w:id="62"/>
    </w:p>
    <w:p>
      <w:pPr>
        <w:spacing w:line="440" w:lineRule="exact"/>
        <w:ind w:firstLine="480" w:firstLineChars="200"/>
        <w:rPr>
          <w:rFonts w:hint="eastAsia" w:ascii="宋体" w:hAnsi="宋体" w:eastAsia="宋体" w:cs="宋体"/>
          <w:b w:val="0"/>
          <w:bCs/>
          <w:color w:val="000000"/>
          <w:sz w:val="24"/>
        </w:rPr>
      </w:pPr>
      <w:r>
        <w:rPr>
          <w:rFonts w:hint="eastAsia" w:ascii="宋体" w:hAnsi="宋体" w:eastAsia="宋体" w:cs="宋体"/>
          <w:b w:val="0"/>
          <w:bCs/>
          <w:color w:val="000000"/>
          <w:sz w:val="24"/>
        </w:rPr>
        <w:t>1.1为保障系统稳定性及效果，投标单位所投的各系统内的主要产品需为同一品牌,如下：</w:t>
      </w:r>
    </w:p>
    <w:p>
      <w:pPr>
        <w:spacing w:line="440" w:lineRule="exact"/>
        <w:ind w:firstLine="480" w:firstLineChars="200"/>
        <w:rPr>
          <w:rFonts w:hint="eastAsia" w:ascii="宋体" w:hAnsi="宋体" w:eastAsia="宋体" w:cs="宋体"/>
          <w:b w:val="0"/>
          <w:bCs/>
          <w:color w:val="000000"/>
          <w:sz w:val="24"/>
          <w:lang w:eastAsia="zh-CN"/>
        </w:rPr>
      </w:pPr>
      <w:r>
        <w:rPr>
          <w:rFonts w:hint="eastAsia" w:ascii="宋体" w:hAnsi="宋体" w:eastAsia="宋体" w:cs="宋体"/>
          <w:b w:val="0"/>
          <w:bCs/>
          <w:color w:val="000000"/>
          <w:sz w:val="24"/>
        </w:rPr>
        <w:t>视频监控类：包含（监控摄像机、NVR录像机、云存储、审讯主机、视频综合平台）</w:t>
      </w:r>
      <w:r>
        <w:rPr>
          <w:rFonts w:hint="eastAsia" w:ascii="宋体" w:hAnsi="宋体" w:eastAsia="宋体" w:cs="宋体"/>
          <w:b w:val="0"/>
          <w:bCs/>
          <w:color w:val="000000"/>
          <w:sz w:val="24"/>
          <w:lang w:eastAsia="zh-CN"/>
        </w:rPr>
        <w:t>；</w:t>
      </w:r>
    </w:p>
    <w:p>
      <w:pPr>
        <w:spacing w:line="440" w:lineRule="exact"/>
        <w:ind w:firstLine="480" w:firstLineChars="200"/>
        <w:rPr>
          <w:rFonts w:hint="eastAsia" w:ascii="宋体" w:hAnsi="宋体" w:eastAsia="宋体" w:cs="宋体"/>
          <w:b w:val="0"/>
          <w:bCs/>
          <w:color w:val="000000"/>
          <w:sz w:val="24"/>
          <w:lang w:eastAsia="zh-CN"/>
        </w:rPr>
      </w:pPr>
      <w:r>
        <w:rPr>
          <w:rFonts w:hint="eastAsia" w:ascii="宋体" w:hAnsi="宋体" w:eastAsia="宋体" w:cs="宋体"/>
          <w:b w:val="0"/>
          <w:bCs/>
          <w:color w:val="000000"/>
          <w:sz w:val="24"/>
        </w:rPr>
        <w:t>门禁及出入口类：包含（门禁主控器、人脸识别门禁、出入口补光抓拍单元）</w:t>
      </w:r>
      <w:r>
        <w:rPr>
          <w:rFonts w:hint="eastAsia" w:ascii="宋体" w:hAnsi="宋体" w:eastAsia="宋体" w:cs="宋体"/>
          <w:b w:val="0"/>
          <w:bCs/>
          <w:color w:val="000000"/>
          <w:sz w:val="24"/>
          <w:lang w:eastAsia="zh-CN"/>
        </w:rPr>
        <w:t>；</w:t>
      </w:r>
    </w:p>
    <w:p>
      <w:pPr>
        <w:spacing w:line="440" w:lineRule="exact"/>
        <w:ind w:firstLine="480" w:firstLineChars="200"/>
        <w:rPr>
          <w:rFonts w:hint="eastAsia" w:ascii="宋体" w:hAnsi="宋体" w:eastAsia="宋体" w:cs="宋体"/>
          <w:b w:val="0"/>
          <w:bCs/>
          <w:color w:val="000000"/>
          <w:sz w:val="24"/>
          <w:lang w:eastAsia="zh-CN"/>
        </w:rPr>
      </w:pPr>
      <w:r>
        <w:rPr>
          <w:rFonts w:hint="eastAsia" w:ascii="宋体" w:hAnsi="宋体" w:eastAsia="宋体" w:cs="宋体"/>
          <w:b w:val="0"/>
          <w:bCs/>
          <w:color w:val="000000"/>
          <w:sz w:val="24"/>
        </w:rPr>
        <w:t>会议音频类：包含（扬声器、功放、话筒、智能AV管理主机）</w:t>
      </w:r>
      <w:r>
        <w:rPr>
          <w:rFonts w:hint="eastAsia" w:ascii="宋体" w:hAnsi="宋体" w:eastAsia="宋体" w:cs="宋体"/>
          <w:b w:val="0"/>
          <w:bCs/>
          <w:color w:val="000000"/>
          <w:sz w:val="24"/>
          <w:lang w:eastAsia="zh-CN"/>
        </w:rPr>
        <w:t>；</w:t>
      </w:r>
    </w:p>
    <w:p>
      <w:pPr>
        <w:spacing w:line="440" w:lineRule="exact"/>
        <w:ind w:firstLine="480" w:firstLineChars="200"/>
        <w:rPr>
          <w:rFonts w:hint="eastAsia" w:ascii="宋体" w:hAnsi="宋体" w:eastAsia="宋体" w:cs="宋体"/>
          <w:b w:val="0"/>
          <w:bCs/>
          <w:color w:val="000000"/>
          <w:sz w:val="24"/>
          <w:lang w:eastAsia="zh-CN"/>
        </w:rPr>
      </w:pPr>
      <w:r>
        <w:rPr>
          <w:rFonts w:hint="eastAsia" w:ascii="宋体" w:hAnsi="宋体" w:eastAsia="宋体" w:cs="宋体"/>
          <w:b w:val="0"/>
          <w:bCs/>
          <w:color w:val="000000"/>
          <w:sz w:val="24"/>
        </w:rPr>
        <w:t>UPS不间断电源系统（UPS主机、电池）</w:t>
      </w:r>
      <w:r>
        <w:rPr>
          <w:rFonts w:hint="eastAsia" w:ascii="宋体" w:hAnsi="宋体" w:eastAsia="宋体" w:cs="宋体"/>
          <w:b w:val="0"/>
          <w:bCs/>
          <w:color w:val="000000"/>
          <w:sz w:val="24"/>
          <w:lang w:eastAsia="zh-CN"/>
        </w:rPr>
        <w:t>。</w:t>
      </w:r>
    </w:p>
    <w:p>
      <w:pPr>
        <w:spacing w:line="44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1.2★为保障所投主要系统设备能顺利与公安系统对接，中标单位需在中标公告后7日内对所投的主要产品设备进行系统对接测试（测试证明由萧山区公安分局科技通信管理科出具）；满足投标参数并且可实现与平台对接的出具接入测试证明（投标人就该项内容在投标文件中作出书面承诺，未承诺的做无效投标处理）。</w:t>
      </w:r>
    </w:p>
    <w:p>
      <w:pPr>
        <w:spacing w:line="440" w:lineRule="exact"/>
        <w:ind w:firstLine="480" w:firstLineChars="200"/>
        <w:rPr>
          <w:rFonts w:hint="eastAsia" w:ascii="宋体" w:hAnsi="宋体" w:eastAsia="宋体" w:cs="宋体"/>
          <w:b w:val="0"/>
          <w:bCs/>
          <w:color w:val="000000"/>
          <w:sz w:val="24"/>
        </w:rPr>
      </w:pPr>
      <w:r>
        <w:rPr>
          <w:rFonts w:hint="eastAsia" w:ascii="宋体" w:hAnsi="宋体" w:eastAsia="宋体" w:cs="宋体"/>
          <w:b w:val="0"/>
          <w:bCs/>
          <w:color w:val="000000"/>
          <w:sz w:val="24"/>
          <w:lang w:val="en-US" w:eastAsia="zh-CN"/>
        </w:rPr>
        <w:t>1.3中标单位</w:t>
      </w:r>
      <w:r>
        <w:rPr>
          <w:rFonts w:hint="eastAsia" w:ascii="宋体" w:hAnsi="宋体" w:eastAsia="宋体" w:cs="宋体"/>
          <w:b w:val="0"/>
          <w:bCs/>
          <w:color w:val="000000"/>
          <w:sz w:val="24"/>
        </w:rPr>
        <w:t>接入测试不通过或中标单位不进行接入测试，采购人有权拒绝签订合同。</w:t>
      </w:r>
    </w:p>
    <w:p>
      <w:pPr>
        <w:spacing w:line="440" w:lineRule="exact"/>
        <w:ind w:firstLine="480" w:firstLineChars="200"/>
        <w:rPr>
          <w:rFonts w:hint="eastAsia" w:ascii="宋体" w:hAnsi="宋体" w:eastAsia="宋体" w:cs="宋体"/>
          <w:b w:val="0"/>
          <w:bCs/>
          <w:color w:val="000000"/>
          <w:sz w:val="24"/>
        </w:rPr>
      </w:pPr>
      <w:r>
        <w:rPr>
          <w:rFonts w:hint="eastAsia" w:ascii="宋体" w:hAnsi="宋体" w:eastAsia="宋体" w:cs="宋体"/>
          <w:b w:val="0"/>
          <w:bCs/>
          <w:color w:val="000000"/>
          <w:sz w:val="24"/>
        </w:rPr>
        <w:t>1.</w:t>
      </w:r>
      <w:r>
        <w:rPr>
          <w:rFonts w:hint="eastAsia" w:ascii="宋体" w:hAnsi="宋体" w:eastAsia="宋体" w:cs="宋体"/>
          <w:b w:val="0"/>
          <w:bCs/>
          <w:color w:val="000000"/>
          <w:sz w:val="24"/>
          <w:lang w:val="en-US" w:eastAsia="zh-CN"/>
        </w:rPr>
        <w:t>4</w:t>
      </w:r>
      <w:r>
        <w:rPr>
          <w:rFonts w:hint="eastAsia" w:ascii="宋体" w:hAnsi="宋体" w:eastAsia="宋体" w:cs="宋体"/>
          <w:b w:val="0"/>
          <w:bCs/>
          <w:color w:val="000000"/>
          <w:sz w:val="24"/>
        </w:rPr>
        <w:t>所有材料设备必须符合采购人要求，投标人在投标时应根据采购文件、要求明确</w:t>
      </w:r>
    </w:p>
    <w:p>
      <w:pPr>
        <w:spacing w:line="440" w:lineRule="exact"/>
        <w:rPr>
          <w:rFonts w:hint="eastAsia" w:ascii="宋体" w:hAnsi="宋体" w:eastAsia="宋体" w:cs="宋体"/>
          <w:b w:val="0"/>
          <w:bCs/>
          <w:color w:val="000000"/>
          <w:sz w:val="24"/>
        </w:rPr>
      </w:pPr>
      <w:r>
        <w:rPr>
          <w:rFonts w:hint="eastAsia" w:ascii="宋体" w:hAnsi="宋体" w:eastAsia="宋体" w:cs="宋体"/>
          <w:b w:val="0"/>
          <w:bCs/>
          <w:color w:val="000000"/>
          <w:sz w:val="24"/>
        </w:rPr>
        <w:t>规格型号和报价。采购人有推荐品牌/厂家的，投标人须在推荐品牌/厂家中选择其一或选择与其相当的其他品牌/厂家。如投标人选择其他品牌/厂家，则投标人应选择与招标人推荐品牌/厂家的参数性能相当的产品进行应标（并提供能反应设备的性能参数的相关明明文件）。</w:t>
      </w:r>
    </w:p>
    <w:p>
      <w:pPr>
        <w:spacing w:line="400" w:lineRule="exact"/>
        <w:ind w:firstLine="480" w:firstLineChars="200"/>
        <w:rPr>
          <w:rFonts w:hint="eastAsia" w:ascii="宋体" w:hAnsi="宋体"/>
          <w:color w:val="000000"/>
          <w:sz w:val="24"/>
          <w:lang w:eastAsia="zh-CN"/>
        </w:rPr>
      </w:pPr>
    </w:p>
    <w:p>
      <w:pPr>
        <w:spacing w:line="400" w:lineRule="exact"/>
        <w:ind w:firstLine="480" w:firstLineChars="200"/>
        <w:rPr>
          <w:rFonts w:hint="eastAsia" w:ascii="宋体" w:hAnsi="宋体"/>
          <w:color w:val="000000"/>
          <w:sz w:val="24"/>
          <w:lang w:eastAsia="zh-CN"/>
        </w:rPr>
      </w:pPr>
    </w:p>
    <w:p>
      <w:pPr>
        <w:spacing w:line="400" w:lineRule="exact"/>
        <w:ind w:firstLine="480" w:firstLineChars="200"/>
        <w:rPr>
          <w:rFonts w:hint="eastAsia" w:ascii="宋体" w:hAnsi="宋体"/>
          <w:color w:val="000000"/>
          <w:sz w:val="24"/>
          <w:lang w:eastAsia="zh-CN"/>
        </w:rPr>
      </w:pPr>
    </w:p>
    <w:p>
      <w:pPr>
        <w:spacing w:line="400" w:lineRule="exact"/>
        <w:ind w:firstLine="480" w:firstLineChars="200"/>
        <w:rPr>
          <w:rFonts w:hint="eastAsia" w:ascii="宋体" w:hAnsi="宋体"/>
          <w:color w:val="000000"/>
          <w:sz w:val="24"/>
          <w:lang w:eastAsia="zh-CN"/>
        </w:rPr>
        <w:sectPr>
          <w:footerReference r:id="rId8" w:type="first"/>
          <w:pgSz w:w="11906" w:h="16838"/>
          <w:pgMar w:top="1418" w:right="1286" w:bottom="1134" w:left="1418" w:header="851" w:footer="992" w:gutter="0"/>
          <w:pgNumType w:fmt="decimal"/>
          <w:cols w:space="720" w:num="1"/>
          <w:docGrid w:linePitch="312" w:charSpace="0"/>
        </w:sectPr>
      </w:pPr>
    </w:p>
    <w:tbl>
      <w:tblPr>
        <w:tblStyle w:val="31"/>
        <w:tblW w:w="0" w:type="auto"/>
        <w:tblInd w:w="0" w:type="dxa"/>
        <w:tblLayout w:type="fixed"/>
        <w:tblCellMar>
          <w:top w:w="0" w:type="dxa"/>
          <w:left w:w="108" w:type="dxa"/>
          <w:bottom w:w="0" w:type="dxa"/>
          <w:right w:w="108" w:type="dxa"/>
        </w:tblCellMar>
      </w:tblPr>
      <w:tblGrid>
        <w:gridCol w:w="655"/>
        <w:gridCol w:w="1865"/>
        <w:gridCol w:w="7035"/>
        <w:gridCol w:w="675"/>
        <w:gridCol w:w="735"/>
        <w:gridCol w:w="795"/>
        <w:gridCol w:w="1612"/>
        <w:gridCol w:w="802"/>
      </w:tblGrid>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名称</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规格型号与参数</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数量</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备注</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推荐品牌</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是否为核心</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w:t>
            </w:r>
          </w:p>
        </w:tc>
        <w:tc>
          <w:tcPr>
            <w:tcW w:w="13519"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一、内部监控系统</w:t>
            </w:r>
          </w:p>
        </w:tc>
      </w:tr>
      <w:tr>
        <w:tblPrEx>
          <w:tblCellMar>
            <w:top w:w="0" w:type="dxa"/>
            <w:left w:w="108" w:type="dxa"/>
            <w:bottom w:w="0" w:type="dxa"/>
            <w:right w:w="108" w:type="dxa"/>
          </w:tblCellMar>
        </w:tblPrEx>
        <w:trPr>
          <w:trHeight w:val="2475"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200万H.265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红外半球内置拾音器摄像机</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采用星光级超低照度200万1/2.8英寸CMOS图像传感器，低照度效果好，图像清晰度高</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最大可输出200万（1920x1080）@30fps</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支持Smart H.265/H.264H智能编码，ROI区域增强，SVC自适应编码，适用不同带宽和存储环境</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最大红外监控距离50米，支持SmartIR，自动调整红外远近补光及画面均匀性</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 xml:space="preserve">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支持走廊模式，宽动态，3D降噪，强光抑制，背光补偿，数字水印，适用不同监控环境</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支持多种异常检测，网络断开，IP冲突，非法访问，电压异常报警</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支持多种智能功能，区域入侵，绊线入侵，物品遗留，物品搬移，场景变更，人脸检测，人员聚集，徘徊检测，快速移动，停车检测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支持DC12V/POE供电方式，宽压设计</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支持内置MIC</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支持IP67防护等级，防浪涌，防静电，防雷设计</w:t>
            </w:r>
            <w:r>
              <w:rPr>
                <w:rFonts w:hint="eastAsia" w:ascii="宋体" w:hAnsi="宋体" w:cs="宋体"/>
                <w:color w:val="000000"/>
                <w:kern w:val="0"/>
                <w:sz w:val="18"/>
                <w:szCs w:val="18"/>
                <w:lang w:eastAsia="zh-CN"/>
              </w:rPr>
              <w:t>。</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53</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需无缝接入到萧山公安内部监控平台</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200万H.265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红外半球内置拾音器电动变焦摄像机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传感器类型 1/2.7英寸CMOS</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镜头焦距 2.7mm~12mm 变焦类型 电动</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音频输入 一路MIC IN;内置MIC</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在1920x1080 @ 30fps下，码率设定为2Mbps，RJ45输出，清晰度不小于1100TVL。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最低照度彩色：0.001 lx，黑白：0.0001 lx。（投标文件中需提供公安部型式检验报告证明资料复印件）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支持H.265、H.264、MJPEG视频编码格式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支持三码流技术，主码流最高1920x1080@30fps，第三码流最大1920x1080 @ 30fps，子码流704x480@30fps。（投标文件中需提供公安部型式检验报告证明资料复印件）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支持帧率动态控制功能，当触发报警时，视频录像帧率应自动调整至设定值。</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需具不小于105dB宽动态。（投标文件中需提供公安部型式检验报告证明资料复印件）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在IE浏览器下，具有亮度，对比度，饱和度，锐度，gamma设置选项</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支持12行字符叠加，字体对齐方式和叠加位置可设，具有图片叠加到视频画面功能。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支持区域遮盖功能，并能支持8块区域。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支持IP地址获取、IP地址搜索功能。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具有黑白名单功能，支持MAC地址过滤功能。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具有电子防抖、感兴趣区域、SVC可伸缩编码、自动增益、背光补偿、数字降噪、强光抑制、智能红外、断电保护、用户管理、用户登录锁定、日志检索、配置保存等功能。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具有辅助聚焦值显示、场景自适应、区域聚焦、区域曝光、人脸区域曝光等功能。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摄像机能够在-40~70摄氏度，湿度小于93%环境下稳定工作。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在音频编码格式设置为PCM、G711、AAC时，采样频率可设置为48KHz。（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支持IP67、IK10防护等级（投标文件中需提供公安部型式检验报告证明资料复印件）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支持DC12V、AC24V供电，电源电压在DC12V±30%或AC24V±30%范围内变化时设备可以正常工作。（投标文件中需提供公安部型式检验报告证明资料复印件）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红外灯开启时，样机可根据被摄物的距离自动调节红外光功率密度（公安部检验报告证明）</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需无缝接入到萧山公安内部监控平台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7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200万H.265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红外枪机变焦摄像机</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传感器类型 1/2.7英寸CMOS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镜头焦距 2.7mm~12mm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音频输入 一路MIC IN;内置MIC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在1920x1080 @ 30fps下，码率设定为2Mbps，RJ45输出，清晰度不小于1100TVL。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最低照度彩色：0.002 lx，黑白：0.0002 lx。</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支持H.265、H.264、MJPEG视频编码格式，其中H.264、H.265支持Baseline/Main/High Profile。</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支持三码流技术，主码流最高1920x1080@30fps，第三码流最大1920x1080 @ 30fps，子码流704x480@30fps。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需具不小于105dB宽动态。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在IE浏览器下，具有亮度，对比度，饱和度，锐度，gamma设置选项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支持12行字符叠加，字体对齐方式和叠加位置可设，具有图片叠加到视频画面功能。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支持IP地址获取、IP地址搜索功能。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具有黑白名单功能，支持MAC地址过滤功能。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具有电子防抖、感兴趣区域、SVC可伸缩编码、自动增益、背光补偿、数字降噪、强光抑制、智能红外、断电保护、用户管理、用户登录锁定、日志检索、配置保存等功能。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具有辅助聚焦值显示、场景自适应、区域聚焦、区域曝光、人脸区域曝光等功能。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摄像机能够在-40~70摄氏度，湿度小于93%环境下稳定工作。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在音频编码格式设置为PCM、G711、AAC时，采样频率可设置为48KHz。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支持IP67、IK10防护等级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支持DC12V、AC24V供电，电源电压在DC12V±30%或AC24V±30%范围内变化时设备可以正常工作。</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33</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需无缝接入到萧山公安内部监控平台</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1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高点监控</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200万像素；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摄像机靶面尺寸不小于1/1.8英寸；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支持30倍率，16倍数字变倍；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焦距：6mm～180mm（30倍）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支持3种滤光片自动切换，支持白天、夜晚、有雾的情况下成像；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设备接口：1个RJ45、1个RS485、1路音频输入、1路音频输出、7路报警输入、2路报警输出、1路CVBS、1个SD卡槽（以公安部型式检验报告为准）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智能分析行为如区域入侵、停车、越界入侵、人员聚集、进入区域、离开区域、快速移动、物品移除、物品遗留、徘徊、监控区域内出现人脸、攀高、平躺起身、离岗达到设定的阈值时，可通过客户端软件或IE浏览器给出报警提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红外开启可以识别1200m处的人体轮廓（以公安部型式检验报告为准）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视频输出支持1920×1200@60fps，1920×1080@60fps，1280×960@60fps，1280×720@60fps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分辨率设置为1920×1200，帧率设置为25帧、码率设置为4Mbps、RJ45输出，分辨力不小于1200TVL（以公安部型式检验报告为准）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电源具备较好的环境适应性，电压在AC24V±55%范围内变化时，设备可正常工作；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支持水平手控最大速度不小于1000°/S，最小速度不大于0.1°/S；（以公安部型式检验报告为准）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云台定位准确度≤0.01°；（以公安部型式检验报告为准）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支持宽动态不低于106dB，且综合得分135分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照度适应范围不小于145dB（以公安部型式检验报告为准）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支持2048条巡航路径，每条巡航可以添加128个预置点;支持一键巡航功能（以公安部型式检验报告为准）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支持2048条模式路径，每条路径的记录时间应大于16分钟（以公安部型式检验报告为准）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支持在监视画面上设置48块遮盖区域,可设置多边形、不同的颜色，每个场景最多支持8块（以公安部型式检验报告为准）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在视频图像上叠加通道名称、时间、预置点信息、坐标信息、倍数显示、人数进入和离开统计、温度显示等信息，具有45行字符显示，字体可设置为最大、大、中、小，字体颜色可设置（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球机应具备本地存储功能，支持SD卡热插拔，最大为256GB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信噪比支持不小于65dB（以公安部型式检验报告为准）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在网络直接环境下，只输出主码流、分辨率设置为1920*1080、帧率设置为25fps、码率2M时，网络延时≤75 ms（以公安部型式检验报告为准）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具备较好的环境适应性，工作温度范围可达-50℃-80℃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支持IP67，TVS 15KV防雷、防浪涌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设备垂直手控最大旋转速度不小于240°/s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设备垂直旋转范围应达到 -35°~90°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支持最低照度可达彩色0.0002Lux，黑白0.0001Lux</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音频输入模式支持Lic in、Mic in和立体声；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视频编码方式支持H.265、H.264、MPEG4、MJPEG；并可将H.264格式设置为Baseline/Main/High Profile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网络传输能力满足设备与客户端之间用400m五类非屏蔽网线直接连接，发送3000个数据包，重复测试3次，每次丢包数≤1个（公安部检测报告体现）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在丢包率设置为35%的网络环境下，可显示监视画面不卡顿 （公安部检测报告体现）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支持道路信息设置，最大设置24个路口信息，每个路口最多设置24个路名，道路信息可随球机转动变化显示（公安部检测报告体现）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支持集中布控功能，设备能够响应平台下发的集中布控命令，调整方向至目标位置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支持可视域信息上传功能，即可响应平台下发的指令，上报设备视场角、可视距离、安装位置、镜头指向方位，其中设备视场角、可视距离能够随着倍率变化。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备BDS定位和GPS定位，设备具备GPS定位功能，参与定位的卫星数量为10颗，水平定位精度北斗不大于3.67m，GPS水平定位不大于0.402米，，热启动定位时间不大于3秒，并能在监控画面叠加设备所在的经纬度信息。设备可通过电子罗盘在监视画面上叠加样机镜头当前指向方位和角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车辆捕获率白天不小于98.3%，车辆捕获率晚上不小于93.3%，支持车牌识别白天/晚上都不小于99%，同时可在视频图像上叠加监视点编号、监测点信息、摄像机编号、抓拍时间、车牌号码、车标信息、车辆类型、场景名称、场景编号等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支持非机动车抓拍，可对单辆自行车、电瓶车、摩托车、三轮车进行抓拍，支持行人抓拍</w:t>
            </w:r>
            <w:r>
              <w:rPr>
                <w:rFonts w:hint="eastAsia" w:ascii="宋体" w:hAnsi="宋体" w:cs="宋体"/>
                <w:color w:val="000000"/>
                <w:kern w:val="0"/>
                <w:sz w:val="18"/>
                <w:szCs w:val="18"/>
                <w:lang w:eastAsia="zh-CN"/>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需无缝接入到萧山公安内部监控平台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200万高清网络人脸枪机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摄像机内置靶面尺寸为1/1.8"。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镜头支持自动变焦、自动调节光圈及ABF按键一键聚焦功能。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在1920x1080 @25fps下，码率设定为1Mbps，RJ45输出，清晰度不小于1100TVL。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最低照度彩色：0.0002 lx，黑白：0.0001 lx。（公安部型式检验报告证明）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支持滤光片切换功能，摄像机可在白天、夜晚模式下自动切换滤光片。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支持H.264、H.265、MJPEG视频编码格式，其中H.265和H.264都支持Baseline/Main/High Profile。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支持五码流技术，五码流可同时输出，主码流最大1920x1080@60fps，子码流最大704x480@60fps，第三码流最大1920x1080 @60fps，第四码流最大704x480@60fps，第五码流最大1920x1080 @60fps。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支持帧率动态控制功能，当触发报警时，视频录像帧率应自动调整至设定值。（公安部型式检验报告证明）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支持智能编码功能，摄像机开启智能编码后，码流节降至原来的1/5。（公安部型式检验报告证明）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信噪比不小于65.2dB。（公安部型式检验报告证明）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设备与客户端之间用150米网线进行传输，每次在客户端连续发送3000个数据包，每次丢包数应小于1个。（公安部型式检验报告证明）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支持IP地址获取和IP地址搜索功能。（公安部型式检验报告证明）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支持ARP网关绑定功能。（公安部型式检验报告证明）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支持信息标记功能，可通过画笔在IE浏览器下进行标记。（公安部型式检验报告证明）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支持焦距自动归为功能，当焦距位置发生变化时，可自动调节焦距到预设位置。（公安部型式检验报告证明）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支持人员特征显示功能，可在客户端软件显示监视区域内人员的性别、年龄段、面部表情和是否戴眼镜。（公安部型式检验报告证明）。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支持人脸属性识别功能，可支持年龄、性别、戴眼镜、表情、魅力值、胡子、口罩等多种属性识别。（公安部型式检验报告证明）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支持多种肤色人脸检测，可支持检测白人、黄种人、黑人。（公安部型式检验报告证明）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支持人脸抓拍功能检验，人脸抠图类型支持人脸、单寸照、全身照、半身照可选。（公安部型式检验报告证明）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支持人脸抓拍与识别实时展示功能，支持人脸抓拍、人脸属性识别、比对结果可在浏览器web界面实时展示。（公安部型式检验报告证明）（-FR型号支持）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支持人脸优先功能，可通过菜单开启或关闭人脸优选功能，当开启人脸优先功能后，能够挑选出最好的一张人脸进行抓拍。（公安部型式检验报告证明）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支持人脸遮挡功能检查，支持检出齐刘海遮挡眉毛、头发遮挡眼镜、戴普通眼镜、戴墨镜、戴彩色眼镜、戴帽子、戴头戴式耳机、半边脸、戴口罩、戴口罩侧脸等遮挡方式人脸。（公安部型式检验报告证明）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人脸抓拍率不低于95%（公安部型式检验报告证明）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支持DC12V电源输出。（公安部型式检验报告证明）</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需接入萧山公安现有人脸大数据平台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0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高清镜头</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聚焦方式 ：手动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光圈孔径 ：F1.6</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最小物距 ：0.3m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像面尺寸 ：1/1.8″</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接口方式 ：C接口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红外功能 ：支持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定/变焦 ：变焦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光圈驱动方式 ：DC-iris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镜头焦距 ：4-18mm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护罩</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视窗尺寸为φ68mm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采用铝合金材质，不易生锈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重量为4.0Kg</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采用侧开打开方式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支持最大300mm（L）×97mm（W）×90mm（H）安装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支持自动加热散热功能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支持白光补光功能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适用IPC、同轴各种标枪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支持平面装安装方式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支持IP66防护等级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支持温度范围在-40℃~+60℃，湿度≤90%的环境下工作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支持AC24V电压供电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支持47W额定功耗</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2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H265高清NVR录像机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最大可接入8块接口为SATA的硬盘，单硬盘容量支持最大支持10TB，并支持SSD固态硬盘。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可以对主码流、子码流码分别或同时进行录像；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可分别对三码流控制录像，编码配置支持三码流可选，预览支持三码流切换；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支持盘组管理，可创建容量不同的数据 存储空间，对不同通道分配不同的存储空间， 可查看盘组容量。可设置盘组为“只读”、“可读写”模式；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支持配额管理，对同一通道主码流、辅码流、图片分配到不同的盘组中。"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即时回放：即时回放时间从5min到2h 可调；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支持将IPC接入配置以CSV格式文件导入或导出本机，CSV格式文件允许用户编辑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支持对同一型号的前端IPC远程批量添加、设备IP修改、设备升级，支持IPC校时，并可查看IPC版本信息；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支持远程对IPC的编码配置修改，可以 设置分辨率、码率、字符叠加、抓图设置等。"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支持对指定时间的录像进行标签并归 档，便于后续查看，支持4096个标签。单个文件最大支持256个标签。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支持NVR本地与IPC双向语音对讲功能； 支持客户端和NVR本地双向语音对讲功能； 支持客户端与ipc双向语音对讲。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可创建不同用户的权限组，可分配不同 用户权限（最大支持20个用户组及64个用户）；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用户首次登录时，提示修改管理员密 码，密码字符长度最大支持32位，支持提 示问题密码找回；</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每个用户在登入设备时，每次输错密码均会提示剩余密码输入次数，到达输错次数时，账户将被锁定。可以设置密码设置输错次数，对操作权限密码进行管理。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支持用户屏蔽功能，被屏蔽的用户在设定时间内将无法访问设备。"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支持录像回放声音控制，可打开、关闭声音并调节音量，可手动开启停止所有通道录像。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支持在时间轴上鼠标滚轮可控制切换：24小时，12小时，1小时，30min的切换。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支持回放录像剪辑功能，可对录像文件设置时间段进行剪辑"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添加设备过程可以开启IP过滤使能功能，已添加的设备自动过滤</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当NVR收到报警联动触发信号时，应能启动设备相应的通道进行联动记录。设备应能预录报警触发前最600s的视(音)频。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支持P2P服务器功能，通过P2P服务器远程对存储服务器进行图像实时监看及录像回放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完全自主产品，不接受OEM或联合品牌产品，要求提供5个以上网络存储相关软件著作权和10个以上专利证书；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提供3C、CQC、公安部检测报告、公安部GB/T28181检测报告，并加盖原厂公章；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产品要求入围最新的节能产品政府采购清单（第二十一期），需提供查询网址或清单截图证明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需无缝接入到萧山公安内部监控平台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5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企业级存储硬盘</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硬盘容量：6TB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接口类型：SATA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接口速率：6Gb/s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缓存：&gt;200MB 提供测试报告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盘体尺寸：3.5英寸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转速：7200转/分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平均无故障时间140万小时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希捷、西数、三星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集中供电箱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一体化集中监控供电电源箱，AC22V输入、6组DC12V12A输出，含空开及接线端子</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平台录入及推送</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监控推送至萧山公安智慧监控共享平台与萧山公安内部监控平台对接工作，满足业务应用需求</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24盘位云存储节点 </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 支持多用户ACL访问权限控制，文件目录支持私有、只读共享、完全共享三种权限；支持用户和目录级别配额管理，灵活控制用户的存储空间使用。支持录像业务级别按空间、时间的循环覆盖；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 支持对象存储，采用分布式文件系统，支持文件存储，采用纠删码或者多副本技术，读写过程不产生索引数据，不存在单独索引盘；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支持集群容灾，在至少80%磁盘利用率下，最大容忍M台（N+M可设，比如：4+1，8+2，16+4等）节点同时故障（网络故障、断点、节点硬盘全部故障等情况），历史数据不丢失，数据全部完整，业务不中断；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具备节点间容错能力下，容忍大于4台节点同时故障后，只要有1台以上节点正常，即可保证录像可写入，写入录像依然具备磁盘间容错能力；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支持在不需要任何平台情况下，支持直接在云存储系统上进行前端添加、删除，配置录像存储路径、录像配额，录像计划下发，支持视频录像检索、回放转发、直播等集成视频功能；支持手动控制开启录像；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在一套云存储系统中，单硬盘损坏时，数据恢复速度大于3.5TB/分钟；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 在一套云存储系统中,存储设备故障时,数据恢复速度大于17TB/分钟；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 支持时间轴展示智能目标密度，支持随着时间轴缩放动态展示目标密度；支持智能目标连续跳跃播放，支持智能目标逐帧正放，逐帧倒放，倍速播放，倒放；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 支持通道缩略图和结构树列表展示，支持通道缩略图动态更新，支持通道列表动态加载，支持通道收藏功能；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 支持运维系统主备部署，主节点故障时自动进行主备切换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 支持云存储系统中内嵌智能和大数据分析功能；支持视频流实时结构化，海量摘要分析及查询等功能，无需单独智能服务器；智能模块支持集群部署，具有负载均衡、集群容灾、性能线性提升、横向扩展等集群特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 单台物理设备可自定义部署多个微服务，包括流媒体接入服务，流媒体转发服务，录像存储服务、智能分析服务和数据库服务等；支持微服务能力秒级动态调整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13.具有1个管理口、4个千兆口、2个万兆口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在现有内部监控云平台基础上进行扩容、需与原平台完全兼容；要求摄像机、录像机、云存储为同一品牌</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安装在分局，在现有内部监控云存储平台基础上进行扩容、需与原平台完全兼容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企业级存储硬盘</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希捷Constellation ES.3企业级4TB ST4000NM0035 7200转</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企业存储级硬盘 7200转／128M／SATA／6Gb/秒</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希捷、西数、三星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万兆光模块</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SFP+,10GBase-SR万兆光模块,850纳米,多模300米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华为、华三、中兴</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配套跳纤</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万兆多模光纤跳纤 LC-LC接口 5米</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摄像机立杆</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直经144MM，高度根据现场定制2.5米-4米 跳0.6~1米左右</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17</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摄像机立杆</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直经144MM，高度根据现场定制1.5米 跳1米左右</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不锈钢设备箱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400*250*300mm，不锈钢材质，厚度3mm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工业以太网光端机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前端一光四电工业以太网设备-1个百兆光口-4个百兆电口-钉轨式-SC单模单纤-20KM（配中心光模块）</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中威电子、华为、华三</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24光4电二层工业交换机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二十四光四电以太网设备-24个百兆光口-4个千兆电口-导轨式-SC单模单纤-20KM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中威电子、华为、华三</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w:t>
            </w:r>
          </w:p>
        </w:tc>
        <w:tc>
          <w:tcPr>
            <w:tcW w:w="1351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二、高清审讯系统　</w:t>
            </w:r>
          </w:p>
        </w:tc>
      </w:tr>
      <w:tr>
        <w:tblPrEx>
          <w:tblCellMar>
            <w:top w:w="0" w:type="dxa"/>
            <w:left w:w="108" w:type="dxa"/>
            <w:bottom w:w="0" w:type="dxa"/>
            <w:right w:w="108" w:type="dxa"/>
          </w:tblCellMar>
        </w:tblPrEx>
        <w:trPr>
          <w:trHeight w:val="74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200万H.265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红外半球内置拾音器摄像机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传感器类型 1/2.7英寸CMOS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镜头焦距 2.7mm~12mm 变焦类型 电动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音频输入 一路MIC IN;内置MIC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在1920x1080 @ 30fps下，码率设定为2Mbps，RJ45输出，清晰度不小于1100TVL。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最低照度彩色：0.001 lx，黑白：0.0001 lx。（投标文件中需提供公安部型式检验报告证明资料复印件）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支持H.265、H.264、MJPEG视频编码格式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支持三码流技术，主码流最高1920x1080@30fps，第三码流最大1920x1080 @ 30fps，子码流704x480@30fps。（投标文件中需提供公安部型式检验报告证明资料复印件）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支持帧率动态控制功能，当触发报警时，视频录像帧率应自动调整至设定值。</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需具不小于105dB宽动态。（投标文件中需提供公安部型式检验报告证明资料复印件）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在IE浏览器下，具有亮度，对比度，饱和度，锐度，gamma设置选项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支持12行字符叠加，字体对齐方式和叠加位置可设，具有图片叠加到视频画面功能。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支持区域遮盖功能，并能支持8块区域。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支持IP地址获取、IP地址搜索功能。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具有黑白名单功能，支持MAC地址过滤功能。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具有电子防抖、感兴趣区域、SVC可伸缩编码、自动增益、背光补偿、数字降噪、强光抑制、智能红外、断电保护、用户管理、用户登录锁定、日志检索、配置保存等功能。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具有辅助聚焦值显示、场景自适应、区域聚焦、区域曝光、人脸区域曝光等功能。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摄像机能够在-40~70摄氏度，湿度小于93%环境下稳定工作。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在音频编码格式设置为PCM、G711、AAC时，采样频率可设置为48KHz。（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支持IP67、IK10防护等级（投标文件中需提供公安部型式检验报告证明资料复印件）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支持DC12V、AC24V供电，电源电压在DC12V±30%或AC24V±30%范围内变化时设备可以正常工作。（投标文件中需提供公安部型式检验报告证明资料复印件）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红外灯开启时，样机可根据被摄物的距离自动调节红外光功率密度（公安部检验报告证明）</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拾音器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音频传输距离:3000米；灵敏度:-40dB；信噪比:70dB；频率响应:20Hz~20k Hz；电源电压:直流稳压电源DC 12V(9V-18V)；电源电流: 20mA；工作环境温度: -25℃~70℃；</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艾力特/新安宝/思正</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2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温湿度显示屏        </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600X400X50mm，壁挂式安装，可视距离25米，按钮调整：温度±10 ℃， 湿度±10％，AC100V-260V15W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高精度温湿度传感器，采用美国MAXIM原装传感器。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符合ModBus标准通信协议，方便接入第三方平台。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使用485接口通讯，适合大部分使用环境。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使用大屏红色LED来显示时间和温湿度信息，直观简洁。</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高清审讯主机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主处理器 工业级嵌入式微控制器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操作系统 嵌入式Linux实时操作系统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图像 图像压缩标准 H.264（解码支持H.264和MPEG4）</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图像分辨率 支持1080P、720P、D1、VGA、CIF、QCIF图像分辨率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画中画 支持1、2、3、4路画中画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硬盘 硬盘个数 内置2个sata接口，可挂接1-2个硬盘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网络接口 2个RJ45 10M/100M/1000M自适应以太网口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光驱 内置2个DVD或者蓝光光驱，可进行双光盘同时刻录和轮流刻录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尺 寸 宽390×高145×长295(mm)（不包括前、后面板凸出的接口尺寸）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符合高检统一标准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多光盘实时刻录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重点信息标示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支持DVD或蓝光光驱刻录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卷宗信息叠加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画中画功能成熟应用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温湿度信息叠加，清晰显示</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需无缝接入到萧山公安内部审讯平台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大华/索尼/三星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5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企业级存储硬盘</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硬盘容量：6TB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接口类型：SATA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接口速率：6Gb/s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缓存：&gt;200MB 提供测试报告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盘体尺寸：3.5英寸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转速：7200转/分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平均无故障时间140万小时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希捷、西数、三星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有线耳机</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支持3.5MM立体声音频输出，支持MIC输入</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审讯机柜</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600*600*1600  喷塑定制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集中供电箱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一体化标准机架林集中监控供电电源，AC22V输入、6组DC12V12A输出，含空开及接线端子</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35</w:t>
            </w:r>
          </w:p>
        </w:tc>
        <w:tc>
          <w:tcPr>
            <w:tcW w:w="1351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三、智能网络系统　</w:t>
            </w:r>
          </w:p>
        </w:tc>
      </w:tr>
      <w:tr>
        <w:tblPrEx>
          <w:tblCellMar>
            <w:top w:w="0" w:type="dxa"/>
            <w:left w:w="108" w:type="dxa"/>
            <w:bottom w:w="0" w:type="dxa"/>
            <w:right w:w="108" w:type="dxa"/>
          </w:tblCellMar>
        </w:tblPrEx>
        <w:trPr>
          <w:trHeight w:val="13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公安网千兆网管交换机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传输速率 10/100/1000Mbps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背板带宽 336Gbps/2.56Tbps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包转发率 87Mbps/144Mbps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MAC地址表 16K</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端口数量 52个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端口描述 48个10/100/1000Base-T以太网端口，4个千兆SFP</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华为/华三/思科</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8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物联网千兆网管交换机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传输速率 10/100/1000Mbps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背板带宽 336Gbps/2.56Tbps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包转发率 87Mbps/144Mbps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MAC地址表 16K</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端口数量 52个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端口描述 48个10/100/1000Base-T以太网端口，4个千兆SFP</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华为/华三/思科</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31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38</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外网交换机</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智能交换机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应用层级二层具备网管功能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传输速率10/100Mbps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交换方式存储-转发 背板带宽32Gbps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端口描述24个10/100Base-TX端口，2个千兆Combo口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传输模式全双工/半双工自适应</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网络标准IEEE 802.3，IEEE 802.3u，IEEE 802.3ab，IEEE 802.3z，IEEE 802.3x，IEEE 802.1Q，IEEE 802.1d，IEEE 802.1X</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电源电压AC 100-240V，50-60Hz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电源功率＜15.5W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支持捆绑端口的组播负载分担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支持SNMPv1/v2/v3</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支持eSight网管系统、支持WEB网管特性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支持SSH V2.0 TELNET</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华为/华三/思科</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44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外网路由器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路由器类型企业级路由器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网络协议PPP CHAP，PAP，MS-CHAP，PPPoE，DHCP客户端，DHCP服务器，NAPT，NTP，DDNS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传输速率10/100/1000Mbps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广域网接口1个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局域网接口8个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其它端口1个USB接口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1个Console口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功能参数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防火墙内置防火墙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Qos支持支持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VPN支持支持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网络安全静态ARP(IP&lt;-&gt;MAC地址绑定)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DHCP授权ARP(自动绑定DHCP分配的IP)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ARP防攻击/免费ARP</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防止TCP syn扫描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防止Stealth FIN扫描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防止TCP Xmas Tree扫描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防止TCP Null扫描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防止UDP扫描功能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防止Land 攻击功能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防止Smurf攻击功能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防止Wi</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网络管理基于Web的用户管理接口(远程管理/本地管理)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SNMP V1/V2/V3</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电源电压AC 100-240V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电源功率＜20W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产品认证CCC认证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产品尺寸330×230×4mm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其它特点上网行为管理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华为/华三/思科</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千兆SFP光模块</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SFP-GE-LX-SM1310 千兆单模光纤模块 10KM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华为/华三/思科</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31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服务器机柜</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标准:符合ANSI/EIA RS-310-D、IEC297-2、DIN41494；PART1、DIN41494;PART7、GB/T3047.2-92；兼容ETSI标准。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前后带圆形通风孔门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单开钣金后门；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网孔通风率为75%；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前后门免焊加强筋结构，美观牢固；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前后门满足左右开；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前后门可改为双开。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承载:静载800KG(带支架)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防护等级:IP20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主要材料:方孔条与安装梁：耐指纹敷铝锌板；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SPCC优质冷轧板；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配标垂直走线槽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尺寸：深度600*宽度600*高度2000</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图腾/建云/DELL</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PDU</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20位多用孔PDU电源 SPD防雷机柜电源插座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标配：3米6平方国标线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标配：32A工业连接器，含子母头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标配：20位10A国标3孔插座、含防雷模块</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接地导线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BVR6  铜芯电线多芯软铜线 黄绿双色</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300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接地网排</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在机房及监控室静电地板下布设环型防雷接地网铜排系统</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防雷接地</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在地下连续打入不少于5根、1.5米深的接地桩子相连，使接地电阻 ≤1Ω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网格桥架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网格型弱点上桥架，高100M、宽500MM、含吊加，各类连接件、下线护板</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机柜配线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含每机柜1路市电+1路UPS供电+3*4平方+1*2.5平方</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5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无线控制器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自动发现并统一管理AP，最多可管理300个AP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AC旁挂组网，无需更改现有网络架构，部署方便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统一配置无线网络，支持SSID与Tag VLAN映射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支持MAC认证、Portal认证、微信连Wi-Fi等多种用户接入认证方式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支持AP负载均衡，均匀分配AP连接的无线客户端数量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禁止弱信号客户端接入和踢除弱信号客户端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AP LED灯开启和关闭</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华为/华三/TP-Link</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8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49</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双频无线吸顶式AP</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11AC双频并发，最高无线速率可达1167Mbps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无线发射功率线性可调，根据需求调整信号覆盖范围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专业双频天线，提升覆盖区域信号质量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频谱导航，引导双频客户端优先连接到5GHz频段上，使2.4GHz和5GHz两个频段负载更均衡，保障网络性能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简易吸顶式安装，支持802.3af/at标准PoE、12VDC两种供电方式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胖瘦一体，不同环境选择不同工作模式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独立硬件保护电路，可自动恢复工作异常AP</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华为/华三/TP-Link</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0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企业VPN路由器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双核CPU，256MB DDRIII高速内存，性能强劲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5个千兆网口，1WAN+3WAN/LAN+1LAN</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IPSec/PPTP/L2TP VPN，远程通信更安全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Web认证、微信连Wi-Fi、PPPoE服务器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上网行为管理（移动APP管控/桌面应用管控/网站过滤/行为审计）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内置AC功能，统一管理TP-LINK企业AP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负载均衡与线路备份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内外网ARP防护及常见攻击防护</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智能IP带宽管理及连接数限制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华为/华三/TP-Link</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集中供电箱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一体化集中监控供电电源箱，AC22V输入、6组DC12V12A输出，含空开及接线端子</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公安网专用跳线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公安网专用安全套件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150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55</w:t>
            </w:r>
          </w:p>
        </w:tc>
        <w:tc>
          <w:tcPr>
            <w:tcW w:w="1351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四、智能一卡通系统　</w:t>
            </w:r>
          </w:p>
        </w:tc>
      </w:tr>
      <w:tr>
        <w:tblPrEx>
          <w:tblCellMar>
            <w:top w:w="0" w:type="dxa"/>
            <w:left w:w="108" w:type="dxa"/>
            <w:bottom w:w="0" w:type="dxa"/>
            <w:right w:w="108" w:type="dxa"/>
          </w:tblCellMar>
        </w:tblPrEx>
        <w:trPr>
          <w:trHeight w:val="41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56</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人脸识别门禁</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★5寸电容触摸屏。设备应能显示时间、日期、星期，及刷卡时显示工号、用户名、用户照片等信息。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设备应具有中文语音提示功能。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刷卡（人脸）时，设备可抓拍图片，并实时显示在显示屏上。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抓拍图片可叠加显示卡号、用户名字等用户信息。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有以下接口类型及相应数量：TCP/IP接口（支持10M/100Mbps，网速自适应）1个；WIFI接口1个；RS485通讯接口1个；Wiegand通讯接口1个；USB2.0接口1个；报警输入接口2个；门磁输入接口1个；开门按钮接口1个；电锁输出接口1个；报警输出接口1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系统能将出入目标的识别信息及载体授权为钥匙，并记录于系统中，应能设定目标的出入授权，即：何时、何出入目标、可出入何出入口、可出入的次数和通行的方向等权限。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在网络系统中，除授权、查询、集中报警、异地核准控制等管理功能外，对所要求的功能均不应依赖中央管理机是否工作。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系统应能对门的开启方式，卡（人脸、密码）的各种使用权限进行组合设置，实现不同场景的权限管理：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反潜回（防跟随）功能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认证方式：人脸识别、刷卡、密码，支持上述任意一种、任意两组组合、任意三组组合认证开门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设备应支持人脸识别模式1:1模式和1：N模式；人脸识别速度应≤1S；支持3000张人脸容量。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设备支持人脸真人检测，只有当人脸识别后并检测为真人时，整体认证才能通过。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设备可通过RS485协议或wiegand接口外接副读卡器，实现进出双向刷卡功能。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设备具有门禁一体机和门禁读卡器两种工作模式：一体机模式下，可直接控制门开关；读卡器模式下，可通过wiegand协议接入门禁主机，通过门禁主机控制门开关。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系统应具有手动或自动校时功能。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系统及各主要组成部分应有表明其工作正常的自检功能。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系统应支持最多5000张卡片管理；3000张人脸容量；支持最多10万条事件存储。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系统应具有应急开启的方法。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系统软件应具有看门狗检测功能。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设备应具有2路入侵探测接口，能联动报警输出。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设备应支持在线升级功能和本地U盘升级功能。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设备应具备防拆功能，强力拆除时，可上传报警时间到中心。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根据设定事件的联动关系，当检测到该事件发生时，可触发对应的动作。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设备应支持可通过RS485接入安全门控模块，安全门控模块可以接入电控锁，在主机被恶意破坏的情况下，门不被打开；</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22</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需接入到萧山公安现有一卡通平台</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海康/霍尼韦尔/三星</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电子感应开门按钮</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尺寸：长86x宽86x厚32(mm)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结构：塑料面板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性能：最大耐电流6a 电压250v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输出：常开或常闭</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6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闭门器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材质 铸铝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调节区间 2段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可调力度与否 可调力度</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59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电动灵性锁</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具有上电自检功能，可自动正确处理断电到上电过程中引起的误上锁或误开锁动作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电信号触发开锁时，蜂鸣一声，自动开锁。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开锁后，允许门处于虚掩状态一段时间。（注：开锁时间视客户需求，可提供1S、3S、6S、9S可调功能）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支持双钥匙孔，机械钥匙上/开锁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上/开锁受阻时能够智能判断处理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能够自动处理误上锁，门处于敞开状态，用旋钮开关使锁舌伸出时可自动回缩，保证关门时锁舌不与门框碰撞</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具有故障报警提示功能，若内部挡光片不起作用时，上/开锁过程锁舌将动作5次，蜂鸣5次，最后再报警长鸣9S，9S后可自动上/开锁（不影响锁体状态）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支持锁状态反馈输出</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海康/霍尼韦尔/三星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8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卡片发卡器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符合ISO14443、ISO7816标准。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读卡频率：13.56MHz，125KHz。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支持发卡类型：Mifare卡卡号、Mifare卡内容、CPU卡、CPU卡内容、身份证序列号、ID(EM)卡卡号。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设备支持一个USB2.0接口免驱。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设备支持1个ISO7816尺寸的接触式智能卡和2个Sim卡尺寸的PSAM卡座。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工作温度满足-20℃~+60℃。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外形尺寸：117mm×67.5mm×14.3mm。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设备应具有公安部检测报告。</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需接入到萧山公安现有一卡通平台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海康/霍尼韦尔/三星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IC卡</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IC M1卡、含印刷</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张</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500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6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平台授权</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在现有IVMS-8700E平台上按门禁节点增量式授权</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需接入到萧山公安现有一卡通平台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9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双机芯边道</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通道为圆柱摆闸箱体，采用304不锈钢框体，门翼采用有机玻璃、钢化玻璃或其他材质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通道支持防冲撞功能，没有接收开门信号时，门翼将自动锁死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通道支持常开、常闭工作模式，支持单向、双向权限判断控制通行，也支持单双向自由通行，并可根据情况设定门翼开关速度，提高通行效率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通道支持远程控制管理功能，可联网运行，也可离线单机运行，并支持遥控器远程开门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断电情况下，门翼将处于自由状态，人员可以手动推开门翼，形成无障碍疏散通道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通道具有较强的集成能力，可根据实际需求集成卡片读卡器、指纹模块、IPC、彩色液晶屏等设备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通道具有防水、防漏电功能，可以有效防止雨水直接进入箱体，并可以承受15CM水深的浸泡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通道支持TCP/IP接口用于网络通信，支持RS232、RS485、I/O等接口用于扩展外接设备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箱体尺寸为925mm(高)*145mm(直径)，通道可根据实际情况定制600mm-1500mm宽度范围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设备应支持工作温度-20℃--＋60℃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设备应支持工作湿度5％--90％无凝露</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海康/霍尼韦尔/三星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双门门禁控制器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32位处理器，上行TCP/IP、RS485，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下行RS485、维根、232串口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370mm(L) x 345mm(w) x 90(H)，</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适应机型：A4\BB3\BE1\WC1支持外置安装本控制器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需接入到萧山公安现有一卡通平台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海康/霍尼韦尔/三星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3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立式人脸识别终端</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设备采用触摸显示屏，尺寸不小于10寸；分辨率不小于1280*800。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设备应采用高性能GPU处理器，有线网口*2，彼此物理隔离；RS485*1、RS232*1；HDMI*1；支持开关机键；支持扬声器输出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设备应支持200W像素高清宽动态双目摄像头，支持上下15°调节拍摄角度。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设备应具有如下存储容量：在1:1人证比对模式下，人脸容量无限制；1:N模式下，支持20000张人脸库；支持50000张卡片容量；支持50000笔记录存储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具有如下硬件接口功能：支持通过USB接口外接身份证阅读器；支持通过USB接口输出身份证信息；支持通过HDMI接口外接显示屏，显示比对结果；支持通过RS232/RS485拓展应用，可输出比对结果及信息；支持通过网络方式传输比对结果及图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设备应支持局域网、互联网环境的网络通信；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备应支持防假功能，支持照片及视频防假功能，使用照片或视频无法识别，并输出语音提示；无需用户配合，即可完成真人检测。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设备应支持广告播放功能，支持文字、图片广告播放功能。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设备应具有以下人证比对功能：支持居民身份证及智能卡信息读取；支持人证比对功能，现场抓拍人员人脸照片（或指纹）内的照片进行比对，完成人员身份核验；人证比对时间：≤1秒。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设备应支持人脸、刷卡+人脸、智能（人脸、刷卡+人脸自动切换）多种比对方式；支持人脸识别功能，现场抓拍人脸照片与本地人脸库照片进行比对，进行人员身份核验；人脸比对时间：＜0.5秒。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设备应具有黑名单核验功能，支持中心下发或本地U盘导入人脸或卡号黑名单；支持本地黑名单人脸或卡号比对；支持本地黑名单报警功能，报警信息可上传中心。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设备应具有人脸注册功能，支持本地菜单管理、远程中心下发、U盘本地导入人员信息（姓名、卡号、人脸等信息）。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设备应支持本地单机人证比对或人脸比对；支持后台联网实现人脸比对。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设备应支持比对结果语音及文字提示功能；支持视频预览、人脸捕捉框、人员信息、设备状态、设备模式及操作提示。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设备应支持通过远程中心下发或U盘导入人脸、指纹及黑名单信息；支持比对结果、身份信息及人脸抓拍图片本地存储、实时中心上传及断网续传功能；支持本地U盘导出比对事件及人脸注册图片。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设备应支持本地或远程中心设置比对模式、比对阈值、人脸参数、网络参数等；支持本地重置设备管理密码、IP等功能；支持恢复默认出厂设置参数功能。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设备应支持首次使用时，需设置激活密码才可使用；登陆本地管理菜单需先输入登陆密码，保证设备操作安全；支持看门狗机制，保证设备稳定运行。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设备应具备正常工作时红色指示灯常亮；比对失败时红灯闪烁；比对成时绿色常亮3秒。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设备应支持刷卡时，设备有蜂鸣器提示。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设备应支持补光灯调节，通过管理菜单可对补光灯亮度进行调节。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设备应支持实时捕捉人脸，并在视频预览窗口实时显示人脸捕捉框。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设备应支持屏保功能，在没有用户使用时会切换到待机状态。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设备应具备风扇散热设计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设备应具备底座安装具备防滑设计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设备应支持播放语音音量大小调节</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需接入到萧山公安现有一卡通平台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海康/霍尼韦尔/三星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Mifare读卡器套件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支持Mifare卡;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支持485、Wiegand协议;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闸机内安装;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读卡频率 13.56MHz;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规格尺寸 90.5x68x1.2（mm）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海康/霍尼韦尔/三星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门口机电源</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产品尺寸：98*97*38mm；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输入电压：100-240VAC；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输出电压：12VDC；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输出电流：4.17A；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输出功率：50W；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纹波与噪声：&lt; 150mVpp；</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电压调整范围：11-14Vdc；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一般规范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工作温度：-10℃-+70℃；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工作湿度：＜95%；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重量：0.23kg；</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出入口自动档车器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道闸类型：栏栅；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起落速度：3秒；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道闸杆长：4米；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闸机朝向：根据现场确定；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输入电源：220V50Hz；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工作电压：90W220VAC；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工作环境温度：-10℃～+55℃；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具有遇阻返回功能：当闸杆下落时，遇到物体阻挡，将立即开闸；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应有自锁手动接触装置，停电时能解脱自锁，实现手动控制功能；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应有自动限位功能，档杆开关到位后，将自动停机限位；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应装有热过载保护装置。</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海康/车杰/霍尼韦尔</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69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车检器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 具有485接口、2路继电器开关量输出接口；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 支持接入2路线圈；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 线圈工作频率：28KHz～120KHz；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支持灵敏度可调：有4级可设（高、中高、中低、低）；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最快响应时间：3.5ms 参数表体现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6 线圈故障自恢复：在线圈故障排除后，检测器能够自行恢复到检测状态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 线圈故障恢复时间：≤100ms；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 线圈故障检测时间：＜10ms；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9 输出IO方式：继电器开关量输出；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10 工作电压：AC220V；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11 工作环境温度：-40℃～80℃；工作环境湿度：＜93%，无冷凝；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海康/车杰/霍尼韦尔</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6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出入口补光抓拍单元</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1 摄像机类型：200万像素逐行扫描CMOS高清智能摄像机；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传感器类型：1/3”ProgressiveScanCMOS；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最小照度：彩色0.002Lux@(F1.4,AGCON，关闭帧积累，彩色模式)，黑白0.0002Lux@(F1.4,AGCON，关闭帧积累，黑白模式)；（提供权威部门出具的检测报告）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 快门：1/30秒至1/100,000秒；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5 支持ICR切换；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6 视频压缩标准：H.264/M_JPEG；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 压缩输出码率：32Kbps~16Mbps；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 图像分辨率：1920*1592(含OSD叠加)；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9 视频亮度自适应：可以根据光源亮度变化，将视频图像亮度自动调节至正常显示；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10 宽动态范围：95dB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11 三码流输出功能检查，三码流同时并输出，可达到：主码流：分辨率1920*1080,帧率25帧/秒，码率4Mbps第一辅码流：分辨率1920*1080,帧率25帧/秒，码率4Mbps第二辅码流：分辨率1920*1080,帧率25帧/秒，码率4Mbps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12 支持饱和度,亮度,对比度,白平衡,增益,3D降噪通过软件可调；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 接口：1个RJ4510M/100M/1000M自适应以太网口,1个RS-485接口，1个RS-232接口,4路IO输入接口,2路IO输出接口，3路继电器输出，1路CVBS接口，1路音频输入，1路音频输出，内置8GTF卡，2个内置LED灯；（提供权威部门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14 三码流输出：可同时输出主码流、子码流及第三路码流三种不同分辨率的视频图像；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 样机在正常工作的情况下，当网络断开时，可将抓拍图片和录像文件存储于样机内置SD卡内，当网络恢复时，可继续上传图片和录像文件至客户端；（提供权威部门出具的检测报告）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 车辆捕获率：白天≥99%，夜间≥99%；</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 车牌识别率：白天≥99%，夜间≥99%；</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18 可识别出视频中机动车车牌略微水平倾斜的车牌号码；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19 支持7种常见车型识别，包括轿车、客车、面包车、大货车、小货车、中型客车、SUV/MPV，在天气晴朗无雾，号牌无遮挡，无污损的条件下白天环境光不低于200lux，晚上不高于30lux，白天准确率≥90%，夜间≥85；（提供权威部门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 可在抓拍图片上叠加时间、地点、车道号、车长、车身颜色，车牌号码、车标，车型等信息；（提供权威部门出具的检测报告）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21 支持黑白名单上传功能：可通过IE浏览器或客户端软件将黑白名单上传样机；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22 外接道闸控制：布防状态下可根据存储黑白名单自动控制外接道闸开/关；（提供权威部门出具的检测报告）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23 工作温度：-40℃~80℃,湿度小于93%(无凝结)；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24 电源供应：AC220V±25%；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25 防护等级：IP67；</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26 功耗：22WMAX；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过车数据需接入萧山公安车辆数据平台</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需接入到萧山公安现有一卡通平台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海康/车杰/霍尼韦尔</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出入口补光抓拍单元立柱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立柱高度：1.3米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立柱直径：60mm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1.3米处可安装一体机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0.5米处可安装“四行LED显示屏”</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2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进出口LED屏</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室外显示屏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工作电压:AC220V±10％，50Hz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LED亮度:1200cd</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LED角度:110°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外框材料:铁框喷塑（显示部分为深色钢化玻璃）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安装方式:背面抱箍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喇叭规格:4Ω10W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防护等级:IP65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点距:P4.75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基色:1红1绿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下行通讯方式:RJ45/RS485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显示方式:即显、左移、上移、上展开、下展开等显示方式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字符显示:支持GB2312字符集，支持16×16点阵常用汉字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485通讯速率:RS485：57600 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通讯距离:RS485：1200米 RJ45：120米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功耗:最大50W，平均30W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显示面积:高304mm*宽304mm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外形尺寸:宽364mm*高484mm*厚60mm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功能特性：四行，四字，双色，带语音模块及音箱，出入口室外显示屏，P4.75，抱箍安装</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海康/车杰/霍尼韦尔</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59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73</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出入口控制终端</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网络接入功能：可直接接入网络。同时支持6路10M/100M/1000M网口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交换机功能：具有多口交换机功能，能够使用5个10M/100M/1000M自适应RJ45接口进行网络交换功能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双IP地址检查：可设置两个独立的IP地址。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校时功能：可通过WEB、NTP、客户端软件模块进行校时。可自动对连接的IP摄像机等设备进行校时。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单机模式：能够进行单机收费，单机发卡，单机配置收费规则等。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级联功能：能够支持5个终端同时运行管理独立停车场，无需平台。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角色以及角色权限管理功能：支持增加、修改、删除角色，并给不同角色分配不同的权限。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用户管理功能：支持用户的增加、删除、修改功能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非管理员用户的单点用户功能：非管理员用户只能在一台终端上进行登录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自定义LED显示文字：在LED的配置界面中，支持配置该LED在空闲时显示的文字，如：“欢迎光临”、“XXX停车场欢迎您！”等。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固定车过期提醒功能：支持声、光、软件三重报警功能，使管理人员和车主都能及时了解包期规则。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车卡资料管理功能：支持增加、修改和删除车卡资料。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无卡固定车和无车固定卡放行功能：支持无卡固定车和无车固定卡放行，车卡一致时该类型默认通过。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收费管理功能：支持收费规则和减免规则的增加、删除、修改功能。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车卡资料与布控信息的导入导出：支持车卡资料和布控信息的导入和导出。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信息备份与还原功能：支持车卡分类、抱起规则、收费规则、减免规则的备份和还原。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查询结果导出功能：支持通行信息、过车收费信息、场内信息、缴费信息、交接班信息、操作记录信息、行人信息查询结果的导出。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入场匹配与模糊匹配功能：能够实现收费时入场车辆的自动匹配，若无法匹配则系统能自动切换到模糊匹配模式进行模糊匹配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数据查询功能：支持过车信息、收费信息、缴费信息、操作记录、行人信息、场内信息、卡片信息、交接班信息等多种数据查询。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设备校时功能：能够统一按照数据库时间对设备所连接的设备进行定期校时，校时周期默认180秒。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自定义播报内容：自定义车辆入场和车辆出场的语音播报内容，如入场播报“欢迎光临”，出场播报“一路顺风”等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白天夜晚语音播报音量自动调节：为防止夜间语音音量大扰民，可配置白天和夜晚播报音量大小。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车辆充值扣费功能：支持添加储值车，车辆到中心充值，车辆出厂后可以支持扣除余额出场。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支付宝刷条形码支付：车辆出场后，收费员可使用扫码枪扫车主的支付宝二维码实现移动支付放行。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微信扫码支付：车辆出场后，收费员可使用扫码抢扫车主的微信条形码实现移动支付放行。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数据库备份功能检验：支持双数据库热机备份功能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数据统计功能检验：支持按月、日、年统计收费情况、车流量，支持按交接班统计收费情况。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卡片工本费配置功能：能够进行工本费的修改操作，配置后可以作为工本费的凭据。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强制放行规则配置功能：能够进行强制放行规则的增删改操作，配置后能够进行强制规则进行收费。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USB接口：4个USB3.0接口，USB接口可以连接键盘、鼠标等USB外设并正常控制；USB接口可以连接存储设备并进行数据传输。</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需接入到萧山公安现有一卡通平台</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海康/车杰/霍尼韦尔</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液晶监视器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19寸宽屏液晶显示器，含键盘鼠标</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海康、三星、LG</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工业以太网光端机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前端一光四电工业以太网设备-1个百兆光口-4个百兆电口-钉轨式-SC单模单纤-20KM（配中心光模块）</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中威电子、华为、华三</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76</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切割地感线圈</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含线圏线FVN2.5mm2 交联尼龙护套线</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组</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77</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78</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79</w:t>
            </w:r>
          </w:p>
        </w:tc>
        <w:tc>
          <w:tcPr>
            <w:tcW w:w="13519"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五、电子屏显示系统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控制电脑</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I5 CPU/4G/1T/DVDRW/1G/20寸显示器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DELL、联想、IBM</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钢架结构及包边</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不锈钢包边</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m2</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80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综合调处区家属等候区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双基色屏体</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标配9045系列铝合金框架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安装位置：大厅门头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模组尺寸：宽304mm×高152mm ，物理点间距：4.75mm ，物理密度：43221点/㎡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发光点颜色： 1R1G ，LED封装方式：SMD2121 ，模组分辨率：宽64点*高32点，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模组最大功耗：18.1w，驱动方式：1/16扫描恒流驱动，最佳视距：≥5M，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视角：水平120度，垂直120度，工作温度： -20℃ ～ +55℃ ，平均功耗： 195W/m2 ，最大功耗：≤380W/m2 ，刷新频率：≥120帧/秒 平均无故障时间：≥8000小时，灯管寿命：50000小时，屏幕亮度≥1000cd/㎡</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m2</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利亚德/灿鑫光电/三思</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6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控制系统</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板载100M网络接口，网络通信支持单机直连/局域网连接/广域网连接；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板载USB接口，支持U盘下载播放文件；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多节目自由分区显示内容，与实际显示屏配套，可完美衔接</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利亚德/灿鑫光电/三思</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控制软件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LED播放专业编辑软件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开关电源</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5V40A 具备保护功能：过载保护、过压保护、短路保护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含工程所需所有附件及各类接插件等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控制电脑</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I5 CPU/4G/1T/DVDRW/1G/20寸显示器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DELL、联想、IBM</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钢架结构及包边</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不锈钢包边</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m2</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8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89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二层食堂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双基色屏体</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标配9045系列铝合金框架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安装位置：食堂窗口上方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模组尺寸：宽304mm×高152mm ，物理点间距：4.75mm ，物理密度：43221点/㎡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发光点颜色： 1R1G ，LED封装方式：SMD2121 ，模组分辨率：宽64点*高32点，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模组最大功耗：18.1w，驱动方式：1/16扫描恒流驱动，最佳视距：≥5M，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视角：水平120度，垂直120度，工作温度： -20℃ ～ +55℃ ，平均功耗： 195W/m2 ，最大功耗：≤380W/m2 ，刷新频率：≥120帧/秒 平均无故障时间：≥8000小时，灯管寿命：50000小时，屏幕亮度≥1000cd/㎡</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m2</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2.47</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利亚德/灿鑫光电/三思</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6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90</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控制系统</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板载100M网络接口，网络通信支持单机直连/局域网连接/广域网连接；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板载USB接口，支持U盘下载播放文件；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多节目自由分区显示内容，与实际显示屏配套，可完美衔接</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利亚德/灿鑫光电/三思</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控制软件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LED播放专业编辑软件</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开关电源</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5V40A 具备保护功能：过载保护、过压保护、短路保护</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9</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93</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含工程所需所有附件及各类接插件等</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94</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钢架结构及包边</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不锈钢包边</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m2</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2.8</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8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三层会议室</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双基色屏体</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标配9045系列铝合金框架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安装位置：会议主席台上方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模组尺寸：宽304mm×高152mm ，物理点间距：4.75mm ，物理密度：43221点/㎡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发光点颜色： 1R1G ，LED封装方式：SMD2121 ，模组分辨率：宽64点*高32点，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模组最大功耗：18.1w，驱动方式：1/16扫描恒流驱动，最佳视距：≥5M，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视角：水平120度，垂直120度，工作温度： -20℃ ～ +55℃ ，平均功耗： 195W/m2 ，最大功耗：≤380W/m2 ，刷新频率：≥120帧/秒 平均无故障时间：≥8000小时，灯管寿命：50000小时，屏幕亮度≥1000cd/㎡</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m2</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利亚德/灿鑫光电/三思</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3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控制系统</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板载100M网络接口，网络通信支持单机直连/局域网连接/广域网连接；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板载USB接口，支持U盘下载播放文件；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多节目自由分区显示内容，与实际显示屏配套，可完美衔接</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利亚德/灿鑫光电/三思</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97</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控制软件</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LED播放专业编辑软件</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98</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开关电源</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5V40A 具备保护功能：过载保护、过压保护、短路保护</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99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含工程所需所有附件及各类接插件等</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101</w:t>
            </w:r>
          </w:p>
        </w:tc>
        <w:tc>
          <w:tcPr>
            <w:tcW w:w="13519"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六、UPS不间断电源系统　</w:t>
            </w:r>
          </w:p>
        </w:tc>
      </w:tr>
      <w:tr>
        <w:tblPrEx>
          <w:tblCellMar>
            <w:top w:w="0" w:type="dxa"/>
            <w:left w:w="108" w:type="dxa"/>
            <w:bottom w:w="0" w:type="dxa"/>
            <w:right w:w="108" w:type="dxa"/>
          </w:tblCellMar>
        </w:tblPrEx>
        <w:trPr>
          <w:trHeight w:val="270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20KVA UPS主机</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输入电压 3*380VAC/400VAC（3Ph+N）</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输入电压范围 210-475VAC（L-L）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输出电压/输出失真度 200V/208V/220V/230V/240V ±1 %, THDU&lt;3%</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输入频率范围 45Hz-64Hz, 50/60Hz 自适应</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效率 Up to 90%（在线模式）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过载能力 负载≤125%，维持1min，≤150%维持30s，≥150% 立即转旁路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并机 最大并机3台（可选）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功率因数 0.9</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转换时间 零毫秒转换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电池电压*2 192VDC(可选204VDC/216VDC/228VDC/240VDC)</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充电电流*3 4.5 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电池形式 阀控式铅酸蓄电池</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山特/商宇/施耐德</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电池组</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12V 100AH 免维护蓄电池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节</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山特/商宇/施耐德</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电池箱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100AH 16节电池组机箱</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山特/商宇/施耐德</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进出配电</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内含总控开关100A，分控开关20A 10路，电源避雷口，接线端子及连接导线等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UPS配电箱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内含总控开关100A，分控开关20A 10路，电源避雷口，接线端子及连接导线等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承重地梁</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与电池箱尺寸配套，支撑电池组、均匀分布电池组重量</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109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110</w:t>
            </w:r>
          </w:p>
        </w:tc>
        <w:tc>
          <w:tcPr>
            <w:tcW w:w="1351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七、智能排队叫号系统　</w:t>
            </w:r>
          </w:p>
        </w:tc>
      </w:tr>
      <w:tr>
        <w:tblPrEx>
          <w:tblCellMar>
            <w:top w:w="0" w:type="dxa"/>
            <w:left w:w="108" w:type="dxa"/>
            <w:bottom w:w="0" w:type="dxa"/>
            <w:right w:w="108" w:type="dxa"/>
          </w:tblCellMar>
        </w:tblPrEx>
        <w:trPr>
          <w:trHeight w:val="33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排队取号主机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17寸红外多点触摸屏,超高强度钢化触摸板/17寸工业高清液晶显示器/分辨率1280*1024/原装532热敏打印机80MM/Intel 四核J1900工控主板(主频2.0GHz,可睿频到2.42GHz)/DDR3 1333 2G(可升级)/32G固态硬盘/品牌工控主板/内置网卡/内置双声道音响功放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标配身份证阅读器及人脸采集设备，数据上传到萧山公安人脸大数据平台</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需接入萧山公安现有排队叫号及满意度评价系统</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112</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排队叫号软件增量授权</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在原有平台基础上对新增设备增量授权，系统运行控制软件、含人脸采集及数据上传到萧山公安人脸大数据平台</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需接入萧山公安现有排队叫号及满意度评价系统</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液晶综合显示屏</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Android操作系统/55寸高清液晶屏/超窄铝合金边框/4核,Cortex A9 1.6G/1G 8G/分辨率1920*1080/最低亮度300cdm2/16：9/自带WIFI模块/RJ45网口/喇叭2*4W</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通信控制器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有源485转232，工业级</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窗口显示屏</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Android操作系统/55寸高清液晶屏/超窄铝合金边框/4核,Cortex A9 1.6G/1G 8G/分辨率1920*1080/最低亮度300cdm2/16：9/自带WIFI模块/RJ45网口/喇叭2*4W</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软件虚拟呼叫器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替代硬件呼叫器/安装于工作站电脑上/通过键盘或鼠标来操作/具备自动升级功能/具有登录、退出、顺呼、重呼、选呼、暂停等等比硬件呼叫器更强大的功能/支持一票多业务事项记录</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需接入萧山公安现有排队叫号及满意度评价系统</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117</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功放</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连接机顶盒或者取号机/国产60W/频率70Hz-18KHz/辅助输出0.775V/温度保护/过载过压保护/短路保护</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118</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喇叭</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声音播放,壁挂或者吸顶/4W</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119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55寸触摸查询一体机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尺寸:55寸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亮度 250cd/m^2</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分辨率 1920*1080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触摸 类型 红外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寿命 5000万次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分辨率 4096*4096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系统 操作系统 Windows7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CPU Intel 1037U双核双线程 1.8G(I3/I5可选默认1037U）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主板 品牌工控主板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内存 DDR3 1333 2G（可支持8G)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存储 32G固态硬盘（可跟根需求增加）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打印机 可选配EPSON M-T532 80mm热敏打印机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外设 二代身份证阅读器 可选配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非接触式IC读卡器 可选配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磁条卡读卡器 可选配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二维码阅读器 可选配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外壳 材料 钢制柜体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表面 外表面进口汽车金属烤漆，防磁、 防静电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净重 38kg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音响 功放 双声道，立体声环绕功放系统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喇叭 2*10W频响；20Hz~20KHz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接口 USB接口 USB*2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RJ45接口 有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电源接口 有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电气 电压 AC220V+10%  50Hz+1Hz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功率 &lt;200W开机瞬间电流3A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支持平台发布图文信息</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需接入萧山公安现有排队叫号及满意度评价系统</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120</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多媒体交互评价器</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尺寸: 10.1寸高清IPS显示屏；分辨率: 1280*800； 比例: 16:9；亮度: 250cdm2(最低亮度)；对比度: 800:1；系统: CPU 四核, Cortex A7,1.3G；内存: 1GB RAM；存储: 8G；操作系统: Android 5.1；接口: USB Micro USB*2；HDMI: 支持HDMI输出；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外观: 机身尺寸 243*163*10mm；电源:DC电源 DC5V 2A；电池: 内置电池4400MAH/3.7V；触摸: 10点电容式触控；摄像头: 前置摄像头2.0M/P；喇叭:2*1W；</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需接入萧山公安现有排队叫号及满意度评价系统</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多媒体交互平台软件增量授权</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在原有平台基础上对新增设备增量授权，与多媒体交互评价器配套、数据统一上传到萧山公安局统一平台</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迈瑞、智慧、来帮</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124</w:t>
            </w:r>
          </w:p>
        </w:tc>
        <w:tc>
          <w:tcPr>
            <w:tcW w:w="1351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八、紧急呼叫报警系统　　</w:t>
            </w:r>
          </w:p>
        </w:tc>
      </w:tr>
      <w:tr>
        <w:tblPrEx>
          <w:tblCellMar>
            <w:top w:w="0" w:type="dxa"/>
            <w:left w:w="108" w:type="dxa"/>
            <w:bottom w:w="0" w:type="dxa"/>
            <w:right w:w="108" w:type="dxa"/>
          </w:tblCellMar>
        </w:tblPrEx>
        <w:trPr>
          <w:trHeight w:val="186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报警对讲主机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采用嵌入式Linux操作系统,高性能嵌入式SOC处理器，系统运行稳定可靠；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设备集成以下接口：1个10M/100M自适应以太网口，2个RS485半双工接口，1个USB接口，4个报警输入接口，4个报警输出接口,2个音频输入接口,2个音频输出接口；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集成7寸彩色LCD电容式触摸屏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支持12个触摸按键；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面板采用一体式钢化玻璃设计，后方采用铝合金支架支持多个角度摆放；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一台管理机可管理256台一键式报警产品；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集成130万高清摄像头，H.264编码格式，支持分辨率1280*720@30fps；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内置全指向麦克风+外接话柄，内置扬声器+外接话柄，支持智能噪声抑制和回声消除处理，音频清晰；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支持电容式触摸屏、触摸按键、机械按键3种操作方式；三个机械按键分别支持挂断&amp;接听、开锁、免提&amp;挂断功能；机械按键的环形蓝色背光灯在屏幕处于亮起时为常亮，在屏幕关闭时关闭；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支持监听前端设备声音，正常说话时可监听距离应达10米；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支持监视查看前端设备的视频图像；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支持同时对多台前端设备进行喊话。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支持呼叫转移功能：设备呼叫中心管理机的时候，应可通过呼叫转移功能将呼叫信息转移到其他中心管理机上；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支持语音播报、分组广播功能；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支持将防拆报警、防区报警等报警信息通过网线传送到管理中心，并形成日志文件；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支持中心管理机控制前端设备警灯打开和关闭功能；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支持系统校时功能；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支持看门狗功能；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支持网络远程在线升级功能；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全程灵敏度/频率特性:500Hz~3400Hz,应在GB/T31070.1-2014中图5的允许范围内(手柄);500Hz~3400Hz,应在GB/T31070.1-2014中图4的允差范围内(免提)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通道信噪比:≥30dB(手柄)≥25dB(免提)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音频失真:≤7%(手柄)≤10%(免提)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电源&amp;功耗：DC12V，≤10W；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工作环境:温度-40℃～70℃,湿度小于93%环境下稳定工作</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海康/来邦/霍尼韦尔</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348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网络分机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采用嵌入式Linux操作系统,高性能嵌入式SOC处理器，系统运行稳定可靠；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前置环形红色背光灯机械按键，环形红色背光灯能定时闪烁，报警按钮处具有“紧急报警”明显标示说明，呼叫接通后的通话过程中按键的红色环形背光灯闪烁频率应加快，指示为当前处于通话状态；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设备支持双网口链路、PSTN电话链路传输；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支持海康EHOME协议接入，支持GB/T28181协议接入；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设备支持2路音频输入和2路音频输出；音频输入和音频输出关系可自由配置，内部含高灵敏度麦克风，拾音距离应达到10米，语音清晰，内置3W扬声器；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设备支持将防拆报警、防区报警等报警信息通过网线传送到管理中心，并形成日志文件；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支持呼叫转移功能：设备呼叫中心管理机的时候，应可通过呼叫转移功能将呼叫信息转移到其他中心管理机上；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支持可视对讲功能：按下紧急求助按键后呼叫中心管理机，呼叫过程中能听到相应提示音；通话过程中中心能看到设备处实时视频，支持实时全双工双向语音对讲和视频通话功能；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支持同时进行多方实时对讲通话，多台前端设备与多台中心管理机实时多方通话；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支持将音视频同步存储到设备SD卡中，当在双向对讲通话时录像存储为双向通过混音的音视频复合流；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设备前置200万CMOS高清摄像头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支持红外补光，在光照强度0.1Lx时，红外补光距离应不小于10米；支持日夜模式自动切换：通过ICR红外滤片实现自动切换，实现真正的日夜模式监控；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彩色图像：图像分辨力≥280TVL，亮度鉴别等级≥8级；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支持中心管理机控制前端设备警灯打开和关闭功能；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支持语音播报、分组广播功能；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支持外界噪音侦测报警；外界噪音≥60DB（可设置），内置振动探测器接口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支持系统校时功能；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支持看门狗功能；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支持网络远程在线升级功能；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防护等级：IP65；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工作环境:温度-40℃～70℃,湿度小于93%环境下稳定工作</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海康/来邦/霍尼韦尔</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可给NLS系列分机集中供电。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含18V/5.6A开关电源，最大输出功率：110W，可接18可视分机或24个非可视的分机。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技术、规格参数：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输入电压：AC220V。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输出电压：DC18V。</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9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交换机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快速以太网交换机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应用层级二层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传输速率10/100Mbps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交换方式存储-转发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背板带宽4.8Gbps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包转发率3.6Mpps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端口数量24个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端口描述下行端口：24个10/100 Base-T以太网端口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交流供电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电源电压输入电压：AC 100-240V，50/60Hz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最大电压：AC 90-264V，47/63Hz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电源功率＜3.9W</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华为/华三/思科</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129</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131</w:t>
            </w:r>
          </w:p>
        </w:tc>
        <w:tc>
          <w:tcPr>
            <w:tcW w:w="13519"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九、二层辅楼会议室　</w:t>
            </w:r>
          </w:p>
        </w:tc>
      </w:tr>
      <w:tr>
        <w:tblPrEx>
          <w:tblCellMar>
            <w:top w:w="0" w:type="dxa"/>
            <w:left w:w="108" w:type="dxa"/>
            <w:bottom w:w="0" w:type="dxa"/>
            <w:right w:w="108" w:type="dxa"/>
          </w:tblCellMar>
        </w:tblPrEx>
        <w:trPr>
          <w:trHeight w:val="1575"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8寸同轴扬声器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1.高品质15mm中纤板全频扬声器，单元组成：LF：1*8"低音单元/HF：1*1.3"高音单元；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2.额定功率：﹥145W，额定阻抗：8Ω，覆盖角度：90°水平*60°垂直；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3.频率范围：75Hz-20KHz，灵敏度(1m/1W)：90dB，最大声压级：﹥93dB；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4.投标时提供产品彩页、CNAS认证并加盖鲜章。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5.投标时提供原厂授权函及质保函并加盖鲜章。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6.中标后提供原厂质保函、CNAS认证并加盖鲜章。</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3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功率放大器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1.输出功率：≥2*400W/8Ω，≥2*750W/4Ω，≥2*1100W/2Ω，桥接8Ω≥800W，桥接4Ω≥1100W；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2.信噪比：103dB，失真：&lt;0.03%@8Ω1KHz，输入阻抗：20KΩ，频响范围：35Hz—20KHz；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3.阻尼系数：&gt;400@8ohm，信号输入：6.3mmTRS平衡插座，XLR插脚；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4.投标时提供原厂ISO9001、IOS14001、OHSAS18001管理体系认证证书、3C证书并加盖原厂公章；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5.投标时提供产品彩页、CNAS认证并加盖鲜章。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6.投标时提供原厂授权函及质保函并加盖鲜章。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lang w:val="en-US" w:eastAsia="zh-CN"/>
              </w:rPr>
              <w:t>7.</w:t>
            </w:r>
            <w:r>
              <w:rPr>
                <w:rFonts w:hint="eastAsia" w:ascii="宋体" w:hAnsi="宋体" w:cs="宋体"/>
                <w:color w:val="000000"/>
                <w:kern w:val="0"/>
                <w:sz w:val="18"/>
                <w:szCs w:val="18"/>
              </w:rPr>
              <w:t>中标后提供原厂质保函、CNAS认证并加盖鲜章。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一拖四无线主机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1.拥有四通道接收信号,每通道﹥95个信道可选，UHF频段传输信号，频率范围：500MHz-900MHz；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2.实现同一发射可在四个通道400个信道中互通互用，采用红外自动对频技术，锁相环频率合成振荡方式；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3.设置4条橡胶接收天线，增强接收的信号，设有4个独立SQ电位器、4个平衡输出和1个混合非平衡输出；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4.同一场合可供﹥18套机同时使用，即可同时使用﹥18台接收机和﹥72个发射器，每通道设有独立窗口；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5.各通道配备独立的音量调节旋钮、红外对频信号灯、一键对频按键、频率前后调节按键、通道电源开关按键；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6.振荡方式:锁相环频率合成，频率范围：UHF500MHz～900MHz，频率稳定性：±0.001%，最大频率偏：±50KHz；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7.FM调制方式，信噪比&gt;105dB，失真度&lt;0.5%@1KHz，灵敏度1.2/UV @S/N=12dB，音频输出：独立0～400mV、混合0～300mV；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8.投标时提供原厂ISO9001、IOS14001、OHSAS18001管理体系认证证书、CE证书、CNAS认证并加盖原厂公章。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9.投标时提供原厂授权函并加盖鲜章。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10.中标后提供原厂质保函、CNAS认证并加盖鲜章。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鹅颈会议话筒</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1.载波频率：UHF 500MHz～900MHz，频率稳定度：±25KHz，信噪比：&gt;105dB；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2.邻频干扰比：&gt;80dB，动态范围：≥100dB，类型：电容式，单一指向性；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3.频率响应：40Hz～20KHz，话筒灵敏度：-45±2dB@1KHz，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4.内置锂电池3.7V，话筒耗电量：100mA；</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6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充电底座</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1.标准220V电压输入，12V1A输出，支持最大无线接受距离10mm，可24小时不间断运行；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2.投标时提供原厂ISO9001、IOS14001、OHSAS18001管理体系认证证书，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3.投标时提供原厂授权函、质保函并加盖鲜章。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数字音频矩阵</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1.≥4路信号输入≥8路信号输出，可组合多种分频模式，高、低通分频点均可达20Hz～20KHz；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2.96KHz采样频率，32-bit DSP处理器，24-bit A/D及D/A转换；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3.通过RS485接口可最多连接250台机器和超过1500米的距离外用电脑来控制；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4.单机可存储30种用户程序，每个输入和输出均有6段独立的参量均衡，调节增益范围可达±20dB；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5.2×24 LCD蓝色背光显示功能设置，6段LED显示输入/输出的精确数字电平表、哑音及编辑状态；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6.每个输入和输出均有延时和相位控制及哑音设置，延时最长可达1000ms；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7.输出通道还可控制增益、压限及选择输入通道信号，并能将某通道的所有参数复制到另外一个通道并能进行联动控制；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8.支持集中控制系统进行控制，可控制处理器的路由、音量、场景等；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电源时序器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1.13路电源电源输出，1-12路时序控制，每路延时1-10秒可设置，前面板一路直出；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2.每路输出采用万能插座AC220V（13A），适用各种类型插头；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3.整机容量50A，MCU控制的智能化设计，具有标准RS232 串口控制功能；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4.具有外控部闭合控制接口和级联控口，采用工业电压表头，前面板翘板开关控制。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139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调音台</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话筒：4</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频响：+0.5dB/-0.5dB（20Hz-20kHz）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总谐波失真：0.02%@+14dBu（20 Hz-20kHz）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输入通道：10通道：单声道：4；立体声：3</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输出通道：STEREO OUT：2；PHONES：1</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母线：立体声：1，AUX[FX]，1</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USB音频：USB音频2.0兼容 采样率：最大192kHz，Bit深度：24-bit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幻象电源电压：+48V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内建数字效果：24编程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外观尺寸：244×71×294mm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功耗：22.9W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操作温度：0-40℃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净重：2.1kg</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03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140</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商务投影机</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投影技术：DLP</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标准亮度：≥4000流明（根据ISO21118标准）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DLP芯片尺寸：0.65英寸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标准分辨率：1920×1080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灯泡：≤270W  标准模式下灯泡寿命≥3500小时（节能模式下灯泡寿命≥8000小时）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对比度：≥10000：1</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镜头变焦比：1.7</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端口：HDMI输入端口×2；D-SUB15针输入×1；复合视频输入×1；带音频输入、输出；RJ-45网络接口； USB端口；控制串口；3D SYNC×1，3D同步输出接口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内置扬声器：≥20W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功耗（标准）： ≤340W，最低待机功耗： ≤0.5W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重量：≤3.7KG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磁感色轮系统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自动梯形校正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通过RGB线连接可以在电脑上控制投影机（提供中文版软件）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接通电源可自动投射画面的自动开机功能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带网络控制功能（提供中文版软件）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具备网络投影功能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具备无线投影功能，并且支持音视频同步传输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支持几何校正功能（提高中文版软件）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具有U盘直读功能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具有多种节能模式选择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具有光线传感器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具有3D功能，支持蓝光3D</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颜色增强模式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满足DICOM标准要求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支持麦克风输入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机身标识、遥控器及菜单为中文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不同背景色，可以在黑板或其他颜色背景墙上直接投影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密码防盗功能及自定义开机LOGO</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NEC/CHRISTIE/BARCO</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电动投影幕</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120寸投影幕，16:9</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投影机电动吊架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根据现场情况定制投影机电动吊架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多媒体桌插</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多媒体桌插</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接插件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接插件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机柜</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定制木质音响设备机柜</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148</w:t>
            </w:r>
          </w:p>
        </w:tc>
        <w:tc>
          <w:tcPr>
            <w:tcW w:w="1351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十、二层辅楼会议室　</w:t>
            </w:r>
          </w:p>
        </w:tc>
      </w:tr>
      <w:tr>
        <w:tblPrEx>
          <w:tblCellMar>
            <w:top w:w="0" w:type="dxa"/>
            <w:left w:w="108" w:type="dxa"/>
            <w:bottom w:w="0" w:type="dxa"/>
            <w:right w:w="108" w:type="dxa"/>
          </w:tblCellMar>
        </w:tblPrEx>
        <w:trPr>
          <w:trHeight w:val="13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149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8寸同轴扬声器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1.高品质15mm中纤板全频扬声器，单元组成：LF：1*8"低音单元/HF：1*1.3"高音单元；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2.额定功率：﹥145W，额定阻抗：8Ω，覆盖角度：90°水平*60°垂直；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3.频率范围：75Hz-20KHz，灵敏度(1m/1W)：90dB，最大声压级：﹥93dB；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4.投标时提供产品彩页、CNAS认证并加盖鲜章。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5.投标时提供原厂授权函及质保函并加盖鲜章。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6.中标后提供原厂质保函、CNAS认证并加盖鲜章。</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3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一拖四无线主机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1.拥有四通道接收信号,每通道﹥95个信道可选，UHF频段传输信号，频率范围：500MHz-900MHz；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2.实现同一发射可在四个通道400个信道中互通互用，采用红外自动对频技术，锁相环频率合成振荡方式；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3.设置4条橡胶接收天线，增强接收的信号，设有4个独立SQ电位器、4个平衡输出和1个混合非平衡输出；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4.同一场合可供﹥18套机同时使用，即可同时使用﹥18台接收机和﹥72个发射器，每通道设有独立窗口；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5.各通道配备独立的音量调节旋钮、红外对频信号灯、一键对频按键、频率前后调节按键、通道电源开关按键；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6.振荡方式:锁相环频率合成，频率范围：UHF500MHz～900MHz，频率稳定性：±0.001%，最大频率偏：±50KHz；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7.FM调制方式，信噪比&gt;105dB，失真度&lt;0.5%@1KHz，灵敏度1.2/UV @S/N=12dB，音频输出：独立0～400mV、混合0～300mV；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8.投标时提供原厂ISO9001、IOS14001、OHSAS18001管理体系认证证书、CE证书、CNAS认证并加盖原厂公章。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9.投标时提供原厂授权函并加盖鲜章。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10.中标后提供原厂质保函、CNAS认证并加盖鲜章。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鹅劲会议话筒</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1.载波频率：UHF 500MHz～900MHz，频率稳定度：±25KHz，信噪比：&gt;105dB；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2.邻频干扰比：&gt;80dB，动态范围：≥100dB，类型：电容式，单一指向性；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3.频率响应：40Hz～20KHz，话筒灵敏度：-45±2dB@1KHz，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4.内置锂电池3.7V，话筒耗电量：100mA；</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9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充电底座</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1.标准220V电压输入，12V1A输出，支持最大无线接受距离10mm，可24小时不间断运行；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2.投标时提供原厂ISO9001、IOS14001、OHSAS18001管理体系认证证书，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3.投标时提供原厂授权函、质保函并加盖鲜章。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电源时序器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1.13路电源电源输出，1-12路时序控制，每路延时1-10秒可设置，前面板一路直出；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2.每路输出采用万能插座AC220V（13A），适用各种类型插头；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3.整机容量50A，MCU控制的智能化设计，具有标准RS232 串口控制功能；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4.具有外控部闭合控制接口和级联控口，采用工业电压表头，前面板翘板开关控制。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6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智能AV管理主机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01、可编程插卡式智能AV管理中心，采用橘红色发光LOGO，面板带有八个快捷按键，配合控制系统可自定义快捷控制场景；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02、根据不同的引擎控制板卡可扩展不同数量的墙面控制面板，可进行自定义场景操作；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03、可扩展IOS/安卓系统无线终端及综合集中管理控制功能；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04、支持多路混合音视频信号输入/输出，可在IOS/安卓系统无线终端上进行信号选择或面板上进行按键操作，前面板带有LCD液晶显示0屏，可实时显示操作状态；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05、支持话筒混音功能，48V幻象供电，反馈抑制、噪声门、高通、低通、延时、压限、PEQ等功能；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06、支持多通道大功率输出、桥接和立体声输出，每路功率可单独调节，；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07、具有电源双备份系统，防止因电源损坏而造成系统故障。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08、主频为60MHz的32位内嵌式处理器，内置8M内存和2M存储FLASH；</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09、≥8路红外发射端口，每路互相独立；≥8路独立数字输入输出I/O口，输入输出电压范围DC 0~5V，电流0-10mA；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10、★≥8路独立弱电继电器接口；≥8路双向可编程RS-232/422/485通讯接口；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11、≥3路BPBUS控制总线，可扩充达256个网络设备；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12、≥1个以太网接口（支持TCP/IP协议），用于连接WI-FI设备；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13、可以支持多个无线终端同时连接主机；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14、最大支持16个通道平衡线路输入，4通道平衡线路输出；输入通道均支持MIC/LINE、+48VDC幻像供电，具有混音路由功能；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15、采样频率/量化≥48kHz，24Bit DAC，总谐波失真&lt;0.006%；1kHz@+4dBu、&lt;0.01%；20Hz～20kHz@+4dBu；</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16、每个输入通道有反馈抑制器、噪声门、高通、低通、1S延时器、压限器、﹥15段PEQ、电平表、反相、静音、音量控制；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17、每个输入通道有高通、低通、2S延时器、压限器、﹥15段PEQ；</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18、内置正弦波信号、粉红噪声、白噪声信号发生器，可存储32个场景；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19、支持摄像跟踪代码输出，可通过第三方中控实现摄像联动功能；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20、输出功率最大支持：4*600W/8Ω，4*1100W/4Ω，桥接2*8Ω≥1200W，桥接2*4Ω≥1700W，输出功率可进行档位调节；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21、信噪比：103dB，失真：&lt;0.03%@8Ω1KHz，输入阻抗：20KΩ，频响范围：35Hz—20KHz；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22、阻尼系数：&gt;400@8ohm；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23、输入敏度可选择0.775V（0dB）或者3.1V（+12dB）；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24、最大支持16通道高清视频信号交换，EDID自适应，图像最高分辨率1920*1200@60Hz；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25、配合信号输出板卡独立实现1*2、2*2至最高2*4拼接画面输出；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26、输入支持HDMI、DVI、VGA、YPbPr、CVBS、RJ45（HDBaseT）、SDI、光纤信号；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27、输出支持HDMI、DVI、VGA、RJ45（HDBaseT）、SDI、光纤信号；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28、投标时提供原厂ISO9001、ISO14001、OHSAS18001管理体系认证证书；实用新型专利证书、CNAS认证并加盖原厂公章；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29、投标时提供产品彩页、原厂授权、质保函并加盖原厂公章。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平板电脑</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IPAD电脑</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无线路由器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无线传输速度:108M以上，有线传输率: 10/100Mbps ，无线传输速率: 450Mbps 网络标准: 802.11b 无线网络支持频率: 2.4G 路由器应用: 宽带路由器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19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商务投影机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投影技术：DLP</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标准亮度：≥4000流明（根据ISO21118标准）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DLP芯片尺寸：0.65英寸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标准分辨率：1920×1080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灯泡：≤270W  标准模式下灯泡寿命≥3500小时（节能模式下灯泡寿命≥8000小时）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对比度：≥10000：1</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镜头变焦比：1.7</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端口：HDMI输入端口×2；D-SUB15针输入×1；复合视频输入×1；带音频输入、输出；RJ-45网络接口； USB端口；控制串口；3D SYNC×1，3D同步输出接口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内置扬声器：≥20W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功耗（标准）： ≤340W，最低待机功耗： ≤0.5W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重量：≤3.7KG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磁感色轮系统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自动梯形校正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通过RGB线连接可以在电脑上控制投影机（提供中文版软件）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接通电源可自动投射画面的自动开机功能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带网络控制功能（提供中文版软件）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具备网络投影功能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具备无线投影功能，并且支持音视频同步传输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支持几何校正功能（提高中文版软件）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具有U盘直读功能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具有多种节能模式选择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具有光线传感器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具有3D功能，支持蓝光3D</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颜色增强模式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满足DICOM标准要求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支持麦克风输入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机身标识、遥控器及菜单为中文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不同背景色，可以在黑板或其他颜色背景墙上直接投影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密码防盗功能及自定义开机LOGO</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NEC/CHRISTIE/BARCO</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158</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电动投影幕</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120寸投影幕，16:9</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159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投影机电动吊架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根据现场情况定制投影机电动吊架</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多媒体桌插</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多媒体桌插</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接插件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接插件</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机柜</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定制木质音响设备机柜</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163</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164</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165</w:t>
            </w:r>
          </w:p>
        </w:tc>
        <w:tc>
          <w:tcPr>
            <w:tcW w:w="1351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十一、三层大会议室系统　</w:t>
            </w:r>
          </w:p>
        </w:tc>
      </w:tr>
      <w:tr>
        <w:tblPrEx>
          <w:tblCellMar>
            <w:top w:w="0" w:type="dxa"/>
            <w:left w:w="108" w:type="dxa"/>
            <w:bottom w:w="0" w:type="dxa"/>
            <w:right w:w="108" w:type="dxa"/>
          </w:tblCellMar>
        </w:tblPrEx>
        <w:trPr>
          <w:trHeight w:val="13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主扬声器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1.高品质18mm中纤板全频扬声器，单元组成：LF：1*12"低音单元/HF：1*1.7"高音单元；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2.额定功率：﹥280W，额定阻抗：8Ω，覆盖角度：90°水平*60°垂直；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3.频率范围：65Hz-20KHz，灵敏度(1m/1W)：93dB，最大声压级：98dB；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4.投标时提供原厂ISO9001、ISO14001、OHSAS18001管理体系认证证书、CNAS认证并加盖原厂公章；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5.投标时提供产品彩页、原厂授权函及质保函并加盖鲜章。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辅助扬声器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1.高品质15mm中纤板全频扬声器，单元组成：LF：1*8"低音单元/HF：1*1.3"高音单元；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2.额定功率：﹥145W，额定阻抗：8Ω，覆盖角度：90°水平*60°垂直；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3.频率范围：75Hz-20KHz，灵敏度(1m/1W)：90dB，最大声压级：﹥93dB；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4.投标时提供原厂ISO9001、ISO14001、OHSAS18001管理体系认证证书、CNAS认证并加盖鲜章；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5.投标时提供产品彩页、原厂授权函及质保函并加盖鲜章。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168</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电源时序器</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1.13路电源电源输出，1-12路时序控制，每路延时1-10秒可设置，前面板一路直出；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2.每路输出采用万能插座AC220V（13A），适用各种类型插头；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3.整机容量50A，MCU控制的智能化设计，具有标准RS232 串口控制功能；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4.具有外控部闭合控制接口和级联控口，采用工业电压表头，前面板翘板开关控制。</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32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169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一拖二无线主机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1.拥有两通道接收信号,每通道﹥190个信道可选，UHF频段传输信号，频率范围：500MHz-900MHz；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2.实现同一发射可在两个通道400个信道中互通互用，采用红外自动对频技术，锁相环频率合成振荡方式；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3.设置2条橡胶接收天线，增强接收的信号，设有2个独立SQ电位器、2个平衡输出和1个混合非平衡输出；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4.同一场合可供﹥35套机同时使用，即可同时使用﹥35台接收机和﹥70个发射器，每通道设有独立窗口；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5.各通道配备独立的音量调节旋钮、红外对频信号灯、一键对频按键、频率前后调节按键、通道电源开关按键；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6.振荡方式:锁相环频率合成，频率范围：UHF500MHz～900MHz，频率稳定性：±0.001%，最大频率偏：±50KHz；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7.FM调制方式，信噪比&gt;105dB，失真度&lt;0.5%@1KHz，灵敏度1.2/UV @S/N=12dB，音频输出：独立0～400mV、混合0～300mV；                                                                                                                                                                                     8.投标时提供原厂ISO9001、IOS14001、OHSAS18001管理体系认证证书、CE证书、CNAS认证并加盖鲜章；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9.投标时提供产品彩页、原厂授权函及质保函并加盖鲜章。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6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170</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无线手持话筒</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1.载波频率：UHF 500MHz～900MHz，频率稳定度：±25KHz，信噪比：&gt;105dB；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2.邻频干扰比：&gt;80dB，动态范围：≥100dB，类型：动圈式，单一指向性；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3.频率响应：40Hz～20KHz，话筒灵敏度：-45±2dB@1KHz，话筒耗电量：100mA；</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113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数字会议主机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1.采用数字集成电路技术，内置高效抑制噪声线路，七种发言人数：1-6（人任选 ）、N（全开放）；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2.七种发言模式：主席专用、先进先出、后进先出、限制发言、自由讨论、压倒轮替 、申请发言；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3.内置电话耦合器输入和输出端口,可用来召开远程电话会议，开机自检功能,连接状态不正常时主机产生蜂鸣；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4.多种云台球机控制协议,兼容性极强:Pelco_P、VISCA_SONY-D70、Pelco _D 协议；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5.采用轻触式开关按键控制菜单功能，设有音量调节、电话输入和总音量输出调节器；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6.连接摄像头可实现发言实时视像追踪功能，支持4路摄像头信号输入，2路视频输出；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7.断电智能记忆功能，可记忆程序原运行状态。若意外断电后，通电即恢复最后一次设置；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8.RS232端口可外接PC设置结合加密型软件同步连动操作，也可连接中控，令会议设备智能化；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9.主机最多可连接60个会议话筒单元,具有四路并联输出，每路可连接15个单元,可无限扩展话筒单元数量；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10.输出阻抗：REC:200Ω LINE:200Ω，输入阻抗：LINE:50KΩ PBIN:50KΩ，信噪比：100dB (1KHz THD1%)；</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11.投标时提供原厂ISO9001、ISO14001、OHSAS18001管理体系认证证书、CNAS认证并加盖鲜章。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12.投标时提供产品彩页、原厂授权函及质保函并加盖鲜章。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6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172</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主席单元</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1.主席单元拥有批准代表发言按键，主席单元有优先发言权,可随时关闭其他列席单元；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2.左侧设计有3.5音频输出，128X64LCD液晶，显示单元身份、发言模式、发言状态、发言时间；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3.内置扬声器,高保真单指向性电容咪芯，声音还原、清晰度高、噪音小、优良抗手机干扰能力；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4.会议单元支持热插拔功能，8芯专用连接线；手拉手连接模式，安装简便，操作灵活；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5.电容式，单一指向性，频率响应：30Hz-18KHz，灵敏度：-43±2db@1KHz，最小输入阻抗：1KΩ，信噪比：68db；</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575"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173</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代表单元</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1.代表单元拥有发言按键，3.5音频输出，128X64LCD液晶，显示单元身份、发言模式、发言状态、发言时间；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2.内置扬声器,高保真单指向性电容咪芯，声音还原、清晰度高、噪音小、优良抗手机干扰能力；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3.会议单元支持热插拔功能，8芯专用连接线；手拉手连接模式，安装简便，操作灵活；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4.电容式，单一指向性，频率响应：30Hz-18KHz，灵敏度：-43±2db@1KHz，最小输入阻抗：1KΩ，信噪比：68db；</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174</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延长线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会议原配专用线20米</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64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智能AV管理主机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sz w:val="18"/>
                <w:szCs w:val="18"/>
              </w:rPr>
            </w:pPr>
            <w:r>
              <w:rPr>
                <w:rFonts w:hint="eastAsia" w:ascii="宋体" w:hAnsi="宋体" w:cs="宋体"/>
                <w:color w:val="000000"/>
                <w:kern w:val="0"/>
                <w:sz w:val="18"/>
                <w:szCs w:val="18"/>
              </w:rPr>
              <w:t>01、可编程插卡式智能AV管理中心，采用橘红色发光LOGO，面板带有八个快捷按键，配合控制系统可自定义快捷控制场景；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02、根据不同的引擎控制板卡可扩展不同数量的墙面控制面板，可进行自定义场景操作；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03、可扩展IOS/安卓系统无线终端及综合集中管理控制功能；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04、支持多路混合音视频信号输入/输出，可在IOS/安卓系统无线终端上进行信号选择或面板上进行按键操作，前面板带有LCD液晶显示0屏，可实时显示操作状态；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05、支持话筒混音功能，48V幻象供电，反馈抑制、噪声门、高通、低通、延时、压限、PEQ等功能；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06、支持多通道大功率输出、桥接和立体声输出，每路功率可单独调节，；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07、具有电源双备份系统，防止因电源损坏而造成系统故障。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08、主频为60MHz的32位内嵌式处理器，内置8M内存和2M存储FLASH；</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09、≥8路红外发射端口，每路互相独立；≥8路独立数字输入输出I/O口，输入输出电压范围DC 0~5V，电流0-10mA；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10、≥8路独立弱电继电器接口；≥8路双向可编程RS-232/422/485通讯接口；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11、≥3路BPBUS控制总线，可扩充达256个网络设备；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12、≥1个以太网接口（支持TCP/IP协议），用于连接WI-FI设备；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13、可以支持多个无线终端同时连接主机；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14、最大支持16个通道平衡线路输入，4通道平衡线路输出；输入通道均支持MIC/LINE、+48VDC幻像供电，具有混音路由功能；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15、采样频率/量化≥48kHz，24Bit DAC，总谐波失真&lt;0.006%；1kHz@+4dBu、&lt;0.01%；20Hz～20kHz@+4dBu；</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16、每个输入通道有反馈抑制器、噪声门、高通、低通、1S延时器、压限器、﹥15段PEQ、电平表、反相、静音、音量控制；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17、每个输入通道有高通、低通、2S延时器、压限器、﹥15段PEQ；</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18、内置正弦波信号、粉红噪声、白噪声信号发生器，可存储32个场景；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19、支持摄像跟踪代码输出，可通过第三方中控实现摄像联动功能；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20、输出功率最大支持：4*600W/8Ω，4*1100W/4Ω，桥接2*8Ω≥1200W，桥接2*4Ω≥1700W，输出功率可进行档位调节；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21、信噪比：103dB，失真：&lt;0.03%@8Ω1KHz，输入阻抗：20KΩ，频响范围：35Hz—20KHz；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22、阻尼系数：&gt;400@8ohm；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23、输入敏度可选择0.775V（0dB）或者3.1V（+12dB）；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24、★最大支持16通道高清视频信号交换，EDID自适应，图像最高分辨率1920*1200@60Hz</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25、配合信号输出板卡独立实现1*2、2*2至最高2*4拼接画面输出；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26、输入支持HDMI、DVI、VGA、YPbPr、CVBS、RJ45（HDBaseT）、SDI、光纤信号；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27、输出支持HDMI、DVI、VGA、RJ45（HDBaseT）、SDI、光纤信号；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28、投标时提供原厂ISO9001、ISO14001、OHSAS18001管理体系认证证书；实用新型专利证书、CNAS认证并加盖原厂公章；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29、投标时提供产品彩页、原厂授权、质保函并加盖原厂公章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DS迪赛思/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Craisie科莱兹/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COUDUS卡达斯</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176</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平板电脑</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IPAD电脑</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177</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无线路由器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无线传输速度:108M以上，有线传输率: 10/100Mbps ，无线传输速率: 450Mbps 网络标准: 802.11b 无线网络支持频率: 2.4G 路由器应用: 宽带路由器  </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3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商务投影机</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投影技术：DLP</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标准亮度：≥4000流明（根据ISO21118标准）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DLP芯片尺寸：0.65英寸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标准分辨率：1920×1080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灯泡：≤270W  标准模式下灯泡寿命≥3500小时（节能模式下灯泡寿命≥8000小时）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对比度：≥10000：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镜头变焦比：1.7</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端口：HDMI输入端口×2；D-SUB15针输入×1；复合视频输入×1；带音频输入、输出；RJ-45网络接口； USB端口；控制串口；3D SYNC×1，3D同步输出接口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内置扬声器：≥20W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功耗（标准）： ≤340W，最低待机功耗： ≤0.5W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重量：≤3.7KG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磁感色轮系统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自动梯形校正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通过RGB线连接可以在电脑上控制投影机（提供中文版软件）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接通电源可自动投射画面的自动开机功能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带网络控制功能（提供中文版软件）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具备网络投影功能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具备无线投影功能，并且支持音视频同步传输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支持几何校正功能（提高中文版软件）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具有U盘直读功能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具有多种节能模式选择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具有光线传感器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具有3D功能，支持蓝光3D</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颜色增强模式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满足DICOM标准要求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支持麦克风输入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机身标识、遥控器及菜单为中文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不同背景色，可以在黑板或其他颜色背景墙上直接投影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密码防盗功能及自定义开机LOGO</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NEC/CHRISTIE/BARCO</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是</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179</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电动投影幕</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120寸投影幕，16:9</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投影机电动吊架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根据现场情况定制投影机电动吊架</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55寸辅助显示器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屏幕尺寸 55英寸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屏幕分辨率 超高清4K（3840x2160）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亮度 400-600流明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屏幕比例 16:9</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刷屏率 60HZ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背光源 直下式LED</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响应时间 6ms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支持格式（高清） 2160p</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水平视角（度） 160-180度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垂直视角（度） 160-180度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智能电视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操作系统 易柚5.0（基于安卓4.4）</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CPU 64位A53处理器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内部存储空间 DDR： 1GB eMMC： 4GB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数字电视 地面数字电视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三星、索尼、TCL</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182</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HDMI分配器</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HDMI分配器1进4出 一分四 4K数字高清电脑视频分屏器</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183</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显示器伸缩支架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显示器伸缩支架</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音响支架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音响支架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桌面话筒支架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桌面话筒支架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接插件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接插件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多媒体桌插</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多媒体桌插</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机柜</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定制木质音响设备机柜</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189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190</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191</w:t>
            </w:r>
          </w:p>
        </w:tc>
        <w:tc>
          <w:tcPr>
            <w:tcW w:w="13519"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十二、监控中心机房及LED小间距大屏　</w:t>
            </w:r>
          </w:p>
        </w:tc>
      </w:tr>
      <w:tr>
        <w:tblPrEx>
          <w:tblCellMar>
            <w:top w:w="0" w:type="dxa"/>
            <w:left w:w="108" w:type="dxa"/>
            <w:bottom w:w="0" w:type="dxa"/>
            <w:right w:w="108" w:type="dxa"/>
          </w:tblCellMar>
        </w:tblPrEx>
        <w:trPr>
          <w:trHeight w:val="52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室内小间距LED显示屏</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RGB采用表贴三合一纯黑灯金线封装。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分辨率：6720×2160。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★像素间距≤1.26mm，像素密度≥ 629882点/m2；（提供CNAS和CMA认可实验室出具的检测报告）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箱体平整度（mm）≤0.1，发光点中心距偏差 &lt;2%；（提供CNAS和CMA认可实验室出具的检测报告）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屏幕最大亮度600nit（色温3000k-10000k可调）；（提供CNAS和CMA认可实验室出具的检测报告）。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水平视角160°，垂直视角160°；（提供CNAS和CMA认可实验室出具的检测报告）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峰值功耗不大于650W/m2，平均功耗不大于217W/m2 ；（提供CNAS和CMA认可实验室出具的检测报告）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亮度均匀性≥97%，色度均匀性±0.003Cx,Cy之内具有单点色度/亮度校正功能，支持屏体拼缝亮线、暗线校正；（提供CNAS和CMA认可实验室出具的检测报告）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最大对比度不小于7000:1  刷新率（Hz） ≥3000HZ，换帧频率50、60Hz；（提供CNAS和CMA认可实验室出具的检测报告）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LED 单点自检、通讯检测、电源检测、温度监控；可实现远程监督控制，对可能发生的潜在故障记录日志,并向操作员发出警报信号。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自动gamma矫正技术，动态节能，降低功耗。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显示屏单元箱体必须通过国家强制3C认证。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产品控制方式采用同步控制,点点对应；（提供CNAS和CMA认可实验室出具的检测报告）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LED生产厂家具备提供国家级质量认证合格单位（CMA）、中国合格评定国家认可委员会（CNAS）认可实验室出具的产品检测报告、防尘检测报告、盐雾检测报告、阻燃检测报告、噪声检测报告，并提供相关认证证书扫描件并加盖原厂公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平方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利亚德/大华/三星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193</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显示屏控制器</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包括接收卡、发送卡、电源、控制软件等；控制软件安装在用户PC机（工作站）上，并与用户系统兼容，不会影响用户原来各种应用系统的运行。网络上的工作站安装控制软件后，即可一台控制终端，随时管理控制大屏幕系统；</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利亚德/大华/三星</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335"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视频综合平台增强型</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1) 标准19”机架式，4U机箱高度，12个板卡槽位，嵌入式系统，模块化设计，支持双电源冗余，具有2组风扇，每组6个风扇（支持热插拔、冗余；支持吹和抽两种模式同时工作；（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支持刀片式音视频图像处理板，可根据需要配置不同数量的输入板和输出板，最大可以配置1块主控板，1块控制板，10块业务板。输出板卡支持热插拔功能；（提供公安部有效检测报告复印件加盖原厂公章）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 要求主控板至少具有1个VGA输出，不少于2个千兆网口、3个USB接口（提供公安部权威检测机构出具的检测报告原件或复印件，并加盖原厂商公章。）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 本次设备标配108路视频（1920×1080、25fps、8Mbps）同时进行接收和转发。（提供公安部权威检测机构出具的检测报告原件或复印件，并加盖原厂商公章。）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5) 支持1、4、6、8、9、16、25、36等分割显示，支持视频切换流畅无黑屏现象，视频断开后保留最后一帧图像；（提供公安部有效检测报告复印件加盖原厂公章）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6) 视频上墙延时小于92ms；（提供公安部有效检测报告复印件加盖原厂公章）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要求设备支持虚拟LED显示功能，即在单屏/拼接屏上显示文字，文字字体、颜色、字符间距、背景色和速度可调节；（提供公安部有效检测报告复印件加盖原厂公章）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7) 具备底图功能，支持BMP、JPEG图片格式，支持底图更换、轮巡，最大支持分辨率15765X8868的底图；（提供公安部有效检测报告复印件加盖原厂公章）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8) 支持电视墙的拼接功能，单块输出板卡最多可支持6个屏幕拼接，支持多块输出板卡进行拼接；（提供公安部有效检测报告复印件加盖原厂公章）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9) 单机最大规模可支持不少于40个3840*2160分辨率端口输出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要求设备单块解码板解码能力最高支持：128 路704×574@30fps，或64路1280×720@30fps，或32路1920×1080@30fps（H.264和H.265），或24路2048×1536@25fps，或8路3840×2160@16fps，或6路4096×2160@25fps，或8路4000×3000@15fps的视频解码能力；（提供公安部权威检测机构出具的检测报告原件或复印件，并加盖原厂商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10) 设备支持通过PC软件客户端、WEB浏览器客户端、本地界面、平台客户端、IPAD移动终端进行配置管理；（提供公安部有效检测报告复印件加盖原厂公章）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11) 提供中国国家强制性产品认证证书（中国质量认证中心出具3C证明复印件）；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12) 要求投标产品具有公安部检测报告，符合GA/T646-2006 视频安防监控系统矩阵切换设备通用技术要求，符合GA/T669.7-2008城市监控报警联网系统技术标准第7部分：管理平台技术要求 GB/T 15211-2013 安全防范报警设备环境适应性要求和实验方法。（提供公安部有效检测报告复印件加盖原厂公章）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13) 要求设备具有公安部计算机信息系统安全产品质量监督试验中心出具的安全访问控制检测报告（提供公安部有效检测报告复印件加盖原厂公章）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14) 投标产品须具备自主知识产权，具备视频图像清晰度和移动幅度检测相关专利证书为宜（提供相应的专利证书复印件加盖原厂公章）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15) 提供公安部权威检测机构出具的SVAC检测报告（提供公安部有效检测报告复印件加盖原厂公章）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16) 获得国家火炬计划认证证书复印件，证书是需体现“视频综合平台”产品，并加盖原厂商公章；（提供权威检测报告原件或复印件，并加盖原厂商公章）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17) 控制设备符合GB/T24021-2001 idt ISO14021：1999 《环境管理 环境标志与申明 自我环境声明（II型环境标志）》的要求；提供CEC出具的认证证书；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18) 考虑系统兼容稳定性，图像拼接控制器必须与显示单元、控制软件采用同一厂家产品；（提供设备3C证明及软件著作权证明）</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需接入到萧山公安智慧视频综合应用平台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利亚德/大华/三星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195</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HDMI高清视频输入卡</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支持4路高清HDMI/DVI输入</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需接入到萧山公安智慧视频综合应用平台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利亚德/大华/三星</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196</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HDMI高清解码卡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支持6路高清HDMI/DVI输出，支持高清确码上墙</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需接入到萧山公安智慧视频综合应用平台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利亚德/大华/三星</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7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多屏控制软件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1、B/S架构，用户无需安装客户端程序，直接WEB访问，避免操作电脑瘫痪后无法控制大屏幕。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2、网络解码设备管理功能，可以管理网络编解码设备，实现模拟摄像机、网络摄像机、HD-SDI数字摄像机和高清会议系统等网络视频信号和网络计算机信号上屏显示；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3、云台控制功能，可对球机的转动、变倍、变焦等进行操作；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4、具备同时管理多路实时信号的上墙能力；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5、具备单窗口多路信号源的轮巡功能，可以自定义间隔时间以实现信号的轮巡；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6、具备画面分割功能，能轻松实现单屏4画面、16画面分割；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7、具备自定义开窗功能，常用1、4、9、16开窗模式，布局灵活多样；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8、支持画面整屏、全屏、跨屏、缩放、漫游等功能；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9、可实现与图像控制器相接的RGB和Video矩阵的联动控制，自动完成相应的矩阵与图像控制系统输入端口的切换。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10、大屏幕管理软件应为全中文界面，无需数据库支持，不需安装数据库引擎，方便维护、备份等系统管理，可向用户提供源代码进行二次开发，也可按照用户要求进行修改。</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需接入到萧山公安智慧视频综合应用平台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利亚德/大华/三星</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198</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结构安装支架</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1、安装支架，根据现场条件进行定制。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2、保证快速检修的需要。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3、安装支架配有上下左右前后六个方向微调。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4、采用铝合金型材结构设计。</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平方</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23</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199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配电箱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20KW标准配电柜（含PLC）具有过压、过流等保护功能，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具有远程控制及定时自动开关功能，具有多路输出及延时上电功能，配电系统包括自电源总进线开始的全部电缆。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设备产品符合并通过国家强制性CCC认证要求（提供复印扫描件并加盖原厂公章）。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工程线缆</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配套工程线材：含大屏各类控制线、高清输出输入线、信号线等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高清分配器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电脑信号输出分配器、根据情况选配VGA或HDMI</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市电配电</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市电强电引入到大屏位置、15KV、3项5线制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操作台</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监控中心操作台</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大屏包边装饰</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大屏周边装饰包边、与室内色调相协调、采用烤漆玻璃面板</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UPS配电</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从UPS配电间引入不间断电源供操作台电脑使用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配件附件</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零星小配件及零星辅材、安装附件等</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208</w:t>
            </w:r>
          </w:p>
        </w:tc>
        <w:tc>
          <w:tcPr>
            <w:tcW w:w="1351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十三、综合布线系统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209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PE进线管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PE102</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PVC20</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330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六类电话线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144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单口电脑插座面板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单口86面板</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7.2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双口电脑插座面板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双口86面板</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17.9</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216</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电话插座面板</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86面板</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10套</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19.1</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217</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电脑模块</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六类非屏蔽RJ45模块</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43</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218</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电话模块</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四芯电话模块</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19.1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219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有线电视插座</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86型含电视模块</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电视线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SYWV75-5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电视线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SYWV75-7</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双向有线电视放大器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750MHZ</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四分配器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一分四</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四分支器</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一分四</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电视分线箱</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（300*300*250）A3（铁盒）</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室外4芯单模光纤</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GY4芯</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8芯单模光纤</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GY8芯</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228</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单模光纤熔接</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（含测试）</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芯</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96</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229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尾纤</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3M</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条</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96</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光纤终端盒</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四口室外型</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12口光纤配线架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含耦合器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条</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48口光纤配线架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含耦合器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条</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233</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48口快捷式配线架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48口</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234</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电脑理线架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1U 19寸</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条</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235</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电话配线架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100P</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236</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电话配线架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50P</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237</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配线跳线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六类跳线、1.5米长</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300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天诚、一舟、爱谱华顿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238</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100对电话电缆</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HYA100*0.4</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239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BV3*6</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BV3*4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BV3*2.5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UPS插座</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86型</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桥架系统</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远大、浩翔、迈迅</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244</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水平桥架</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200*100</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10m</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25</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远大、浩翔、迈迅</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245</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水平桥架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300*100</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远大、浩翔、迈迅</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246</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垂直桥架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300*100</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远大、浩翔、迈迅</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247</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桥架支撑架</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桥架配套</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100kg</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远大、浩翔、迈迅</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248</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无线WiFi网络AP系统管线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249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16</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RVV2*1.5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16</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**监控系统管线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253</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镀锌钢管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室外镀锌钢管埋地敷设 DN100镀锌钢管 含管道开挖、复平、节头、焊接等</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254</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PE管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PE102</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255</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手孔</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盖板用硬质塑料盖</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只</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28</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256</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257</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79.8</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RVV2*1.5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79.8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259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VGA线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VGA线</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260</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审讯系统管线</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263</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RVV2*1.5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音频线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RVVP4*1.0</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门禁系统管线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6.8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28.2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RVV2*1.5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28.2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269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RVV5*1.5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车辆识别道闸系统管线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RVV3*1.0</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控制线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RVVSP2*1.0</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275</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信号线</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RVVP8*0.5</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276</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排队叫号系统管线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277</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278</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279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RVV2*1.5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LED电子屏显示系统管线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BV3*6</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283</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284</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紧急呼叫报警系统管线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电源线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RVV2*1.5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二层辅楼会议室</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289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信号线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RVV4*1.0</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100/束</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音响线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音响线2*1.5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292</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VGA线</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VGA线</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0.6</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293</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HDMI线</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0.6</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294</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音频线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RVVPSN2*0.37</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0.5</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295</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296</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二层主楼会议室</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297</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298</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信号线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RVV4*1.0</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100/束</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299</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音响线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音响线2*1.5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300</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VGA线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VGA线</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301</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HDMI线</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302</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音频线</w:t>
            </w:r>
          </w:p>
        </w:tc>
        <w:tc>
          <w:tcPr>
            <w:tcW w:w="7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RVVPSN2*0.37</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303</w:t>
            </w:r>
          </w:p>
        </w:tc>
        <w:tc>
          <w:tcPr>
            <w:tcW w:w="18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304</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三层会议室</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305</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PVC管</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PVC25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伟星、中财、永士</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306</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信号线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RVV4*1.0</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100/束</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0.3</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307</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音响线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音响线2*1.5</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308</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VGA线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VGA线</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309</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HDMI线</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310</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音频线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RVVPSN2*0.37</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311</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六类网线</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Cat6-UTP</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100m</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永诚、一舟、爱谱华顿</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65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312</w:t>
            </w:r>
          </w:p>
        </w:tc>
        <w:tc>
          <w:tcPr>
            <w:tcW w:w="18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施工费用</w:t>
            </w:r>
          </w:p>
        </w:tc>
        <w:tc>
          <w:tcPr>
            <w:tcW w:w="7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管线埋放、设备安装调试等费用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7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7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w:t>
            </w:r>
          </w:p>
        </w:tc>
      </w:tr>
    </w:tbl>
    <w:p>
      <w:pPr>
        <w:spacing w:line="400" w:lineRule="exact"/>
        <w:rPr>
          <w:rFonts w:hint="eastAsia" w:ascii="宋体" w:hAnsi="宋体"/>
          <w:color w:val="000000"/>
          <w:sz w:val="24"/>
          <w:lang w:eastAsia="zh-CN"/>
        </w:rPr>
      </w:pPr>
    </w:p>
    <w:p>
      <w:pPr>
        <w:spacing w:line="400" w:lineRule="exact"/>
        <w:rPr>
          <w:rFonts w:hint="eastAsia" w:ascii="宋体" w:hAnsi="宋体"/>
          <w:color w:val="000000"/>
          <w:sz w:val="24"/>
          <w:lang w:eastAsia="zh-CN"/>
        </w:rPr>
      </w:pPr>
    </w:p>
    <w:p>
      <w:pPr>
        <w:spacing w:line="400" w:lineRule="exact"/>
        <w:rPr>
          <w:rFonts w:hint="eastAsia" w:ascii="宋体" w:hAnsi="宋体"/>
          <w:color w:val="000000"/>
          <w:sz w:val="24"/>
          <w:lang w:eastAsia="zh-CN"/>
        </w:rPr>
      </w:pPr>
    </w:p>
    <w:p>
      <w:pPr>
        <w:spacing w:line="400" w:lineRule="exact"/>
        <w:rPr>
          <w:rFonts w:hint="eastAsia" w:ascii="宋体" w:hAnsi="宋体"/>
          <w:color w:val="000000"/>
          <w:sz w:val="24"/>
          <w:lang w:eastAsia="zh-CN"/>
        </w:rPr>
      </w:pPr>
    </w:p>
    <w:p>
      <w:pPr>
        <w:spacing w:line="400" w:lineRule="exact"/>
        <w:rPr>
          <w:rFonts w:hint="eastAsia" w:ascii="宋体" w:hAnsi="宋体"/>
          <w:color w:val="000000"/>
          <w:sz w:val="24"/>
          <w:lang w:eastAsia="zh-CN"/>
        </w:rPr>
        <w:sectPr>
          <w:pgSz w:w="16838" w:h="11906" w:orient="landscape"/>
          <w:pgMar w:top="1417" w:right="1418" w:bottom="1287" w:left="1134" w:header="851" w:footer="992" w:gutter="0"/>
          <w:paperSrc/>
          <w:pgNumType w:fmt="decimal"/>
          <w:cols w:space="720" w:num="1"/>
          <w:rtlGutter w:val="0"/>
          <w:docGrid w:linePitch="312" w:charSpace="0"/>
        </w:sectPr>
      </w:pPr>
    </w:p>
    <w:p>
      <w:pPr>
        <w:spacing w:line="400" w:lineRule="exact"/>
        <w:rPr>
          <w:rFonts w:hint="eastAsia" w:ascii="宋体" w:hAnsi="宋体"/>
          <w:color w:val="000000"/>
          <w:sz w:val="24"/>
          <w:lang w:eastAsia="zh-CN"/>
        </w:rPr>
      </w:pPr>
    </w:p>
    <w:p>
      <w:pPr>
        <w:rPr>
          <w:rFonts w:hint="eastAsia" w:ascii="宋体" w:hAnsi="宋体"/>
          <w:b/>
          <w:color w:val="000000"/>
          <w:sz w:val="24"/>
        </w:rPr>
      </w:pPr>
      <w:r>
        <w:rPr>
          <w:rFonts w:hint="eastAsia" w:ascii="宋体" w:hAnsi="宋体"/>
          <w:b/>
          <w:color w:val="000000"/>
          <w:sz w:val="24"/>
        </w:rPr>
        <w:t>2、商务需求：</w:t>
      </w:r>
    </w:p>
    <w:p>
      <w:pPr>
        <w:spacing w:line="440" w:lineRule="exact"/>
        <w:ind w:firstLine="482" w:firstLineChars="200"/>
        <w:rPr>
          <w:rFonts w:hint="eastAsia" w:ascii="宋体" w:hAnsi="宋体"/>
          <w:b/>
          <w:color w:val="000000"/>
          <w:sz w:val="24"/>
        </w:rPr>
      </w:pPr>
      <w:r>
        <w:rPr>
          <w:rFonts w:hint="eastAsia" w:ascii="宋体" w:hAnsi="宋体"/>
          <w:b/>
          <w:color w:val="000000"/>
          <w:sz w:val="24"/>
        </w:rPr>
        <w:t>2.1交货时间及地点：</w:t>
      </w:r>
    </w:p>
    <w:p>
      <w:pPr>
        <w:numPr>
          <w:ilvl w:val="0"/>
          <w:numId w:val="0"/>
        </w:numPr>
        <w:spacing w:line="440" w:lineRule="exact"/>
        <w:ind w:firstLine="482" w:firstLineChars="200"/>
        <w:rPr>
          <w:rFonts w:hint="eastAsia" w:ascii="宋体" w:hAnsi="宋体"/>
          <w:b/>
          <w:color w:val="000000"/>
          <w:sz w:val="24"/>
        </w:rPr>
      </w:pPr>
      <w:r>
        <w:rPr>
          <w:rFonts w:hint="eastAsia" w:ascii="宋体" w:hAnsi="宋体"/>
          <w:b/>
          <w:bCs/>
          <w:color w:val="000000"/>
          <w:sz w:val="24"/>
          <w:shd w:val="clear" w:color="FFFFFF" w:fill="D9D9D9"/>
        </w:rPr>
        <w:t>★</w:t>
      </w:r>
      <w:r>
        <w:rPr>
          <w:rFonts w:hint="eastAsia" w:ascii="宋体" w:hAnsi="宋体"/>
          <w:b/>
          <w:bCs/>
          <w:color w:val="000000"/>
          <w:sz w:val="24"/>
          <w:shd w:val="clear" w:color="FFFFFF" w:fill="D9D9D9"/>
          <w:lang w:val="en-US" w:eastAsia="zh-CN"/>
        </w:rPr>
        <w:t>(1)</w:t>
      </w:r>
      <w:r>
        <w:rPr>
          <w:rFonts w:hint="eastAsia" w:ascii="宋体" w:hAnsi="宋体"/>
          <w:b/>
          <w:bCs/>
          <w:color w:val="000000"/>
          <w:sz w:val="24"/>
          <w:szCs w:val="24"/>
          <w:shd w:val="clear" w:color="FFFFFF" w:fill="D9D9D9"/>
        </w:rPr>
        <w:t>中标人在合</w:t>
      </w:r>
      <w:r>
        <w:rPr>
          <w:rFonts w:hint="eastAsia" w:ascii="宋体" w:hAnsi="宋体"/>
          <w:b/>
          <w:bCs/>
          <w:color w:val="000000"/>
          <w:sz w:val="24"/>
          <w:szCs w:val="24"/>
          <w:shd w:val="pct10" w:color="auto" w:fill="FFFFFF"/>
        </w:rPr>
        <w:t>同签订后</w:t>
      </w:r>
      <w:r>
        <w:rPr>
          <w:rFonts w:hint="eastAsia" w:ascii="宋体" w:hAnsi="宋体"/>
          <w:b/>
          <w:bCs/>
          <w:color w:val="000000"/>
          <w:sz w:val="24"/>
          <w:szCs w:val="24"/>
          <w:shd w:val="pct10" w:color="auto" w:fill="FFFFFF"/>
          <w:lang w:val="en-US" w:eastAsia="zh-CN"/>
        </w:rPr>
        <w:t>,</w:t>
      </w:r>
      <w:r>
        <w:rPr>
          <w:rFonts w:hint="eastAsia" w:ascii="宋体" w:hAnsi="宋体"/>
          <w:b/>
          <w:color w:val="000000"/>
          <w:sz w:val="24"/>
          <w:shd w:val="pct10" w:color="auto" w:fill="FFFFFF"/>
        </w:rPr>
        <w:t>管线安装配合土建总包单位，设备安装在装修完成后15天内</w:t>
      </w:r>
      <w:r>
        <w:rPr>
          <w:rFonts w:hint="eastAsia" w:ascii="宋体" w:hAnsi="宋体"/>
          <w:b/>
          <w:bCs/>
          <w:color w:val="000000"/>
          <w:sz w:val="24"/>
          <w:szCs w:val="24"/>
          <w:shd w:val="pct10" w:color="auto" w:fill="FFFFFF"/>
        </w:rPr>
        <w:t>安装、测试完成</w:t>
      </w:r>
      <w:r>
        <w:rPr>
          <w:rFonts w:hint="eastAsia" w:ascii="宋体" w:hAnsi="宋体"/>
          <w:b/>
          <w:color w:val="000000"/>
          <w:sz w:val="24"/>
        </w:rPr>
        <w:t>。</w:t>
      </w:r>
    </w:p>
    <w:p>
      <w:pPr>
        <w:spacing w:line="440" w:lineRule="exact"/>
        <w:rPr>
          <w:rFonts w:hint="eastAsia" w:ascii="宋体" w:hAnsi="宋体"/>
          <w:color w:val="000000"/>
          <w:sz w:val="24"/>
        </w:rPr>
      </w:pPr>
      <w:r>
        <w:rPr>
          <w:rFonts w:hint="eastAsia" w:ascii="宋体" w:hAnsi="宋体"/>
          <w:color w:val="000000"/>
          <w:sz w:val="24"/>
        </w:rPr>
        <w:t xml:space="preserve">    (2)交货地点：</w:t>
      </w:r>
      <w:r>
        <w:rPr>
          <w:rFonts w:hint="eastAsia"/>
          <w:color w:val="000000"/>
          <w:sz w:val="24"/>
        </w:rPr>
        <w:t>采购人</w:t>
      </w:r>
      <w:r>
        <w:rPr>
          <w:rFonts w:hint="eastAsia" w:ascii="宋体" w:hAnsi="宋体"/>
          <w:color w:val="000000"/>
          <w:sz w:val="24"/>
        </w:rPr>
        <w:t>指定地点</w:t>
      </w:r>
      <w:r>
        <w:rPr>
          <w:rFonts w:hint="eastAsia"/>
          <w:color w:val="000000"/>
          <w:sz w:val="24"/>
        </w:rPr>
        <w:t>。</w:t>
      </w:r>
      <w:r>
        <w:rPr>
          <w:rFonts w:hint="eastAsia" w:ascii="宋体" w:hAnsi="宋体"/>
          <w:color w:val="000000"/>
          <w:sz w:val="24"/>
        </w:rPr>
        <w:t xml:space="preserve">                            </w:t>
      </w:r>
    </w:p>
    <w:p>
      <w:pPr>
        <w:spacing w:line="440" w:lineRule="exact"/>
        <w:ind w:firstLine="480" w:firstLineChars="200"/>
        <w:rPr>
          <w:rFonts w:hint="eastAsia" w:ascii="宋体" w:hAnsi="宋体"/>
          <w:color w:val="000000"/>
          <w:sz w:val="24"/>
        </w:rPr>
      </w:pPr>
      <w:r>
        <w:rPr>
          <w:rFonts w:hint="eastAsia" w:ascii="宋体" w:hAnsi="宋体"/>
          <w:color w:val="000000"/>
          <w:sz w:val="24"/>
        </w:rPr>
        <w:t>(3)中标人提供的中标物品，必须符合本采购文件要求、原包装送达采购单位；如有不符，采购人可以无条件退货，所造成的损失由中标人承担。更换后的零部件质保期按更换日起顺延。</w:t>
      </w:r>
    </w:p>
    <w:p>
      <w:pPr>
        <w:spacing w:line="440" w:lineRule="exact"/>
        <w:ind w:firstLine="472" w:firstLineChars="196"/>
        <w:rPr>
          <w:rFonts w:hint="eastAsia" w:ascii="宋体" w:hAnsi="宋体"/>
          <w:b/>
          <w:color w:val="000000"/>
          <w:sz w:val="24"/>
        </w:rPr>
      </w:pPr>
      <w:r>
        <w:rPr>
          <w:rFonts w:hint="eastAsia" w:ascii="宋体" w:hAnsi="宋体"/>
          <w:b/>
          <w:color w:val="000000"/>
          <w:sz w:val="24"/>
        </w:rPr>
        <w:t>2.2质保期及售后技术服务要求</w:t>
      </w:r>
    </w:p>
    <w:p>
      <w:pPr>
        <w:spacing w:line="440" w:lineRule="exact"/>
        <w:ind w:firstLine="482" w:firstLineChars="200"/>
        <w:rPr>
          <w:rFonts w:hint="eastAsia" w:ascii="宋体" w:hAnsi="宋体"/>
          <w:b/>
          <w:bCs/>
          <w:color w:val="000000"/>
          <w:sz w:val="24"/>
          <w:shd w:val="clear" w:color="FFFFFF" w:fill="D9D9D9"/>
        </w:rPr>
      </w:pPr>
      <w:r>
        <w:rPr>
          <w:rFonts w:hint="eastAsia" w:ascii="宋体" w:hAnsi="宋体"/>
          <w:b/>
          <w:bCs/>
          <w:color w:val="000000"/>
          <w:sz w:val="24"/>
          <w:shd w:val="clear" w:color="FFFFFF" w:fill="D9D9D9"/>
        </w:rPr>
        <w:t>★(1)质保期：</w:t>
      </w:r>
      <w:r>
        <w:rPr>
          <w:rFonts w:hint="eastAsia" w:ascii="宋体" w:hAnsi="宋体"/>
          <w:b/>
          <w:bCs/>
          <w:color w:val="000000"/>
          <w:sz w:val="24"/>
          <w:shd w:val="clear" w:color="FFFFFF" w:fill="D9D9D9"/>
          <w:lang w:val="en-US" w:eastAsia="zh-CN"/>
        </w:rPr>
        <w:t>2</w:t>
      </w:r>
      <w:r>
        <w:rPr>
          <w:rFonts w:hint="eastAsia" w:ascii="宋体" w:hAnsi="宋体"/>
          <w:b/>
          <w:bCs/>
          <w:color w:val="000000"/>
          <w:sz w:val="24"/>
          <w:shd w:val="clear" w:color="FFFFFF" w:fill="D9D9D9"/>
        </w:rPr>
        <w:t>年。</w:t>
      </w:r>
    </w:p>
    <w:p>
      <w:pPr>
        <w:spacing w:line="440" w:lineRule="exact"/>
        <w:ind w:firstLine="480" w:firstLineChars="200"/>
        <w:rPr>
          <w:rFonts w:hint="eastAsia" w:ascii="宋体" w:hAnsi="宋体"/>
          <w:color w:val="000000"/>
          <w:sz w:val="24"/>
        </w:rPr>
      </w:pPr>
      <w:r>
        <w:rPr>
          <w:rFonts w:hint="eastAsia" w:ascii="宋体" w:hAnsi="宋体"/>
          <w:color w:val="000000"/>
          <w:sz w:val="24"/>
        </w:rPr>
        <w:t xml:space="preserve">(2)质保期内，免费更换正常使用下损坏的零件；终身维修，对设备维修，只收取维修成本费；在质保期内，提供日常的巡检服务，即2周内检查设备一次，一个月内清洁设备一次，并做好服务记录，发现故障现场解决。 </w:t>
      </w:r>
    </w:p>
    <w:p>
      <w:pPr>
        <w:spacing w:line="440" w:lineRule="exact"/>
        <w:ind w:firstLine="480" w:firstLineChars="200"/>
        <w:rPr>
          <w:rFonts w:hint="eastAsia" w:ascii="宋体" w:hAnsi="宋体"/>
          <w:color w:val="000000"/>
          <w:sz w:val="24"/>
        </w:rPr>
      </w:pPr>
      <w:r>
        <w:rPr>
          <w:rFonts w:hint="eastAsia" w:ascii="宋体" w:hAnsi="宋体"/>
          <w:color w:val="000000"/>
          <w:sz w:val="24"/>
        </w:rPr>
        <w:t>(3)质量保证期内提供免费上门维护、升级服务，如设备出现故障，供货单位在接到电话后，立即响应，2小时以内到现场处理，12小时以内修复，现场不能修复的，必须采取无偿提供采购物品的备用件或整机等措施，保证用户单位的正常使用。</w:t>
      </w:r>
    </w:p>
    <w:p>
      <w:pPr>
        <w:spacing w:line="440" w:lineRule="exact"/>
        <w:ind w:firstLine="480" w:firstLineChars="200"/>
        <w:rPr>
          <w:rFonts w:hint="eastAsia" w:ascii="宋体" w:hAnsi="宋体"/>
          <w:color w:val="000000"/>
          <w:sz w:val="24"/>
        </w:rPr>
      </w:pPr>
      <w:r>
        <w:rPr>
          <w:rFonts w:hint="eastAsia" w:ascii="宋体" w:hAnsi="宋体"/>
          <w:color w:val="000000"/>
          <w:sz w:val="24"/>
        </w:rPr>
        <w:t>(4)投标人应提供技术支持方案，内容由投标人根据实际选择以下要点：服务机构（维保点）的地址、人员状况、维修能力、联系方式、营业执照、公司资质材料、相关案例等。</w:t>
      </w:r>
    </w:p>
    <w:p>
      <w:pPr>
        <w:spacing w:line="440" w:lineRule="exact"/>
        <w:ind w:firstLine="480" w:firstLineChars="200"/>
        <w:rPr>
          <w:rFonts w:hint="eastAsia" w:ascii="宋体" w:hAnsi="宋体"/>
          <w:color w:val="000000"/>
          <w:sz w:val="24"/>
        </w:rPr>
      </w:pPr>
      <w:r>
        <w:rPr>
          <w:rFonts w:hint="eastAsia" w:ascii="宋体" w:hAnsi="宋体"/>
          <w:color w:val="000000"/>
          <w:sz w:val="24"/>
        </w:rPr>
        <w:t>(5)完整准确地表述原厂家的标准售后服务承诺（范围、标准及期限等）、投标人可能增加的服务承诺等。</w:t>
      </w:r>
    </w:p>
    <w:p>
      <w:pPr>
        <w:spacing w:line="440" w:lineRule="exact"/>
        <w:ind w:firstLine="480" w:firstLineChars="200"/>
        <w:rPr>
          <w:rFonts w:hint="eastAsia" w:ascii="宋体" w:hAnsi="宋体"/>
          <w:color w:val="000000"/>
          <w:sz w:val="24"/>
        </w:rPr>
      </w:pPr>
      <w:r>
        <w:rPr>
          <w:rFonts w:hint="eastAsia" w:ascii="宋体" w:hAnsi="宋体"/>
          <w:color w:val="000000"/>
          <w:sz w:val="24"/>
        </w:rPr>
        <w:t>(6)明示服务承诺可能涉及的前提设定和费用，否则将被认为是无条件和免费的。</w:t>
      </w:r>
    </w:p>
    <w:p>
      <w:pPr>
        <w:spacing w:line="440" w:lineRule="exact"/>
        <w:ind w:firstLine="472" w:firstLineChars="196"/>
        <w:rPr>
          <w:rFonts w:hint="eastAsia" w:ascii="宋体" w:hAnsi="宋体"/>
          <w:b/>
          <w:color w:val="000000"/>
          <w:sz w:val="24"/>
        </w:rPr>
      </w:pPr>
      <w:r>
        <w:rPr>
          <w:rFonts w:hint="eastAsia" w:ascii="宋体" w:hAnsi="宋体"/>
          <w:b/>
          <w:color w:val="000000"/>
          <w:sz w:val="24"/>
        </w:rPr>
        <w:t>2.3项目实施计划</w:t>
      </w:r>
    </w:p>
    <w:p>
      <w:pPr>
        <w:spacing w:line="440" w:lineRule="exact"/>
        <w:ind w:firstLine="480" w:firstLineChars="200"/>
        <w:rPr>
          <w:rFonts w:hint="eastAsia" w:ascii="宋体" w:hAnsi="宋体"/>
          <w:color w:val="000000"/>
          <w:sz w:val="24"/>
        </w:rPr>
      </w:pPr>
      <w:r>
        <w:rPr>
          <w:rFonts w:hint="eastAsia" w:ascii="宋体" w:hAnsi="宋体"/>
          <w:color w:val="000000"/>
          <w:sz w:val="24"/>
        </w:rPr>
        <w:t>项目实施的组织工作方案：施工方案、工作时间进度表、工作程序或步骤、管理和协调方法、送货方案等。</w:t>
      </w:r>
    </w:p>
    <w:p>
      <w:pPr>
        <w:spacing w:line="440" w:lineRule="exact"/>
        <w:ind w:firstLine="472" w:firstLineChars="196"/>
        <w:rPr>
          <w:rFonts w:hint="eastAsia" w:ascii="宋体" w:hAnsi="宋体"/>
          <w:b/>
          <w:color w:val="000000"/>
          <w:sz w:val="24"/>
          <w:shd w:val="clear" w:color="FFFFFF" w:fill="D9D9D9"/>
        </w:rPr>
      </w:pPr>
      <w:r>
        <w:rPr>
          <w:rFonts w:hint="eastAsia" w:ascii="宋体" w:hAnsi="宋体"/>
          <w:b/>
          <w:bCs/>
          <w:color w:val="000000"/>
          <w:sz w:val="24"/>
          <w:shd w:val="clear" w:color="FFFFFF" w:fill="D9D9D9"/>
        </w:rPr>
        <w:t>★</w:t>
      </w:r>
      <w:r>
        <w:rPr>
          <w:rFonts w:hint="eastAsia" w:ascii="宋体" w:hAnsi="宋体"/>
          <w:b/>
          <w:color w:val="000000"/>
          <w:sz w:val="24"/>
          <w:shd w:val="clear" w:color="FFFFFF" w:fill="D9D9D9"/>
        </w:rPr>
        <w:t>2.4付款方式</w:t>
      </w:r>
    </w:p>
    <w:p>
      <w:pPr>
        <w:snapToGrid w:val="0"/>
        <w:spacing w:line="440" w:lineRule="exact"/>
        <w:ind w:firstLine="482" w:firstLineChars="200"/>
        <w:jc w:val="left"/>
        <w:rPr>
          <w:rFonts w:hint="eastAsia" w:ascii="宋体" w:hAnsi="宋体"/>
          <w:b/>
          <w:color w:val="000000"/>
          <w:sz w:val="24"/>
          <w:shd w:val="clear" w:color="FFFFFF" w:fill="D9D9D9"/>
        </w:rPr>
      </w:pPr>
      <w:r>
        <w:rPr>
          <w:rFonts w:hint="eastAsia" w:ascii="宋体" w:hAnsi="宋体"/>
          <w:b/>
          <w:bCs/>
          <w:color w:val="000000"/>
          <w:sz w:val="24"/>
          <w:shd w:val="clear" w:color="FFFFFF" w:fill="D9D9D9"/>
        </w:rPr>
        <w:t>中标人在合同签订前向采购人支付中标金额的10%作为履约保证金；所有设备安装完成后采购人支付合同价的60%；</w:t>
      </w:r>
      <w:r>
        <w:rPr>
          <w:rFonts w:hint="eastAsia" w:ascii="宋体" w:hAnsi="宋体"/>
          <w:b/>
          <w:color w:val="000000"/>
          <w:sz w:val="24"/>
          <w:shd w:val="clear" w:color="FFFFFF" w:fill="D9D9D9"/>
        </w:rPr>
        <w:t>设备完成安装调试经区验收办验收合格后由采购人向中标人支付至合同价的95%，其余5%作为质量保证金，待设备质保期满且无质量问题后无息退还。</w:t>
      </w:r>
    </w:p>
    <w:p>
      <w:pPr>
        <w:snapToGrid w:val="0"/>
        <w:spacing w:line="440" w:lineRule="exact"/>
        <w:ind w:firstLine="482" w:firstLineChars="200"/>
        <w:jc w:val="left"/>
        <w:rPr>
          <w:rFonts w:hint="eastAsia" w:ascii="宋体" w:hAnsi="宋体" w:eastAsia="宋体"/>
          <w:b/>
          <w:color w:val="000000"/>
          <w:sz w:val="24"/>
          <w:shd w:val="clear" w:color="FFFFFF" w:fill="D9D9D9"/>
          <w:lang w:val="en-US" w:eastAsia="zh-CN"/>
        </w:rPr>
      </w:pPr>
      <w:r>
        <w:rPr>
          <w:rFonts w:hint="eastAsia" w:ascii="宋体" w:hAnsi="宋体"/>
          <w:b/>
          <w:color w:val="000000"/>
          <w:sz w:val="24"/>
          <w:shd w:val="clear" w:color="FFFFFF" w:fill="D9D9D9"/>
          <w:lang w:val="en-US" w:eastAsia="zh-CN"/>
        </w:rPr>
        <w:t>2.5本项目投标报价应包含总包配合费，按投标总价4%计算（包含部分管线预埋），并计入投标总价中。</w:t>
      </w:r>
    </w:p>
    <w:p>
      <w:pPr>
        <w:snapToGrid w:val="0"/>
        <w:spacing w:line="440" w:lineRule="exact"/>
        <w:ind w:firstLine="482" w:firstLineChars="200"/>
        <w:jc w:val="left"/>
        <w:rPr>
          <w:rFonts w:hint="eastAsia" w:ascii="宋体" w:hAnsi="宋体"/>
          <w:b/>
          <w:bCs/>
          <w:color w:val="000000"/>
          <w:sz w:val="24"/>
          <w:shd w:val="clear" w:color="FFFFFF" w:fill="D9D9D9"/>
        </w:rPr>
      </w:pPr>
    </w:p>
    <w:p>
      <w:pPr>
        <w:spacing w:line="400" w:lineRule="exact"/>
        <w:ind w:firstLine="480" w:firstLineChars="200"/>
        <w:rPr>
          <w:rFonts w:hint="eastAsia" w:ascii="宋体" w:hAnsi="宋体"/>
          <w:color w:val="000000"/>
          <w:sz w:val="24"/>
        </w:rPr>
      </w:pPr>
      <w:r>
        <w:rPr>
          <w:rFonts w:hint="eastAsia" w:ascii="宋体" w:hAnsi="宋体"/>
          <w:color w:val="000000"/>
          <w:sz w:val="24"/>
        </w:rPr>
        <w:t>注：</w:t>
      </w:r>
    </w:p>
    <w:p>
      <w:pPr>
        <w:spacing w:line="400" w:lineRule="exact"/>
        <w:ind w:firstLine="480" w:firstLineChars="200"/>
        <w:rPr>
          <w:rFonts w:hint="eastAsia" w:ascii="宋体" w:hAnsi="宋体"/>
          <w:color w:val="000000"/>
          <w:sz w:val="24"/>
        </w:rPr>
      </w:pPr>
      <w:r>
        <w:rPr>
          <w:rFonts w:hint="eastAsia" w:ascii="宋体" w:hAnsi="宋体"/>
          <w:color w:val="000000"/>
          <w:sz w:val="24"/>
        </w:rPr>
        <w:t>1.除采购文件标注的参考品牌外，欢迎其它能满足本项目技术需求且性能与所注品牌相当的产品参与。</w:t>
      </w:r>
    </w:p>
    <w:p>
      <w:pPr>
        <w:spacing w:line="400" w:lineRule="exact"/>
        <w:ind w:firstLine="480" w:firstLineChars="200"/>
        <w:rPr>
          <w:rFonts w:hint="eastAsia" w:ascii="宋体" w:hAnsi="宋体"/>
          <w:color w:val="000000"/>
          <w:sz w:val="24"/>
        </w:rPr>
      </w:pPr>
      <w:r>
        <w:rPr>
          <w:rFonts w:hint="eastAsia" w:ascii="宋体" w:hAnsi="宋体"/>
          <w:color w:val="000000"/>
          <w:sz w:val="24"/>
        </w:rPr>
        <w:t>2.如有附图，仅作参考。</w:t>
      </w:r>
    </w:p>
    <w:p>
      <w:pPr>
        <w:spacing w:line="400" w:lineRule="exact"/>
        <w:ind w:firstLine="480" w:firstLineChars="200"/>
        <w:rPr>
          <w:rFonts w:hint="eastAsia" w:ascii="宋体" w:hAnsi="宋体"/>
          <w:color w:val="000000"/>
          <w:sz w:val="24"/>
        </w:rPr>
      </w:pPr>
      <w:r>
        <w:rPr>
          <w:rFonts w:hint="eastAsia" w:ascii="宋体" w:hAnsi="宋体"/>
          <w:color w:val="000000"/>
          <w:sz w:val="24"/>
        </w:rPr>
        <w:t>3.招标文件中打★内容为实质性要求，不允许有负偏离，否则将以涉及无效投标条款作无效投标。</w:t>
      </w:r>
    </w:p>
    <w:p>
      <w:pPr>
        <w:spacing w:line="400" w:lineRule="exact"/>
        <w:ind w:firstLine="480" w:firstLineChars="200"/>
        <w:rPr>
          <w:rFonts w:hint="eastAsia" w:ascii="宋体" w:hAnsi="宋体"/>
          <w:color w:val="000000"/>
          <w:sz w:val="24"/>
        </w:rPr>
      </w:pPr>
      <w:r>
        <w:rPr>
          <w:rFonts w:hint="eastAsia" w:ascii="宋体" w:hAnsi="宋体"/>
          <w:color w:val="000000"/>
          <w:sz w:val="24"/>
        </w:rPr>
        <w:t>4、中标供应商所提供的货物、服务须与投标承诺一致，不得以次充好、偷工减料，若在项目验收中发现有上述情况，将向有关部门举报，根据相关规定进行处理。</w:t>
      </w:r>
    </w:p>
    <w:p>
      <w:pPr>
        <w:spacing w:line="400" w:lineRule="exact"/>
        <w:ind w:firstLine="480" w:firstLineChars="200"/>
        <w:rPr>
          <w:rFonts w:hint="eastAsia" w:eastAsia="Calibri"/>
          <w:color w:val="000000"/>
          <w:sz w:val="24"/>
          <w:u w:val="single"/>
        </w:rPr>
      </w:pPr>
      <w:r>
        <w:rPr>
          <w:rFonts w:hint="eastAsia"/>
          <w:color w:val="000000"/>
          <w:sz w:val="24"/>
        </w:rPr>
        <w:t>5、质疑受理电话：</w:t>
      </w:r>
      <w:r>
        <w:rPr>
          <w:rFonts w:hint="eastAsia"/>
          <w:color w:val="000000"/>
          <w:sz w:val="24"/>
          <w:u w:val="single"/>
        </w:rPr>
        <w:t>0571-83881208</w:t>
      </w:r>
    </w:p>
    <w:p>
      <w:pPr>
        <w:spacing w:line="400" w:lineRule="exact"/>
        <w:ind w:firstLine="480" w:firstLineChars="200"/>
        <w:rPr>
          <w:rFonts w:hint="eastAsia"/>
          <w:color w:val="000000"/>
          <w:sz w:val="24"/>
        </w:rPr>
      </w:pPr>
      <w:r>
        <w:rPr>
          <w:rFonts w:hint="eastAsia"/>
          <w:color w:val="000000"/>
          <w:sz w:val="24"/>
        </w:rPr>
        <w:t xml:space="preserve">   投诉受理电话：</w:t>
      </w:r>
      <w:r>
        <w:rPr>
          <w:rFonts w:hint="eastAsia"/>
          <w:color w:val="000000"/>
          <w:sz w:val="24"/>
          <w:u w:val="single"/>
        </w:rPr>
        <w:t>0571-82769101</w:t>
      </w: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widowControl/>
        <w:shd w:val="clear" w:color="auto" w:fill="FFFFFF"/>
        <w:spacing w:before="100" w:beforeAutospacing="1" w:after="100" w:afterAutospacing="1" w:line="315" w:lineRule="atLeast"/>
        <w:rPr>
          <w:rFonts w:hint="eastAsia" w:ascii="宋体" w:hAnsi="宋体"/>
          <w:color w:val="000000"/>
          <w:sz w:val="28"/>
          <w:szCs w:val="28"/>
        </w:rPr>
      </w:pPr>
    </w:p>
    <w:p>
      <w:pPr>
        <w:pStyle w:val="2"/>
        <w:rPr>
          <w:rFonts w:hint="eastAsia"/>
          <w:color w:val="000000"/>
        </w:rPr>
      </w:pPr>
      <w:bookmarkStart w:id="63" w:name="_Toc12160"/>
      <w:r>
        <w:rPr>
          <w:rFonts w:hint="eastAsia"/>
          <w:color w:val="000000"/>
        </w:rPr>
        <w:t>第四部分  投标文件格式</w:t>
      </w:r>
      <w:bookmarkEnd w:id="59"/>
      <w:bookmarkEnd w:id="63"/>
    </w:p>
    <w:p>
      <w:pPr>
        <w:spacing w:line="360" w:lineRule="auto"/>
        <w:jc w:val="center"/>
        <w:rPr>
          <w:rFonts w:hint="eastAsia" w:ascii="宋体" w:hAnsi="宋体"/>
          <w:color w:val="000000"/>
          <w:sz w:val="24"/>
        </w:rPr>
      </w:pPr>
      <w:r>
        <w:rPr>
          <w:rFonts w:hint="eastAsia" w:ascii="宋体" w:hAnsi="宋体"/>
          <w:color w:val="000000"/>
          <w:sz w:val="24"/>
        </w:rPr>
        <w:t>一、投标函</w:t>
      </w:r>
    </w:p>
    <w:p>
      <w:pPr>
        <w:spacing w:line="360" w:lineRule="auto"/>
        <w:rPr>
          <w:rFonts w:hint="eastAsia" w:ascii="宋体" w:hAnsi="宋体"/>
          <w:color w:val="000000"/>
          <w:sz w:val="24"/>
        </w:rPr>
      </w:pPr>
    </w:p>
    <w:p>
      <w:pPr>
        <w:spacing w:line="360" w:lineRule="auto"/>
        <w:rPr>
          <w:rFonts w:hint="eastAsia"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（采购人名称）</w:t>
      </w:r>
    </w:p>
    <w:p>
      <w:pPr>
        <w:spacing w:line="360" w:lineRule="auto"/>
        <w:ind w:firstLine="480" w:firstLineChars="200"/>
        <w:rPr>
          <w:rFonts w:hint="eastAsia" w:ascii="宋体" w:hAnsi="宋体"/>
          <w:color w:val="000000"/>
          <w:sz w:val="24"/>
        </w:rPr>
      </w:pPr>
      <w:r>
        <w:rPr>
          <w:rFonts w:hint="eastAsia" w:ascii="宋体" w:hAnsi="宋体"/>
          <w:color w:val="000000"/>
          <w:sz w:val="24"/>
        </w:rPr>
        <w:t>1、根据已收到的贵方编号为</w:t>
      </w:r>
      <w:r>
        <w:rPr>
          <w:rFonts w:hint="eastAsia" w:ascii="宋体" w:hAnsi="宋体"/>
          <w:color w:val="000000"/>
          <w:sz w:val="24"/>
          <w:u w:val="single"/>
        </w:rPr>
        <w:t xml:space="preserve">         </w:t>
      </w:r>
      <w:r>
        <w:rPr>
          <w:rFonts w:hint="eastAsia" w:ascii="宋体" w:hAnsi="宋体"/>
          <w:color w:val="000000"/>
          <w:sz w:val="24"/>
        </w:rPr>
        <w:t>的</w:t>
      </w:r>
      <w:r>
        <w:rPr>
          <w:rFonts w:hint="eastAsia" w:ascii="宋体" w:hAnsi="宋体"/>
          <w:color w:val="000000"/>
          <w:sz w:val="24"/>
          <w:u w:val="single"/>
        </w:rPr>
        <w:t xml:space="preserve">                      </w:t>
      </w:r>
      <w:r>
        <w:rPr>
          <w:rFonts w:hint="eastAsia" w:ascii="宋体" w:hAnsi="宋体"/>
          <w:color w:val="000000"/>
          <w:sz w:val="24"/>
        </w:rPr>
        <w:t>项目的招标文件，遵照《中华人民政府采购法》等有关规定，我方经研究上述招标文件的各项条款后，愿以以下报价承担招标文件要求的采购任务。</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标项</w:t>
      </w:r>
      <w:r>
        <w:rPr>
          <w:rFonts w:hint="eastAsia" w:ascii="宋体" w:hAnsi="宋体"/>
          <w:color w:val="000000"/>
          <w:sz w:val="24"/>
          <w:u w:val="single"/>
        </w:rPr>
        <w:t xml:space="preserve">     </w:t>
      </w:r>
      <w:r>
        <w:rPr>
          <w:rFonts w:hint="eastAsia" w:ascii="宋体" w:hAnsi="宋体"/>
          <w:color w:val="000000"/>
          <w:sz w:val="24"/>
        </w:rPr>
        <w:t>投标总价（大写）：</w:t>
      </w:r>
      <w:r>
        <w:rPr>
          <w:rFonts w:hint="eastAsia" w:ascii="宋体" w:hAnsi="宋体"/>
          <w:color w:val="000000"/>
          <w:sz w:val="24"/>
          <w:u w:val="single"/>
        </w:rPr>
        <w:t xml:space="preserve">           </w:t>
      </w:r>
      <w:r>
        <w:rPr>
          <w:rFonts w:hint="eastAsia" w:ascii="宋体" w:hAnsi="宋体"/>
          <w:color w:val="000000"/>
          <w:sz w:val="24"/>
        </w:rPr>
        <w:t>元人民币（RMB：￥</w:t>
      </w:r>
      <w:r>
        <w:rPr>
          <w:rFonts w:hint="eastAsia" w:ascii="宋体" w:hAnsi="宋体"/>
          <w:color w:val="000000"/>
          <w:sz w:val="24"/>
          <w:u w:val="single"/>
        </w:rPr>
        <w:t xml:space="preserve">          </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2、我方已详细审阅全部招标文件，包括补疑文件及有关附件，完全接受本次采购招标文件的各项内容。</w:t>
      </w:r>
    </w:p>
    <w:p>
      <w:pPr>
        <w:spacing w:line="360" w:lineRule="auto"/>
        <w:ind w:firstLine="480" w:firstLineChars="200"/>
        <w:rPr>
          <w:rFonts w:hint="eastAsia" w:ascii="宋体" w:hAnsi="宋体"/>
          <w:color w:val="000000"/>
          <w:sz w:val="24"/>
        </w:rPr>
      </w:pPr>
      <w:r>
        <w:rPr>
          <w:rFonts w:hint="eastAsia" w:ascii="宋体" w:hAnsi="宋体"/>
          <w:color w:val="000000"/>
          <w:sz w:val="24"/>
        </w:rPr>
        <w:t>3、我方自愿参加本次采购的投标，并保证投标文件中所列举的投标报价、公司基本资料及相关资料真实合法。</w:t>
      </w:r>
    </w:p>
    <w:p>
      <w:pPr>
        <w:spacing w:line="360" w:lineRule="auto"/>
        <w:ind w:firstLine="480" w:firstLineChars="200"/>
        <w:rPr>
          <w:rFonts w:hint="eastAsia" w:ascii="宋体" w:hAnsi="宋体"/>
          <w:color w:val="000000"/>
          <w:sz w:val="24"/>
        </w:rPr>
      </w:pPr>
      <w:r>
        <w:rPr>
          <w:rFonts w:hint="eastAsia" w:ascii="宋体" w:hAnsi="宋体"/>
          <w:color w:val="000000"/>
          <w:sz w:val="24"/>
        </w:rPr>
        <w:t>4、如果我方中标，我方保证按照招标文件要求、投标文件承诺签订并履行合同。</w:t>
      </w:r>
    </w:p>
    <w:p>
      <w:pPr>
        <w:spacing w:line="360" w:lineRule="auto"/>
        <w:ind w:firstLine="480" w:firstLineChars="200"/>
        <w:rPr>
          <w:rFonts w:hint="eastAsia" w:ascii="宋体" w:hAnsi="宋体"/>
          <w:color w:val="000000"/>
          <w:sz w:val="24"/>
        </w:rPr>
      </w:pPr>
    </w:p>
    <w:p>
      <w:pPr>
        <w:spacing w:line="360" w:lineRule="auto"/>
        <w:ind w:firstLine="540" w:firstLineChars="225"/>
        <w:rPr>
          <w:rFonts w:hint="eastAsia" w:ascii="宋体" w:hAnsi="宋体"/>
          <w:color w:val="000000"/>
          <w:sz w:val="24"/>
        </w:rPr>
      </w:pPr>
      <w:r>
        <w:rPr>
          <w:rFonts w:hint="eastAsia" w:ascii="宋体" w:hAnsi="宋体"/>
          <w:color w:val="000000"/>
          <w:sz w:val="24"/>
        </w:rPr>
        <w:t>投  标  人（加盖公章）：</w:t>
      </w:r>
    </w:p>
    <w:p>
      <w:pPr>
        <w:spacing w:line="360" w:lineRule="auto"/>
        <w:ind w:firstLine="540" w:firstLineChars="225"/>
        <w:rPr>
          <w:rFonts w:hint="eastAsia" w:ascii="宋体" w:hAnsi="宋体"/>
          <w:color w:val="000000"/>
          <w:sz w:val="24"/>
        </w:rPr>
      </w:pPr>
    </w:p>
    <w:p>
      <w:pPr>
        <w:spacing w:line="360" w:lineRule="auto"/>
        <w:ind w:firstLine="540" w:firstLineChars="225"/>
        <w:rPr>
          <w:rFonts w:hint="eastAsia" w:ascii="宋体" w:hAnsi="宋体"/>
          <w:color w:val="000000"/>
          <w:sz w:val="24"/>
        </w:rPr>
      </w:pPr>
      <w:r>
        <w:rPr>
          <w:rFonts w:hint="eastAsia" w:ascii="宋体" w:hAnsi="宋体"/>
          <w:color w:val="000000"/>
          <w:sz w:val="24"/>
        </w:rPr>
        <w:t>投标人代表（签名）：</w:t>
      </w:r>
    </w:p>
    <w:p>
      <w:pPr>
        <w:spacing w:line="360" w:lineRule="auto"/>
        <w:ind w:firstLine="5220" w:firstLineChars="2175"/>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日期：       年   月   日</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jc w:val="center"/>
        <w:rPr>
          <w:rFonts w:hint="eastAsia" w:ascii="宋体" w:hAnsi="宋体"/>
          <w:color w:val="000000"/>
          <w:sz w:val="24"/>
        </w:rPr>
      </w:pPr>
      <w:r>
        <w:rPr>
          <w:rFonts w:ascii="宋体" w:hAnsi="宋体"/>
          <w:color w:val="000000"/>
          <w:sz w:val="24"/>
        </w:rPr>
        <w:br w:type="page"/>
      </w:r>
      <w:r>
        <w:rPr>
          <w:rFonts w:hint="eastAsia" w:ascii="宋体" w:hAnsi="宋体"/>
          <w:color w:val="000000"/>
          <w:sz w:val="24"/>
        </w:rPr>
        <w:t>二、投标报价明细表</w:t>
      </w:r>
      <w:bookmarkStart w:id="64" w:name="_Toc86217005"/>
    </w:p>
    <w:p>
      <w:pPr>
        <w:spacing w:line="360" w:lineRule="auto"/>
        <w:jc w:val="center"/>
        <w:rPr>
          <w:rFonts w:hint="eastAsia" w:ascii="宋体" w:hAnsi="宋体"/>
          <w:color w:val="000000"/>
          <w:sz w:val="24"/>
        </w:rPr>
      </w:pPr>
      <w:r>
        <w:rPr>
          <w:rFonts w:hint="eastAsia" w:ascii="宋体" w:hAnsi="宋体"/>
          <w:color w:val="000000"/>
          <w:sz w:val="24"/>
        </w:rPr>
        <w:t>标项：                                                           金额单位：元</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60"/>
        <w:gridCol w:w="3062"/>
        <w:gridCol w:w="900"/>
        <w:gridCol w:w="900"/>
        <w:gridCol w:w="72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color w:val="000000"/>
              </w:rPr>
            </w:pPr>
            <w:r>
              <w:rPr>
                <w:rFonts w:hint="eastAsia"/>
                <w:color w:val="000000"/>
              </w:rPr>
              <w:t>序号</w:t>
            </w:r>
          </w:p>
        </w:tc>
        <w:tc>
          <w:tcPr>
            <w:tcW w:w="1260" w:type="dxa"/>
            <w:noWrap w:val="0"/>
            <w:vAlign w:val="center"/>
          </w:tcPr>
          <w:p>
            <w:pPr>
              <w:rPr>
                <w:rFonts w:hint="eastAsia"/>
                <w:color w:val="000000"/>
              </w:rPr>
            </w:pPr>
            <w:r>
              <w:rPr>
                <w:rFonts w:hint="eastAsia"/>
                <w:color w:val="000000"/>
              </w:rPr>
              <w:t>名称</w:t>
            </w:r>
          </w:p>
        </w:tc>
        <w:tc>
          <w:tcPr>
            <w:tcW w:w="3062" w:type="dxa"/>
            <w:noWrap w:val="0"/>
            <w:vAlign w:val="center"/>
          </w:tcPr>
          <w:p>
            <w:pPr>
              <w:rPr>
                <w:rFonts w:hint="eastAsia"/>
                <w:color w:val="000000"/>
              </w:rPr>
            </w:pPr>
            <w:r>
              <w:rPr>
                <w:rFonts w:hint="eastAsia"/>
                <w:color w:val="000000"/>
              </w:rPr>
              <w:t>规格、型号及参数</w:t>
            </w:r>
          </w:p>
        </w:tc>
        <w:tc>
          <w:tcPr>
            <w:tcW w:w="900" w:type="dxa"/>
            <w:noWrap w:val="0"/>
            <w:vAlign w:val="center"/>
          </w:tcPr>
          <w:p>
            <w:pPr>
              <w:rPr>
                <w:rFonts w:hint="eastAsia"/>
                <w:color w:val="000000"/>
              </w:rPr>
            </w:pPr>
            <w:r>
              <w:rPr>
                <w:rFonts w:hint="eastAsia"/>
                <w:color w:val="000000"/>
              </w:rPr>
              <w:t>数量</w:t>
            </w:r>
          </w:p>
        </w:tc>
        <w:tc>
          <w:tcPr>
            <w:tcW w:w="900" w:type="dxa"/>
            <w:noWrap w:val="0"/>
            <w:vAlign w:val="center"/>
          </w:tcPr>
          <w:p>
            <w:pPr>
              <w:rPr>
                <w:rFonts w:hint="eastAsia"/>
                <w:color w:val="000000"/>
              </w:rPr>
            </w:pPr>
            <w:r>
              <w:rPr>
                <w:rFonts w:hint="eastAsia"/>
                <w:color w:val="000000"/>
              </w:rPr>
              <w:t>单位</w:t>
            </w:r>
          </w:p>
        </w:tc>
        <w:tc>
          <w:tcPr>
            <w:tcW w:w="720" w:type="dxa"/>
            <w:noWrap w:val="0"/>
            <w:vAlign w:val="center"/>
          </w:tcPr>
          <w:p>
            <w:pPr>
              <w:rPr>
                <w:rFonts w:hint="eastAsia"/>
                <w:color w:val="000000"/>
              </w:rPr>
            </w:pPr>
            <w:r>
              <w:rPr>
                <w:rFonts w:hint="eastAsia"/>
                <w:color w:val="000000"/>
              </w:rPr>
              <w:t>单价</w:t>
            </w:r>
          </w:p>
        </w:tc>
        <w:tc>
          <w:tcPr>
            <w:tcW w:w="900" w:type="dxa"/>
            <w:noWrap w:val="0"/>
            <w:vAlign w:val="center"/>
          </w:tcPr>
          <w:p>
            <w:pPr>
              <w:rPr>
                <w:rFonts w:hint="eastAsia"/>
                <w:color w:val="000000"/>
              </w:rPr>
            </w:pPr>
            <w:r>
              <w:rPr>
                <w:rFonts w:hint="eastAsia"/>
                <w:color w:val="000000"/>
              </w:rPr>
              <w:t>总价</w:t>
            </w:r>
          </w:p>
        </w:tc>
        <w:tc>
          <w:tcPr>
            <w:tcW w:w="900" w:type="dxa"/>
            <w:noWrap w:val="0"/>
            <w:vAlign w:val="center"/>
          </w:tcPr>
          <w:p>
            <w:pPr>
              <w:rPr>
                <w:rFonts w:hint="eastAsia"/>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color w:val="000000"/>
              </w:rPr>
            </w:pPr>
            <w:r>
              <w:rPr>
                <w:rFonts w:hint="eastAsia"/>
                <w:color w:val="000000"/>
              </w:rPr>
              <w:t>一</w:t>
            </w:r>
          </w:p>
        </w:tc>
        <w:tc>
          <w:tcPr>
            <w:tcW w:w="1260" w:type="dxa"/>
            <w:noWrap w:val="0"/>
            <w:vAlign w:val="center"/>
          </w:tcPr>
          <w:p>
            <w:pPr>
              <w:rPr>
                <w:rFonts w:hint="eastAsia"/>
                <w:color w:val="000000"/>
              </w:rPr>
            </w:pPr>
          </w:p>
        </w:tc>
        <w:tc>
          <w:tcPr>
            <w:tcW w:w="3062"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c>
          <w:tcPr>
            <w:tcW w:w="720"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color w:val="000000"/>
              </w:rPr>
            </w:pPr>
            <w:r>
              <w:rPr>
                <w:rFonts w:hint="eastAsia"/>
                <w:color w:val="000000"/>
              </w:rPr>
              <w:t>1</w:t>
            </w:r>
          </w:p>
        </w:tc>
        <w:tc>
          <w:tcPr>
            <w:tcW w:w="1260" w:type="dxa"/>
            <w:noWrap w:val="0"/>
            <w:vAlign w:val="center"/>
          </w:tcPr>
          <w:p>
            <w:pPr>
              <w:rPr>
                <w:rFonts w:hint="eastAsia"/>
                <w:color w:val="000000"/>
              </w:rPr>
            </w:pPr>
          </w:p>
        </w:tc>
        <w:tc>
          <w:tcPr>
            <w:tcW w:w="3062"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c>
          <w:tcPr>
            <w:tcW w:w="720"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color w:val="000000"/>
              </w:rPr>
            </w:pPr>
            <w:r>
              <w:rPr>
                <w:rFonts w:hint="eastAsia"/>
                <w:color w:val="000000"/>
              </w:rPr>
              <w:t>2</w:t>
            </w:r>
          </w:p>
        </w:tc>
        <w:tc>
          <w:tcPr>
            <w:tcW w:w="1260" w:type="dxa"/>
            <w:noWrap w:val="0"/>
            <w:vAlign w:val="center"/>
          </w:tcPr>
          <w:p>
            <w:pPr>
              <w:rPr>
                <w:rFonts w:hint="eastAsia"/>
                <w:color w:val="000000"/>
              </w:rPr>
            </w:pPr>
          </w:p>
        </w:tc>
        <w:tc>
          <w:tcPr>
            <w:tcW w:w="3062"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c>
          <w:tcPr>
            <w:tcW w:w="720"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color w:val="000000"/>
              </w:rPr>
            </w:pPr>
            <w:r>
              <w:rPr>
                <w:rFonts w:hint="eastAsia"/>
                <w:color w:val="000000"/>
              </w:rPr>
              <w:t>二</w:t>
            </w:r>
          </w:p>
        </w:tc>
        <w:tc>
          <w:tcPr>
            <w:tcW w:w="1260" w:type="dxa"/>
            <w:noWrap w:val="0"/>
            <w:vAlign w:val="center"/>
          </w:tcPr>
          <w:p>
            <w:pPr>
              <w:rPr>
                <w:rFonts w:hint="eastAsia"/>
                <w:color w:val="000000"/>
              </w:rPr>
            </w:pPr>
          </w:p>
        </w:tc>
        <w:tc>
          <w:tcPr>
            <w:tcW w:w="3062"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c>
          <w:tcPr>
            <w:tcW w:w="720"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color w:val="000000"/>
              </w:rPr>
            </w:pPr>
            <w:r>
              <w:rPr>
                <w:rFonts w:hint="eastAsia"/>
                <w:color w:val="000000"/>
              </w:rPr>
              <w:t>1</w:t>
            </w:r>
          </w:p>
        </w:tc>
        <w:tc>
          <w:tcPr>
            <w:tcW w:w="1260" w:type="dxa"/>
            <w:noWrap w:val="0"/>
            <w:vAlign w:val="center"/>
          </w:tcPr>
          <w:p>
            <w:pPr>
              <w:rPr>
                <w:rFonts w:hint="eastAsia"/>
                <w:color w:val="000000"/>
              </w:rPr>
            </w:pPr>
          </w:p>
        </w:tc>
        <w:tc>
          <w:tcPr>
            <w:tcW w:w="3062"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c>
          <w:tcPr>
            <w:tcW w:w="720"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718" w:type="dxa"/>
            <w:noWrap w:val="0"/>
            <w:vAlign w:val="center"/>
          </w:tcPr>
          <w:p>
            <w:pPr>
              <w:rPr>
                <w:rFonts w:hint="eastAsia"/>
                <w:color w:val="000000"/>
              </w:rPr>
            </w:pPr>
            <w:r>
              <w:rPr>
                <w:color w:val="000000"/>
              </w:rPr>
              <w:t>…</w:t>
            </w:r>
          </w:p>
        </w:tc>
        <w:tc>
          <w:tcPr>
            <w:tcW w:w="1260" w:type="dxa"/>
            <w:noWrap w:val="0"/>
            <w:vAlign w:val="center"/>
          </w:tcPr>
          <w:p>
            <w:pPr>
              <w:rPr>
                <w:rFonts w:hint="eastAsia"/>
                <w:color w:val="000000"/>
              </w:rPr>
            </w:pPr>
            <w:r>
              <w:rPr>
                <w:color w:val="000000"/>
              </w:rPr>
              <w:t>…</w:t>
            </w:r>
          </w:p>
        </w:tc>
        <w:tc>
          <w:tcPr>
            <w:tcW w:w="3062" w:type="dxa"/>
            <w:noWrap w:val="0"/>
            <w:vAlign w:val="center"/>
          </w:tcPr>
          <w:p>
            <w:pPr>
              <w:rPr>
                <w:rFonts w:hint="eastAsia"/>
                <w:color w:val="000000"/>
              </w:rPr>
            </w:pPr>
            <w:r>
              <w:rPr>
                <w:color w:val="000000"/>
              </w:rPr>
              <w:t>…</w:t>
            </w:r>
          </w:p>
        </w:tc>
        <w:tc>
          <w:tcPr>
            <w:tcW w:w="900" w:type="dxa"/>
            <w:noWrap w:val="0"/>
            <w:vAlign w:val="center"/>
          </w:tcPr>
          <w:p>
            <w:pPr>
              <w:rPr>
                <w:rFonts w:hint="eastAsia"/>
                <w:color w:val="000000"/>
              </w:rPr>
            </w:pPr>
            <w:r>
              <w:rPr>
                <w:color w:val="000000"/>
              </w:rPr>
              <w:t>…</w:t>
            </w:r>
          </w:p>
        </w:tc>
        <w:tc>
          <w:tcPr>
            <w:tcW w:w="900" w:type="dxa"/>
            <w:noWrap w:val="0"/>
            <w:vAlign w:val="center"/>
          </w:tcPr>
          <w:p>
            <w:pPr>
              <w:rPr>
                <w:rFonts w:hint="eastAsia"/>
                <w:color w:val="000000"/>
              </w:rPr>
            </w:pPr>
          </w:p>
        </w:tc>
        <w:tc>
          <w:tcPr>
            <w:tcW w:w="720" w:type="dxa"/>
            <w:noWrap w:val="0"/>
            <w:vAlign w:val="center"/>
          </w:tcPr>
          <w:p>
            <w:pPr>
              <w:rPr>
                <w:rFonts w:hint="eastAsia"/>
                <w:color w:val="000000"/>
              </w:rPr>
            </w:pPr>
          </w:p>
        </w:tc>
        <w:tc>
          <w:tcPr>
            <w:tcW w:w="900" w:type="dxa"/>
            <w:noWrap w:val="0"/>
            <w:vAlign w:val="center"/>
          </w:tcPr>
          <w:p>
            <w:pPr>
              <w:rPr>
                <w:rFonts w:hint="eastAsia"/>
                <w:color w:val="000000"/>
              </w:rPr>
            </w:pPr>
          </w:p>
        </w:tc>
        <w:tc>
          <w:tcPr>
            <w:tcW w:w="900" w:type="dxa"/>
            <w:noWrap w:val="0"/>
            <w:vAlign w:val="center"/>
          </w:tcPr>
          <w:p>
            <w:pPr>
              <w:rPr>
                <w:rFonts w:hint="eastAsia"/>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1978" w:type="dxa"/>
            <w:gridSpan w:val="2"/>
            <w:noWrap w:val="0"/>
            <w:vAlign w:val="center"/>
          </w:tcPr>
          <w:p>
            <w:pPr>
              <w:rPr>
                <w:rFonts w:hint="eastAsia"/>
                <w:color w:val="000000"/>
              </w:rPr>
            </w:pPr>
            <w:r>
              <w:rPr>
                <w:rFonts w:hint="eastAsia"/>
                <w:color w:val="000000"/>
              </w:rPr>
              <w:t>合计总价（￥）</w:t>
            </w:r>
          </w:p>
        </w:tc>
        <w:tc>
          <w:tcPr>
            <w:tcW w:w="7382" w:type="dxa"/>
            <w:gridSpan w:val="6"/>
            <w:noWrap w:val="0"/>
            <w:vAlign w:val="center"/>
          </w:tcPr>
          <w:p>
            <w:pPr>
              <w:rPr>
                <w:rFonts w:hint="eastAsia"/>
                <w:color w:val="000000"/>
              </w:rPr>
            </w:pPr>
          </w:p>
        </w:tc>
      </w:tr>
    </w:tbl>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备注：</w:t>
      </w:r>
    </w:p>
    <w:p>
      <w:pPr>
        <w:spacing w:line="360" w:lineRule="auto"/>
        <w:ind w:firstLine="480" w:firstLineChars="200"/>
        <w:rPr>
          <w:rFonts w:hint="eastAsia" w:ascii="宋体" w:hAnsi="宋体"/>
          <w:color w:val="000000"/>
          <w:sz w:val="24"/>
        </w:rPr>
      </w:pPr>
      <w:r>
        <w:rPr>
          <w:rFonts w:hint="eastAsia" w:ascii="宋体" w:hAnsi="宋体"/>
          <w:color w:val="000000"/>
          <w:sz w:val="24"/>
        </w:rPr>
        <w:t>1、投标报价明细表合计总价应与投标函中的“投标总价”相一致，不一致时，以投标函中投标总价为准。</w:t>
      </w:r>
    </w:p>
    <w:p>
      <w:pPr>
        <w:spacing w:line="360" w:lineRule="auto"/>
        <w:ind w:firstLine="480" w:firstLineChars="200"/>
        <w:rPr>
          <w:rFonts w:hint="eastAsia" w:ascii="宋体" w:hAnsi="宋体"/>
          <w:color w:val="000000"/>
          <w:sz w:val="24"/>
        </w:rPr>
      </w:pPr>
      <w:r>
        <w:rPr>
          <w:rFonts w:hint="eastAsia" w:ascii="宋体" w:hAnsi="宋体"/>
          <w:color w:val="000000"/>
          <w:sz w:val="24"/>
        </w:rPr>
        <w:t>2、“投标报价明细表”为多页的，每页均需由投标人代表签名并加盖投标人公章。</w:t>
      </w:r>
    </w:p>
    <w:p>
      <w:pPr>
        <w:spacing w:line="360" w:lineRule="auto"/>
        <w:ind w:firstLine="480" w:firstLineChars="200"/>
        <w:rPr>
          <w:rFonts w:hint="eastAsia" w:ascii="宋体" w:hAnsi="宋体"/>
          <w:color w:val="000000"/>
          <w:sz w:val="24"/>
        </w:rPr>
      </w:pPr>
      <w:r>
        <w:rPr>
          <w:rFonts w:hint="eastAsia" w:ascii="宋体" w:hAnsi="宋体"/>
          <w:color w:val="000000"/>
          <w:sz w:val="24"/>
        </w:rPr>
        <w:t>3、“投标报价明细表”以标项为单位填写。此表在不改变格式内容时，可自行制作。</w:t>
      </w:r>
    </w:p>
    <w:p>
      <w:pPr>
        <w:spacing w:line="360" w:lineRule="auto"/>
        <w:ind w:firstLine="480" w:firstLineChars="200"/>
        <w:rPr>
          <w:rFonts w:hint="eastAsia" w:ascii="宋体" w:hAnsi="宋体"/>
          <w:color w:val="000000"/>
          <w:sz w:val="24"/>
        </w:rPr>
      </w:pPr>
      <w:r>
        <w:rPr>
          <w:rFonts w:hint="eastAsia" w:ascii="宋体" w:hAnsi="宋体"/>
          <w:color w:val="000000"/>
          <w:sz w:val="24"/>
        </w:rPr>
        <w:t>4、“投标报价明细表”所填内容按招标文件采购需求中招标一览表内容为准。漏报的视同已包含在投标总价内。有重大缺项的将作无效标处理。</w:t>
      </w:r>
    </w:p>
    <w:p>
      <w:pPr>
        <w:spacing w:line="360" w:lineRule="auto"/>
        <w:ind w:firstLine="480" w:firstLineChars="200"/>
        <w:rPr>
          <w:rFonts w:hint="eastAsia" w:ascii="宋体" w:hAnsi="宋体"/>
          <w:color w:val="000000"/>
          <w:sz w:val="24"/>
        </w:rPr>
      </w:pPr>
    </w:p>
    <w:p>
      <w:pPr>
        <w:spacing w:line="360" w:lineRule="auto"/>
        <w:ind w:firstLine="504" w:firstLineChars="210"/>
        <w:rPr>
          <w:rFonts w:hint="eastAsia" w:ascii="宋体" w:hAnsi="宋体"/>
          <w:color w:val="000000"/>
          <w:sz w:val="24"/>
        </w:rPr>
      </w:pPr>
      <w:r>
        <w:rPr>
          <w:rFonts w:hint="eastAsia" w:ascii="宋体" w:hAnsi="宋体"/>
          <w:color w:val="000000"/>
          <w:sz w:val="24"/>
        </w:rPr>
        <w:t>投标人（加盖公章）：</w:t>
      </w:r>
    </w:p>
    <w:p>
      <w:pPr>
        <w:spacing w:line="360" w:lineRule="auto"/>
        <w:ind w:firstLine="504" w:firstLineChars="21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投标人代表（签名）：</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日期：  年   月   日</w:t>
      </w:r>
    </w:p>
    <w:p>
      <w:pPr>
        <w:spacing w:line="360" w:lineRule="auto"/>
        <w:ind w:firstLine="480" w:firstLineChars="200"/>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hint="eastAsia" w:ascii="宋体" w:hAnsi="宋体"/>
          <w:color w:val="000000"/>
          <w:sz w:val="24"/>
        </w:rPr>
        <w:t>三、授权委托书</w:t>
      </w:r>
    </w:p>
    <w:p>
      <w:pPr>
        <w:spacing w:line="360" w:lineRule="auto"/>
        <w:jc w:val="center"/>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本授权委托书声明：我</w:t>
      </w:r>
      <w:r>
        <w:rPr>
          <w:rFonts w:hint="eastAsia" w:ascii="宋体" w:hAnsi="宋体"/>
          <w:color w:val="000000"/>
          <w:sz w:val="24"/>
          <w:u w:val="single"/>
        </w:rPr>
        <w:t xml:space="preserve"> （姓名）  </w:t>
      </w: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法定代表人（负责人），现授权委托</w:t>
      </w:r>
      <w:r>
        <w:rPr>
          <w:rFonts w:hint="eastAsia" w:ascii="宋体" w:hAnsi="宋体"/>
          <w:color w:val="000000"/>
          <w:sz w:val="24"/>
          <w:u w:val="single"/>
        </w:rPr>
        <w:t xml:space="preserve">（姓名）     </w:t>
      </w:r>
      <w:r>
        <w:rPr>
          <w:rFonts w:hint="eastAsia" w:ascii="宋体" w:hAnsi="宋体"/>
          <w:color w:val="000000"/>
          <w:sz w:val="24"/>
        </w:rPr>
        <w:t>为我方投标人代表，以我方名义参加                                                                                         编号为XZCG   -GK-</w:t>
      </w:r>
      <w:r>
        <w:rPr>
          <w:rFonts w:hint="eastAsia" w:ascii="宋体" w:hAnsi="宋体"/>
          <w:color w:val="000000"/>
          <w:sz w:val="24"/>
          <w:u w:val="single"/>
        </w:rPr>
        <w:t xml:space="preserve">      </w:t>
      </w:r>
      <w:r>
        <w:rPr>
          <w:rFonts w:hint="eastAsia" w:ascii="宋体" w:hAnsi="宋体"/>
          <w:color w:val="000000"/>
          <w:sz w:val="24"/>
        </w:rPr>
        <w:t>的</w:t>
      </w:r>
      <w:r>
        <w:rPr>
          <w:rFonts w:hint="eastAsia" w:ascii="宋体" w:hAnsi="宋体"/>
          <w:color w:val="000000"/>
          <w:sz w:val="24"/>
          <w:u w:val="single"/>
        </w:rPr>
        <w:t xml:space="preserve">                           </w:t>
      </w:r>
      <w:r>
        <w:rPr>
          <w:rFonts w:hint="eastAsia" w:ascii="宋体" w:hAnsi="宋体"/>
          <w:color w:val="000000"/>
          <w:sz w:val="24"/>
        </w:rPr>
        <w:t xml:space="preserve">项目的政府采购活动，并代表我方全权办理针对上述项目投标过程中的一切事宜。我方对投标人代表的签名事项负全部责任。                                              </w:t>
      </w:r>
    </w:p>
    <w:p>
      <w:pPr>
        <w:spacing w:line="360" w:lineRule="auto"/>
        <w:ind w:firstLine="480" w:firstLineChars="200"/>
        <w:rPr>
          <w:rFonts w:hint="eastAsia" w:ascii="宋体" w:hAnsi="宋体"/>
          <w:color w:val="000000"/>
          <w:sz w:val="24"/>
        </w:rPr>
      </w:pPr>
      <w:r>
        <w:rPr>
          <w:rFonts w:hint="eastAsia" w:ascii="宋体" w:hAnsi="宋体"/>
          <w:color w:val="000000"/>
          <w:sz w:val="24"/>
        </w:rPr>
        <w:t>在撤销授权的书面通知以前，本授权书一直有效。投标人代表在授权书有效期内签署的所有文件不因授权的撤销而失效。投标人代表无转委托权。</w:t>
      </w:r>
    </w:p>
    <w:p>
      <w:pPr>
        <w:spacing w:line="360" w:lineRule="auto"/>
        <w:ind w:firstLine="600" w:firstLineChars="250"/>
        <w:rPr>
          <w:rFonts w:hint="eastAsia" w:ascii="宋体" w:hAnsi="宋体"/>
          <w:color w:val="000000"/>
          <w:sz w:val="24"/>
        </w:rPr>
      </w:pPr>
      <w:r>
        <w:rPr>
          <w:rFonts w:hint="eastAsia" w:ascii="宋体" w:hAnsi="宋体"/>
          <w:color w:val="000000"/>
          <w:sz w:val="24"/>
        </w:rPr>
        <w:t>特此委托。</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法定代表人（负责人）（签名）：            投标人代表（签名）：</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职务：                                     职务：</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身份证号码：                               身份证号码：</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联系电话：</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3960" w:firstLineChars="1650"/>
        <w:rPr>
          <w:rFonts w:hint="eastAsia" w:ascii="宋体" w:hAnsi="宋体"/>
          <w:color w:val="000000"/>
          <w:sz w:val="24"/>
        </w:rPr>
      </w:pPr>
      <w:r>
        <w:rPr>
          <w:rFonts w:hint="eastAsia" w:ascii="宋体" w:hAnsi="宋体"/>
          <w:color w:val="000000"/>
          <w:sz w:val="24"/>
        </w:rPr>
        <w:t xml:space="preserve">投标人（加盖公章）： </w:t>
      </w:r>
    </w:p>
    <w:p>
      <w:pPr>
        <w:spacing w:line="360" w:lineRule="auto"/>
        <w:ind w:firstLine="4500" w:firstLineChars="1875"/>
        <w:rPr>
          <w:rFonts w:hint="eastAsia" w:ascii="宋体" w:hAnsi="宋体"/>
          <w:color w:val="000000"/>
          <w:sz w:val="24"/>
        </w:rPr>
      </w:pPr>
    </w:p>
    <w:p>
      <w:pPr>
        <w:spacing w:line="360" w:lineRule="auto"/>
        <w:ind w:firstLine="4320" w:firstLineChars="1800"/>
        <w:rPr>
          <w:rFonts w:hint="eastAsia" w:ascii="宋体" w:hAnsi="宋体"/>
          <w:color w:val="000000"/>
          <w:sz w:val="24"/>
        </w:rPr>
      </w:pPr>
    </w:p>
    <w:p>
      <w:pPr>
        <w:spacing w:line="360" w:lineRule="auto"/>
        <w:ind w:firstLine="4080" w:firstLineChars="1700"/>
        <w:rPr>
          <w:rFonts w:hint="eastAsia" w:ascii="宋体" w:hAnsi="宋体"/>
          <w:color w:val="000000"/>
          <w:sz w:val="24"/>
        </w:rPr>
      </w:pPr>
      <w:r>
        <w:rPr>
          <w:rFonts w:hint="eastAsia" w:ascii="宋体" w:hAnsi="宋体"/>
          <w:color w:val="000000"/>
          <w:sz w:val="24"/>
        </w:rPr>
        <w:t>授权委托日期：   年   月   日</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hint="eastAsia" w:ascii="宋体" w:hAnsi="宋体"/>
          <w:color w:val="000000"/>
          <w:sz w:val="24"/>
        </w:rPr>
        <w:t>四、诚信承诺书</w:t>
      </w:r>
    </w:p>
    <w:p>
      <w:pPr>
        <w:spacing w:line="360" w:lineRule="auto"/>
        <w:jc w:val="center"/>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u w:val="single"/>
        </w:rPr>
        <w:t xml:space="preserve">（采购人或招标组织机构） </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我方在参加贵单位的XZCG   -GK-＿＿＿＿＿＿＿政府采购项目的招投标活动中，郑重承诺如下：</w:t>
      </w:r>
    </w:p>
    <w:p>
      <w:pPr>
        <w:spacing w:line="360" w:lineRule="auto"/>
        <w:ind w:firstLine="480" w:firstLineChars="200"/>
        <w:rPr>
          <w:rFonts w:hint="eastAsia" w:ascii="宋体" w:hAnsi="宋体"/>
          <w:color w:val="000000"/>
          <w:sz w:val="24"/>
        </w:rPr>
      </w:pPr>
      <w:r>
        <w:rPr>
          <w:rFonts w:hint="eastAsia" w:ascii="宋体" w:hAnsi="宋体"/>
          <w:color w:val="000000"/>
          <w:sz w:val="24"/>
        </w:rPr>
        <w:t>1、我方申报的所有资料都是真实、准确、完整的；</w:t>
      </w:r>
    </w:p>
    <w:p>
      <w:pPr>
        <w:spacing w:line="360" w:lineRule="auto"/>
        <w:ind w:firstLine="480" w:firstLineChars="200"/>
        <w:rPr>
          <w:rFonts w:hint="eastAsia" w:ascii="宋体" w:hAnsi="宋体"/>
          <w:color w:val="000000"/>
          <w:sz w:val="24"/>
        </w:rPr>
      </w:pPr>
      <w:r>
        <w:rPr>
          <w:rFonts w:hint="eastAsia" w:ascii="宋体" w:hAnsi="宋体"/>
          <w:color w:val="000000"/>
          <w:sz w:val="24"/>
        </w:rPr>
        <w:t>2、我方无资质挂靠情形，保证不参与串标、围标及抬标；</w:t>
      </w:r>
    </w:p>
    <w:p>
      <w:pPr>
        <w:spacing w:line="360" w:lineRule="auto"/>
        <w:ind w:firstLine="480" w:firstLineChars="200"/>
        <w:rPr>
          <w:rFonts w:hint="eastAsia" w:ascii="宋体" w:hAnsi="宋体"/>
          <w:color w:val="000000"/>
          <w:sz w:val="24"/>
        </w:rPr>
      </w:pPr>
      <w:r>
        <w:rPr>
          <w:rFonts w:hint="eastAsia" w:ascii="宋体" w:hAnsi="宋体"/>
          <w:color w:val="000000"/>
          <w:sz w:val="24"/>
        </w:rPr>
        <w:t>3、我方未处于被各级行政主管部门做出停止市场行为处罚的期限内；</w:t>
      </w:r>
    </w:p>
    <w:p>
      <w:pPr>
        <w:spacing w:line="360" w:lineRule="auto"/>
        <w:ind w:firstLine="480" w:firstLineChars="200"/>
        <w:rPr>
          <w:rFonts w:hint="eastAsia" w:ascii="宋体" w:hAnsi="宋体"/>
          <w:color w:val="000000"/>
          <w:sz w:val="24"/>
        </w:rPr>
      </w:pPr>
      <w:r>
        <w:rPr>
          <w:rFonts w:hint="eastAsia" w:ascii="宋体" w:hAnsi="宋体"/>
          <w:color w:val="000000"/>
          <w:sz w:val="24"/>
        </w:rPr>
        <w:t>4、我方参加本项目政府采购活动前3年内在经营活动中没有重大违法记录；</w:t>
      </w:r>
    </w:p>
    <w:p>
      <w:pPr>
        <w:spacing w:line="360" w:lineRule="auto"/>
        <w:ind w:firstLine="480" w:firstLineChars="200"/>
        <w:rPr>
          <w:rFonts w:hint="eastAsia" w:ascii="宋体" w:hAnsi="宋体"/>
          <w:color w:val="000000"/>
          <w:sz w:val="24"/>
        </w:rPr>
      </w:pPr>
      <w:r>
        <w:rPr>
          <w:rFonts w:hint="eastAsia" w:ascii="宋体" w:hAnsi="宋体"/>
          <w:color w:val="000000"/>
          <w:sz w:val="24"/>
        </w:rPr>
        <w:t>5、若我方中标，将严格按照规定及时与采购人签订合同；</w:t>
      </w:r>
    </w:p>
    <w:p>
      <w:pPr>
        <w:spacing w:line="360" w:lineRule="auto"/>
        <w:ind w:firstLine="480" w:firstLineChars="200"/>
        <w:rPr>
          <w:rFonts w:hint="eastAsia" w:ascii="宋体" w:hAnsi="宋体"/>
          <w:color w:val="000000"/>
          <w:sz w:val="24"/>
        </w:rPr>
      </w:pPr>
      <w:r>
        <w:rPr>
          <w:rFonts w:hint="eastAsia" w:ascii="宋体" w:hAnsi="宋体"/>
          <w:color w:val="000000"/>
          <w:sz w:val="24"/>
        </w:rPr>
        <w:t>6、若我方中标，将严格按照招标文件要求及投标文件承诺的报价、质量、工期、投标方案、项目负责人等内容组织实施；</w:t>
      </w:r>
    </w:p>
    <w:p>
      <w:pPr>
        <w:spacing w:line="360" w:lineRule="auto"/>
        <w:ind w:firstLine="480" w:firstLineChars="200"/>
        <w:rPr>
          <w:rFonts w:hint="eastAsia" w:ascii="宋体" w:hAnsi="宋体"/>
          <w:color w:val="000000"/>
          <w:sz w:val="24"/>
        </w:rPr>
      </w:pPr>
      <w:r>
        <w:rPr>
          <w:rFonts w:hint="eastAsia" w:ascii="宋体" w:hAnsi="宋体"/>
          <w:color w:val="000000"/>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宋体" w:hAnsi="宋体"/>
          <w:color w:val="000000"/>
          <w:sz w:val="24"/>
        </w:rPr>
      </w:pPr>
      <w:r>
        <w:rPr>
          <w:rFonts w:hint="eastAsia" w:ascii="宋体" w:hAnsi="宋体"/>
          <w:color w:val="000000"/>
          <w:sz w:val="24"/>
        </w:rPr>
        <w:t>特此承诺。</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投标人（加盖公章）：＿＿＿＿＿＿＿＿＿＿＿＿＿＿＿</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投标人代表（签名）：＿＿＿＿＿＿＿＿＿＿＿＿      </w:t>
      </w:r>
    </w:p>
    <w:p>
      <w:pPr>
        <w:spacing w:line="360" w:lineRule="auto"/>
        <w:ind w:firstLine="480" w:firstLineChars="200"/>
        <w:rPr>
          <w:rFonts w:hint="eastAsia" w:ascii="宋体" w:hAnsi="宋体"/>
          <w:color w:val="000000"/>
          <w:sz w:val="24"/>
        </w:rPr>
      </w:pPr>
    </w:p>
    <w:p>
      <w:pPr>
        <w:spacing w:line="360" w:lineRule="auto"/>
        <w:ind w:firstLine="4440" w:firstLineChars="1850"/>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年＿＿月＿＿日</w:t>
      </w:r>
    </w:p>
    <w:p>
      <w:pPr>
        <w:spacing w:line="360" w:lineRule="auto"/>
        <w:rPr>
          <w:rFonts w:hint="eastAsia" w:ascii="宋体" w:hAnsi="宋体"/>
          <w:color w:val="000000"/>
          <w:sz w:val="24"/>
        </w:rPr>
      </w:pPr>
    </w:p>
    <w:p>
      <w:pPr>
        <w:spacing w:line="360" w:lineRule="auto"/>
        <w:ind w:right="360"/>
        <w:jc w:val="center"/>
        <w:rPr>
          <w:rFonts w:hint="eastAsia" w:ascii="宋体" w:hAnsi="宋体"/>
          <w:color w:val="000000"/>
          <w:sz w:val="24"/>
        </w:rPr>
      </w:pPr>
      <w:r>
        <w:rPr>
          <w:rFonts w:ascii="宋体" w:hAnsi="宋体"/>
          <w:color w:val="000000"/>
          <w:sz w:val="24"/>
        </w:rPr>
        <w:br w:type="page"/>
      </w:r>
      <w:r>
        <w:rPr>
          <w:rFonts w:hint="eastAsia" w:ascii="宋体" w:hAnsi="宋体"/>
          <w:color w:val="000000"/>
          <w:sz w:val="24"/>
        </w:rPr>
        <w:t>五、投标人基本情况表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1950"/>
        <w:gridCol w:w="885"/>
        <w:gridCol w:w="1095"/>
        <w:gridCol w:w="90"/>
        <w:gridCol w:w="63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color w:val="000000"/>
                <w:sz w:val="24"/>
              </w:rPr>
            </w:pPr>
            <w:r>
              <w:rPr>
                <w:rFonts w:hint="eastAsia"/>
                <w:color w:val="000000"/>
                <w:sz w:val="24"/>
              </w:rPr>
              <w:t>投标人名称</w:t>
            </w:r>
          </w:p>
        </w:tc>
        <w:tc>
          <w:tcPr>
            <w:tcW w:w="6171" w:type="dxa"/>
            <w:gridSpan w:val="7"/>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color w:val="000000"/>
                <w:sz w:val="24"/>
              </w:rPr>
            </w:pPr>
            <w:r>
              <w:rPr>
                <w:rFonts w:hint="eastAsia"/>
                <w:color w:val="000000"/>
                <w:sz w:val="24"/>
              </w:rPr>
              <w:t>地址</w:t>
            </w:r>
          </w:p>
        </w:tc>
        <w:tc>
          <w:tcPr>
            <w:tcW w:w="6171" w:type="dxa"/>
            <w:gridSpan w:val="7"/>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4" w:hRule="atLeast"/>
          <w:jc w:val="center"/>
        </w:trPr>
        <w:tc>
          <w:tcPr>
            <w:tcW w:w="2370" w:type="dxa"/>
            <w:noWrap w:val="0"/>
            <w:vAlign w:val="center"/>
          </w:tcPr>
          <w:p>
            <w:pPr>
              <w:jc w:val="center"/>
              <w:rPr>
                <w:rFonts w:hint="eastAsia"/>
                <w:color w:val="000000"/>
                <w:sz w:val="24"/>
              </w:rPr>
            </w:pPr>
            <w:r>
              <w:rPr>
                <w:rFonts w:hint="eastAsia"/>
                <w:color w:val="000000"/>
                <w:sz w:val="24"/>
              </w:rPr>
              <w:t>经营范围</w:t>
            </w:r>
          </w:p>
        </w:tc>
        <w:tc>
          <w:tcPr>
            <w:tcW w:w="1950" w:type="dxa"/>
            <w:noWrap w:val="0"/>
            <w:vAlign w:val="center"/>
          </w:tcPr>
          <w:p>
            <w:pPr>
              <w:jc w:val="center"/>
              <w:rPr>
                <w:rFonts w:hint="eastAsia"/>
                <w:color w:val="000000"/>
                <w:sz w:val="24"/>
              </w:rPr>
            </w:pPr>
          </w:p>
        </w:tc>
        <w:tc>
          <w:tcPr>
            <w:tcW w:w="1980" w:type="dxa"/>
            <w:gridSpan w:val="2"/>
            <w:noWrap w:val="0"/>
            <w:vAlign w:val="center"/>
          </w:tcPr>
          <w:p>
            <w:pPr>
              <w:jc w:val="center"/>
              <w:rPr>
                <w:rFonts w:hint="eastAsia"/>
                <w:color w:val="000000"/>
                <w:sz w:val="24"/>
              </w:rPr>
            </w:pPr>
            <w:r>
              <w:rPr>
                <w:rFonts w:hint="eastAsia"/>
                <w:color w:val="000000"/>
                <w:sz w:val="24"/>
              </w:rPr>
              <w:t>企业类型</w:t>
            </w:r>
          </w:p>
        </w:tc>
        <w:tc>
          <w:tcPr>
            <w:tcW w:w="2241" w:type="dxa"/>
            <w:gridSpan w:val="4"/>
            <w:noWrap w:val="0"/>
            <w:vAlign w:val="center"/>
          </w:tcPr>
          <w:p>
            <w:pPr>
              <w:jc w:val="center"/>
              <w:rPr>
                <w:rFonts w:hint="eastAsia"/>
                <w:color w:val="000000"/>
                <w:sz w:val="24"/>
              </w:rPr>
            </w:pPr>
            <w:r>
              <w:rPr>
                <w:rFonts w:hint="eastAsia"/>
                <w:color w:val="000000"/>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color w:val="000000"/>
                <w:sz w:val="24"/>
              </w:rPr>
            </w:pPr>
            <w:r>
              <w:rPr>
                <w:rFonts w:hint="eastAsia"/>
                <w:color w:val="000000"/>
                <w:sz w:val="24"/>
              </w:rPr>
              <w:t>成立时间</w:t>
            </w:r>
          </w:p>
        </w:tc>
        <w:tc>
          <w:tcPr>
            <w:tcW w:w="1950" w:type="dxa"/>
            <w:noWrap w:val="0"/>
            <w:vAlign w:val="center"/>
          </w:tcPr>
          <w:p>
            <w:pPr>
              <w:jc w:val="center"/>
              <w:rPr>
                <w:rFonts w:hint="eastAsia"/>
                <w:color w:val="000000"/>
                <w:sz w:val="24"/>
              </w:rPr>
            </w:pPr>
          </w:p>
        </w:tc>
        <w:tc>
          <w:tcPr>
            <w:tcW w:w="1980" w:type="dxa"/>
            <w:gridSpan w:val="2"/>
            <w:noWrap w:val="0"/>
            <w:vAlign w:val="center"/>
          </w:tcPr>
          <w:p>
            <w:pPr>
              <w:jc w:val="center"/>
              <w:rPr>
                <w:rFonts w:hint="eastAsia"/>
                <w:color w:val="000000"/>
                <w:sz w:val="24"/>
              </w:rPr>
            </w:pPr>
            <w:r>
              <w:rPr>
                <w:rFonts w:hint="eastAsia"/>
                <w:color w:val="000000"/>
                <w:sz w:val="24"/>
              </w:rPr>
              <w:t>经济性质</w:t>
            </w:r>
          </w:p>
        </w:tc>
        <w:tc>
          <w:tcPr>
            <w:tcW w:w="2241"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color w:val="000000"/>
                <w:sz w:val="24"/>
              </w:rPr>
            </w:pPr>
            <w:r>
              <w:rPr>
                <w:rFonts w:hint="eastAsia"/>
                <w:color w:val="000000"/>
                <w:sz w:val="24"/>
              </w:rPr>
              <w:t>法定代表人</w:t>
            </w:r>
          </w:p>
          <w:p>
            <w:pPr>
              <w:jc w:val="center"/>
              <w:rPr>
                <w:rFonts w:hint="eastAsia"/>
                <w:color w:val="000000"/>
                <w:sz w:val="24"/>
              </w:rPr>
            </w:pPr>
            <w:r>
              <w:rPr>
                <w:rFonts w:hint="eastAsia"/>
                <w:color w:val="000000"/>
                <w:sz w:val="24"/>
              </w:rPr>
              <w:t>（负责人）</w:t>
            </w:r>
          </w:p>
        </w:tc>
        <w:tc>
          <w:tcPr>
            <w:tcW w:w="1950" w:type="dxa"/>
            <w:noWrap w:val="0"/>
            <w:vAlign w:val="center"/>
          </w:tcPr>
          <w:p>
            <w:pPr>
              <w:jc w:val="center"/>
              <w:rPr>
                <w:rFonts w:hint="eastAsia"/>
                <w:color w:val="000000"/>
                <w:sz w:val="24"/>
              </w:rPr>
            </w:pPr>
          </w:p>
        </w:tc>
        <w:tc>
          <w:tcPr>
            <w:tcW w:w="1980" w:type="dxa"/>
            <w:gridSpan w:val="2"/>
            <w:noWrap w:val="0"/>
            <w:vAlign w:val="center"/>
          </w:tcPr>
          <w:p>
            <w:pPr>
              <w:jc w:val="center"/>
              <w:rPr>
                <w:rFonts w:hint="eastAsia"/>
                <w:color w:val="000000"/>
                <w:sz w:val="24"/>
              </w:rPr>
            </w:pPr>
            <w:r>
              <w:rPr>
                <w:rFonts w:hint="eastAsia"/>
                <w:color w:val="000000"/>
                <w:sz w:val="24"/>
              </w:rPr>
              <w:t>联系电话</w:t>
            </w:r>
          </w:p>
        </w:tc>
        <w:tc>
          <w:tcPr>
            <w:tcW w:w="2241"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vMerge w:val="restart"/>
            <w:noWrap w:val="0"/>
            <w:vAlign w:val="center"/>
          </w:tcPr>
          <w:p>
            <w:pPr>
              <w:jc w:val="center"/>
              <w:rPr>
                <w:rFonts w:hint="eastAsia"/>
                <w:color w:val="000000"/>
                <w:sz w:val="24"/>
              </w:rPr>
            </w:pPr>
            <w:r>
              <w:rPr>
                <w:rFonts w:hint="eastAsia"/>
                <w:color w:val="000000"/>
                <w:sz w:val="24"/>
              </w:rPr>
              <w:t>注册资本</w:t>
            </w:r>
          </w:p>
        </w:tc>
        <w:tc>
          <w:tcPr>
            <w:tcW w:w="1950" w:type="dxa"/>
            <w:vMerge w:val="restart"/>
            <w:noWrap w:val="0"/>
            <w:vAlign w:val="center"/>
          </w:tcPr>
          <w:p>
            <w:pPr>
              <w:jc w:val="center"/>
              <w:rPr>
                <w:rFonts w:hint="eastAsia"/>
                <w:color w:val="000000"/>
                <w:sz w:val="24"/>
              </w:rPr>
            </w:pPr>
          </w:p>
        </w:tc>
        <w:tc>
          <w:tcPr>
            <w:tcW w:w="1980" w:type="dxa"/>
            <w:gridSpan w:val="2"/>
            <w:vMerge w:val="restart"/>
            <w:noWrap w:val="0"/>
            <w:vAlign w:val="center"/>
          </w:tcPr>
          <w:p>
            <w:pPr>
              <w:jc w:val="center"/>
              <w:rPr>
                <w:rFonts w:hint="eastAsia"/>
                <w:color w:val="000000"/>
                <w:sz w:val="24"/>
              </w:rPr>
            </w:pPr>
            <w:r>
              <w:rPr>
                <w:rFonts w:hint="eastAsia"/>
                <w:color w:val="000000"/>
                <w:sz w:val="24"/>
              </w:rPr>
              <w:t>技术人员数</w:t>
            </w:r>
          </w:p>
        </w:tc>
        <w:tc>
          <w:tcPr>
            <w:tcW w:w="720" w:type="dxa"/>
            <w:gridSpan w:val="2"/>
            <w:noWrap w:val="0"/>
            <w:vAlign w:val="center"/>
          </w:tcPr>
          <w:p>
            <w:pPr>
              <w:jc w:val="center"/>
              <w:rPr>
                <w:rFonts w:hint="eastAsia"/>
                <w:color w:val="000000"/>
                <w:sz w:val="24"/>
              </w:rPr>
            </w:pPr>
            <w:r>
              <w:rPr>
                <w:rFonts w:hint="eastAsia"/>
                <w:color w:val="000000"/>
                <w:sz w:val="24"/>
              </w:rPr>
              <w:t>高级</w:t>
            </w:r>
          </w:p>
        </w:tc>
        <w:tc>
          <w:tcPr>
            <w:tcW w:w="720" w:type="dxa"/>
            <w:noWrap w:val="0"/>
            <w:vAlign w:val="center"/>
          </w:tcPr>
          <w:p>
            <w:pPr>
              <w:jc w:val="center"/>
              <w:rPr>
                <w:rFonts w:hint="eastAsia"/>
                <w:color w:val="000000"/>
                <w:sz w:val="24"/>
              </w:rPr>
            </w:pPr>
            <w:r>
              <w:rPr>
                <w:rFonts w:hint="eastAsia"/>
                <w:color w:val="000000"/>
                <w:sz w:val="24"/>
              </w:rPr>
              <w:t>中级</w:t>
            </w:r>
          </w:p>
        </w:tc>
        <w:tc>
          <w:tcPr>
            <w:tcW w:w="801" w:type="dxa"/>
            <w:noWrap w:val="0"/>
            <w:vAlign w:val="center"/>
          </w:tcPr>
          <w:p>
            <w:pPr>
              <w:jc w:val="center"/>
              <w:rPr>
                <w:rFonts w:hint="eastAsia"/>
                <w:color w:val="000000"/>
                <w:sz w:val="24"/>
              </w:rPr>
            </w:pPr>
            <w:r>
              <w:rPr>
                <w:rFonts w:hint="eastAsia"/>
                <w:color w:val="000000"/>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vMerge w:val="continue"/>
            <w:noWrap w:val="0"/>
            <w:vAlign w:val="center"/>
          </w:tcPr>
          <w:p>
            <w:pPr>
              <w:jc w:val="center"/>
              <w:rPr>
                <w:rFonts w:hint="eastAsia"/>
                <w:color w:val="000000"/>
                <w:sz w:val="24"/>
              </w:rPr>
            </w:pPr>
          </w:p>
        </w:tc>
        <w:tc>
          <w:tcPr>
            <w:tcW w:w="1950" w:type="dxa"/>
            <w:vMerge w:val="continue"/>
            <w:noWrap w:val="0"/>
            <w:vAlign w:val="center"/>
          </w:tcPr>
          <w:p>
            <w:pPr>
              <w:jc w:val="center"/>
              <w:rPr>
                <w:rFonts w:hint="eastAsia"/>
                <w:color w:val="000000"/>
                <w:sz w:val="24"/>
              </w:rPr>
            </w:pPr>
          </w:p>
        </w:tc>
        <w:tc>
          <w:tcPr>
            <w:tcW w:w="1980" w:type="dxa"/>
            <w:gridSpan w:val="2"/>
            <w:vMerge w:val="continue"/>
            <w:noWrap w:val="0"/>
            <w:vAlign w:val="center"/>
          </w:tcPr>
          <w:p>
            <w:pPr>
              <w:jc w:val="center"/>
              <w:rPr>
                <w:rFonts w:hint="eastAsia"/>
                <w:color w:val="000000"/>
                <w:sz w:val="24"/>
              </w:rPr>
            </w:pPr>
          </w:p>
        </w:tc>
        <w:tc>
          <w:tcPr>
            <w:tcW w:w="720" w:type="dxa"/>
            <w:gridSpan w:val="2"/>
            <w:noWrap w:val="0"/>
            <w:vAlign w:val="center"/>
          </w:tcPr>
          <w:p>
            <w:pPr>
              <w:jc w:val="center"/>
              <w:rPr>
                <w:rFonts w:hint="eastAsia"/>
                <w:color w:val="000000"/>
                <w:sz w:val="24"/>
              </w:rPr>
            </w:pPr>
          </w:p>
        </w:tc>
        <w:tc>
          <w:tcPr>
            <w:tcW w:w="720" w:type="dxa"/>
            <w:noWrap w:val="0"/>
            <w:vAlign w:val="center"/>
          </w:tcPr>
          <w:p>
            <w:pPr>
              <w:jc w:val="center"/>
              <w:rPr>
                <w:rFonts w:hint="eastAsia"/>
                <w:color w:val="000000"/>
                <w:sz w:val="24"/>
              </w:rPr>
            </w:pPr>
          </w:p>
        </w:tc>
        <w:tc>
          <w:tcPr>
            <w:tcW w:w="801"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color w:val="000000"/>
                <w:sz w:val="24"/>
              </w:rPr>
            </w:pPr>
            <w:r>
              <w:rPr>
                <w:rFonts w:hint="eastAsia"/>
                <w:color w:val="000000"/>
                <w:sz w:val="24"/>
              </w:rPr>
              <w:t>资产总额</w:t>
            </w:r>
          </w:p>
        </w:tc>
        <w:tc>
          <w:tcPr>
            <w:tcW w:w="1950" w:type="dxa"/>
            <w:noWrap w:val="0"/>
            <w:vAlign w:val="center"/>
          </w:tcPr>
          <w:p>
            <w:pPr>
              <w:jc w:val="center"/>
              <w:rPr>
                <w:rFonts w:hint="eastAsia"/>
                <w:color w:val="000000"/>
                <w:sz w:val="24"/>
              </w:rPr>
            </w:pPr>
          </w:p>
        </w:tc>
        <w:tc>
          <w:tcPr>
            <w:tcW w:w="1980" w:type="dxa"/>
            <w:gridSpan w:val="2"/>
            <w:noWrap w:val="0"/>
            <w:vAlign w:val="center"/>
          </w:tcPr>
          <w:p>
            <w:pPr>
              <w:jc w:val="center"/>
              <w:rPr>
                <w:rFonts w:hint="eastAsia"/>
                <w:color w:val="000000"/>
                <w:sz w:val="24"/>
              </w:rPr>
            </w:pPr>
            <w:r>
              <w:rPr>
                <w:rFonts w:hint="eastAsia"/>
                <w:color w:val="000000"/>
                <w:sz w:val="24"/>
              </w:rPr>
              <w:t>所有者权益</w:t>
            </w:r>
          </w:p>
        </w:tc>
        <w:tc>
          <w:tcPr>
            <w:tcW w:w="2241"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color w:val="000000"/>
                <w:sz w:val="24"/>
              </w:rPr>
            </w:pPr>
            <w:r>
              <w:rPr>
                <w:rFonts w:hint="eastAsia"/>
                <w:color w:val="000000"/>
                <w:sz w:val="24"/>
              </w:rPr>
              <w:t>工商登记号</w:t>
            </w:r>
          </w:p>
        </w:tc>
        <w:tc>
          <w:tcPr>
            <w:tcW w:w="1950" w:type="dxa"/>
            <w:noWrap w:val="0"/>
            <w:vAlign w:val="center"/>
          </w:tcPr>
          <w:p>
            <w:pPr>
              <w:jc w:val="center"/>
              <w:rPr>
                <w:rFonts w:hint="eastAsia"/>
                <w:color w:val="000000"/>
                <w:sz w:val="24"/>
              </w:rPr>
            </w:pPr>
          </w:p>
        </w:tc>
        <w:tc>
          <w:tcPr>
            <w:tcW w:w="1980" w:type="dxa"/>
            <w:gridSpan w:val="2"/>
            <w:noWrap w:val="0"/>
            <w:vAlign w:val="center"/>
          </w:tcPr>
          <w:p>
            <w:pPr>
              <w:jc w:val="center"/>
              <w:rPr>
                <w:rFonts w:hint="eastAsia"/>
                <w:color w:val="000000"/>
                <w:sz w:val="24"/>
              </w:rPr>
            </w:pPr>
            <w:r>
              <w:rPr>
                <w:rFonts w:hint="eastAsia"/>
                <w:color w:val="000000"/>
                <w:sz w:val="24"/>
              </w:rPr>
              <w:t>税务登记号</w:t>
            </w:r>
          </w:p>
        </w:tc>
        <w:tc>
          <w:tcPr>
            <w:tcW w:w="2241"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370" w:type="dxa"/>
            <w:noWrap w:val="0"/>
            <w:vAlign w:val="center"/>
          </w:tcPr>
          <w:p>
            <w:pPr>
              <w:jc w:val="center"/>
              <w:rPr>
                <w:rFonts w:hint="eastAsia"/>
                <w:color w:val="000000"/>
                <w:sz w:val="24"/>
              </w:rPr>
            </w:pPr>
            <w:r>
              <w:rPr>
                <w:rFonts w:hint="eastAsia"/>
                <w:color w:val="000000"/>
                <w:sz w:val="24"/>
              </w:rPr>
              <w:t>是否依法纳税</w:t>
            </w:r>
          </w:p>
        </w:tc>
        <w:tc>
          <w:tcPr>
            <w:tcW w:w="1950" w:type="dxa"/>
            <w:noWrap w:val="0"/>
            <w:vAlign w:val="center"/>
          </w:tcPr>
          <w:p>
            <w:pPr>
              <w:jc w:val="center"/>
              <w:rPr>
                <w:rFonts w:hint="eastAsia"/>
                <w:color w:val="000000"/>
                <w:sz w:val="24"/>
              </w:rPr>
            </w:pPr>
          </w:p>
        </w:tc>
        <w:tc>
          <w:tcPr>
            <w:tcW w:w="1980" w:type="dxa"/>
            <w:gridSpan w:val="2"/>
            <w:noWrap w:val="0"/>
            <w:vAlign w:val="center"/>
          </w:tcPr>
          <w:p>
            <w:pPr>
              <w:jc w:val="center"/>
              <w:rPr>
                <w:rFonts w:hint="eastAsia"/>
                <w:color w:val="000000"/>
                <w:sz w:val="24"/>
              </w:rPr>
            </w:pPr>
            <w:r>
              <w:rPr>
                <w:rFonts w:hint="eastAsia"/>
                <w:color w:val="000000"/>
                <w:sz w:val="24"/>
              </w:rPr>
              <w:t>是否参加社保</w:t>
            </w:r>
          </w:p>
        </w:tc>
        <w:tc>
          <w:tcPr>
            <w:tcW w:w="2241" w:type="dxa"/>
            <w:gridSpan w:val="4"/>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jc w:val="center"/>
        </w:trPr>
        <w:tc>
          <w:tcPr>
            <w:tcW w:w="2370" w:type="dxa"/>
            <w:noWrap w:val="0"/>
            <w:vAlign w:val="center"/>
          </w:tcPr>
          <w:p>
            <w:pPr>
              <w:jc w:val="center"/>
              <w:rPr>
                <w:rFonts w:hint="eastAsia"/>
                <w:color w:val="000000"/>
                <w:sz w:val="24"/>
              </w:rPr>
            </w:pPr>
            <w:r>
              <w:rPr>
                <w:rFonts w:hint="eastAsia"/>
                <w:color w:val="000000"/>
                <w:sz w:val="24"/>
              </w:rPr>
              <w:t>售后服务机构情况</w:t>
            </w:r>
          </w:p>
        </w:tc>
        <w:tc>
          <w:tcPr>
            <w:tcW w:w="6171" w:type="dxa"/>
            <w:gridSpan w:val="7"/>
            <w:noWrap w:val="0"/>
            <w:vAlign w:val="center"/>
          </w:tcPr>
          <w:p>
            <w:pPr>
              <w:spacing w:line="360" w:lineRule="auto"/>
              <w:ind w:firstLine="60" w:firstLineChars="25"/>
              <w:rPr>
                <w:rFonts w:hint="eastAsia"/>
                <w:color w:val="000000"/>
                <w:sz w:val="24"/>
              </w:rPr>
            </w:pPr>
            <w:r>
              <w:rPr>
                <w:rFonts w:hint="eastAsia"/>
                <w:color w:val="000000"/>
                <w:sz w:val="24"/>
              </w:rPr>
              <w:t>维修中心名称：</w:t>
            </w:r>
          </w:p>
          <w:p>
            <w:pPr>
              <w:spacing w:line="360" w:lineRule="auto"/>
              <w:ind w:firstLine="60" w:firstLineChars="25"/>
              <w:rPr>
                <w:rFonts w:hint="eastAsia"/>
                <w:color w:val="000000"/>
                <w:sz w:val="24"/>
              </w:rPr>
            </w:pPr>
            <w:r>
              <w:rPr>
                <w:rFonts w:hint="eastAsia"/>
                <w:color w:val="000000"/>
                <w:sz w:val="24"/>
              </w:rPr>
              <w:t>地址：</w:t>
            </w:r>
          </w:p>
          <w:p>
            <w:pPr>
              <w:spacing w:line="360" w:lineRule="auto"/>
              <w:ind w:firstLine="60" w:firstLineChars="25"/>
              <w:rPr>
                <w:rFonts w:hint="eastAsia"/>
                <w:color w:val="000000"/>
                <w:sz w:val="24"/>
              </w:rPr>
            </w:pPr>
            <w:r>
              <w:rPr>
                <w:rFonts w:hint="eastAsia"/>
                <w:color w:val="000000"/>
                <w:sz w:val="24"/>
              </w:rPr>
              <w:t>人员状况：</w:t>
            </w:r>
          </w:p>
          <w:p>
            <w:pPr>
              <w:spacing w:line="360" w:lineRule="auto"/>
              <w:ind w:firstLine="60" w:firstLineChars="25"/>
              <w:rPr>
                <w:rFonts w:hint="eastAsia"/>
                <w:color w:val="000000"/>
                <w:sz w:val="24"/>
              </w:rPr>
            </w:pPr>
            <w:r>
              <w:rPr>
                <w:rFonts w:hint="eastAsia"/>
                <w:color w:val="000000"/>
                <w:sz w:val="24"/>
              </w:rPr>
              <w:t>联系方式：</w:t>
            </w:r>
          </w:p>
          <w:p>
            <w:pPr>
              <w:spacing w:line="360" w:lineRule="auto"/>
              <w:ind w:firstLine="60" w:firstLineChars="25"/>
              <w:rPr>
                <w:rFonts w:hint="eastAsia"/>
                <w:color w:val="000000"/>
                <w:sz w:val="24"/>
              </w:rPr>
            </w:pPr>
            <w:r>
              <w:rPr>
                <w:rFonts w:hint="eastAsia"/>
                <w:color w:val="000000"/>
                <w:sz w:val="24"/>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jc w:val="center"/>
        </w:trPr>
        <w:tc>
          <w:tcPr>
            <w:tcW w:w="2370" w:type="dxa"/>
            <w:noWrap w:val="0"/>
            <w:vAlign w:val="center"/>
          </w:tcPr>
          <w:p>
            <w:pPr>
              <w:jc w:val="center"/>
              <w:rPr>
                <w:rFonts w:hint="eastAsia"/>
                <w:color w:val="000000"/>
                <w:szCs w:val="21"/>
              </w:rPr>
            </w:pPr>
            <w:r>
              <w:rPr>
                <w:rFonts w:hint="eastAsia"/>
                <w:color w:val="000000"/>
                <w:szCs w:val="21"/>
              </w:rPr>
              <w:t>中标通知书邮寄地址</w:t>
            </w:r>
          </w:p>
        </w:tc>
        <w:tc>
          <w:tcPr>
            <w:tcW w:w="6171" w:type="dxa"/>
            <w:gridSpan w:val="7"/>
            <w:noWrap w:val="0"/>
            <w:vAlign w:val="center"/>
          </w:tcPr>
          <w:p>
            <w:pPr>
              <w:spacing w:line="360" w:lineRule="auto"/>
              <w:ind w:firstLine="60" w:firstLineChars="25"/>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5" w:hRule="atLeast"/>
          <w:jc w:val="center"/>
        </w:trPr>
        <w:tc>
          <w:tcPr>
            <w:tcW w:w="2370" w:type="dxa"/>
            <w:noWrap w:val="0"/>
            <w:vAlign w:val="center"/>
          </w:tcPr>
          <w:p>
            <w:pPr>
              <w:jc w:val="center"/>
              <w:rPr>
                <w:rFonts w:hint="eastAsia"/>
                <w:color w:val="000000"/>
                <w:szCs w:val="21"/>
              </w:rPr>
            </w:pPr>
            <w:r>
              <w:rPr>
                <w:rFonts w:hint="eastAsia"/>
                <w:color w:val="000000"/>
                <w:szCs w:val="21"/>
              </w:rPr>
              <w:t>中标通知书接收人</w:t>
            </w:r>
          </w:p>
        </w:tc>
        <w:tc>
          <w:tcPr>
            <w:tcW w:w="2835" w:type="dxa"/>
            <w:gridSpan w:val="2"/>
            <w:noWrap w:val="0"/>
            <w:vAlign w:val="center"/>
          </w:tcPr>
          <w:p>
            <w:pPr>
              <w:spacing w:line="360" w:lineRule="auto"/>
              <w:ind w:firstLine="60" w:firstLineChars="25"/>
              <w:rPr>
                <w:rFonts w:hint="eastAsia"/>
                <w:color w:val="000000"/>
                <w:sz w:val="24"/>
              </w:rPr>
            </w:pPr>
          </w:p>
        </w:tc>
        <w:tc>
          <w:tcPr>
            <w:tcW w:w="1185" w:type="dxa"/>
            <w:gridSpan w:val="2"/>
            <w:noWrap w:val="0"/>
            <w:vAlign w:val="center"/>
          </w:tcPr>
          <w:p>
            <w:pPr>
              <w:spacing w:line="360" w:lineRule="auto"/>
              <w:rPr>
                <w:rFonts w:hint="eastAsia"/>
                <w:color w:val="000000"/>
                <w:sz w:val="24"/>
              </w:rPr>
            </w:pPr>
            <w:r>
              <w:rPr>
                <w:rFonts w:hint="eastAsia"/>
                <w:color w:val="000000"/>
                <w:sz w:val="24"/>
              </w:rPr>
              <w:t>联系电话</w:t>
            </w:r>
          </w:p>
        </w:tc>
        <w:tc>
          <w:tcPr>
            <w:tcW w:w="2151" w:type="dxa"/>
            <w:gridSpan w:val="3"/>
            <w:noWrap w:val="0"/>
            <w:vAlign w:val="center"/>
          </w:tcPr>
          <w:p>
            <w:pPr>
              <w:spacing w:line="360" w:lineRule="auto"/>
              <w:ind w:firstLine="60" w:firstLineChars="25"/>
              <w:rPr>
                <w:rFonts w:hint="eastAsia"/>
                <w:color w:val="000000"/>
                <w:sz w:val="24"/>
              </w:rPr>
            </w:pPr>
          </w:p>
        </w:tc>
      </w:tr>
    </w:tbl>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投标人代表签名：</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投标人（加盖公章）：</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ascii="宋体" w:hAnsi="宋体"/>
          <w:color w:val="000000"/>
          <w:sz w:val="24"/>
        </w:rPr>
        <w:br w:type="page"/>
      </w:r>
      <w:r>
        <w:rPr>
          <w:rFonts w:hint="eastAsia" w:ascii="宋体" w:hAnsi="宋体"/>
          <w:color w:val="000000"/>
          <w:sz w:val="24"/>
        </w:rPr>
        <w:t>六、本项目的项目负责人情况表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614"/>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姓名</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近3年业绩及承担的主要工作情况</w:t>
            </w:r>
          </w:p>
          <w:p>
            <w:pPr>
              <w:jc w:val="center"/>
              <w:rPr>
                <w:rFonts w:hint="eastAsia"/>
                <w:color w:val="000000"/>
              </w:rPr>
            </w:pPr>
            <w:r>
              <w:rPr>
                <w:rFonts w:hint="eastAsia"/>
                <w:color w:val="000000"/>
                <w:sz w:val="24"/>
              </w:rPr>
              <w:t>（曾担任项目负责人的项目应列明细）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性别</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7" w:firstLineChars="3"/>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出生年月</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职称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毕业时间</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所学专业</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学历</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资质证书编号</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其他资质情况</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联系电话</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p>
        </w:tc>
        <w:tc>
          <w:tcPr>
            <w:tcW w:w="5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bl>
    <w:p>
      <w:pPr>
        <w:spacing w:line="360" w:lineRule="auto"/>
        <w:rPr>
          <w:rFonts w:hint="eastAsia" w:ascii="宋体" w:hAnsi="宋体"/>
          <w:color w:val="000000"/>
          <w:sz w:val="24"/>
        </w:rPr>
      </w:pPr>
      <w:r>
        <w:rPr>
          <w:rFonts w:hint="eastAsia" w:ascii="宋体" w:hAnsi="宋体"/>
          <w:color w:val="000000"/>
          <w:sz w:val="24"/>
        </w:rPr>
        <w:t>注：须随表提交相应的证书复印件。</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hint="eastAsia" w:ascii="宋体" w:hAnsi="宋体"/>
          <w:color w:val="000000"/>
          <w:sz w:val="24"/>
        </w:rPr>
        <w:t>七、本项目的项目小组人员情况表</w:t>
      </w:r>
    </w:p>
    <w:p>
      <w:pPr>
        <w:spacing w:line="360" w:lineRule="auto"/>
        <w:jc w:val="center"/>
        <w:rPr>
          <w:rFonts w:hint="eastAsia" w:ascii="宋体" w:hAnsi="宋体"/>
          <w:color w:val="000000"/>
          <w:sz w:val="24"/>
        </w:rPr>
      </w:pPr>
      <w:r>
        <w:rPr>
          <w:rFonts w:hint="eastAsia" w:ascii="宋体" w:hAnsi="宋体"/>
          <w:color w:val="000000"/>
          <w:sz w:val="24"/>
        </w:rPr>
        <w:t>（按此格式自制）</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73"/>
        <w:gridCol w:w="720"/>
        <w:gridCol w:w="847"/>
        <w:gridCol w:w="720"/>
        <w:gridCol w:w="900"/>
        <w:gridCol w:w="1260"/>
        <w:gridCol w:w="9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34" w:hRule="atLeast"/>
        </w:trPr>
        <w:tc>
          <w:tcPr>
            <w:tcW w:w="540" w:type="dxa"/>
            <w:noWrap w:val="0"/>
            <w:textDirection w:val="tbRlV"/>
            <w:vAlign w:val="center"/>
          </w:tcPr>
          <w:p>
            <w:pPr>
              <w:jc w:val="center"/>
              <w:rPr>
                <w:rFonts w:hint="eastAsia"/>
                <w:color w:val="000000"/>
                <w:sz w:val="24"/>
              </w:rPr>
            </w:pPr>
            <w:r>
              <w:rPr>
                <w:rFonts w:hint="eastAsia"/>
                <w:color w:val="000000"/>
                <w:sz w:val="24"/>
              </w:rPr>
              <w:t>序号</w:t>
            </w:r>
          </w:p>
        </w:tc>
        <w:tc>
          <w:tcPr>
            <w:tcW w:w="720" w:type="dxa"/>
            <w:noWrap w:val="0"/>
            <w:vAlign w:val="center"/>
          </w:tcPr>
          <w:p>
            <w:pPr>
              <w:jc w:val="center"/>
              <w:rPr>
                <w:rFonts w:hint="eastAsia"/>
                <w:color w:val="000000"/>
                <w:sz w:val="24"/>
              </w:rPr>
            </w:pPr>
            <w:r>
              <w:rPr>
                <w:rFonts w:hint="eastAsia"/>
                <w:color w:val="000000"/>
                <w:sz w:val="24"/>
              </w:rPr>
              <w:t>姓名</w:t>
            </w:r>
          </w:p>
        </w:tc>
        <w:tc>
          <w:tcPr>
            <w:tcW w:w="773" w:type="dxa"/>
            <w:noWrap w:val="0"/>
            <w:vAlign w:val="center"/>
          </w:tcPr>
          <w:p>
            <w:pPr>
              <w:jc w:val="center"/>
              <w:rPr>
                <w:rFonts w:hint="eastAsia"/>
                <w:color w:val="000000"/>
                <w:sz w:val="24"/>
              </w:rPr>
            </w:pPr>
            <w:r>
              <w:rPr>
                <w:rFonts w:hint="eastAsia"/>
                <w:color w:val="000000"/>
                <w:sz w:val="24"/>
              </w:rPr>
              <w:t>性别</w:t>
            </w:r>
          </w:p>
        </w:tc>
        <w:tc>
          <w:tcPr>
            <w:tcW w:w="720" w:type="dxa"/>
            <w:noWrap w:val="0"/>
            <w:vAlign w:val="center"/>
          </w:tcPr>
          <w:p>
            <w:pPr>
              <w:jc w:val="center"/>
              <w:rPr>
                <w:rFonts w:hint="eastAsia"/>
                <w:color w:val="000000"/>
                <w:sz w:val="24"/>
              </w:rPr>
            </w:pPr>
            <w:r>
              <w:rPr>
                <w:rFonts w:hint="eastAsia"/>
                <w:color w:val="000000"/>
                <w:sz w:val="24"/>
              </w:rPr>
              <w:t>出生年月</w:t>
            </w:r>
          </w:p>
        </w:tc>
        <w:tc>
          <w:tcPr>
            <w:tcW w:w="847" w:type="dxa"/>
            <w:noWrap w:val="0"/>
            <w:vAlign w:val="center"/>
          </w:tcPr>
          <w:p>
            <w:pPr>
              <w:jc w:val="center"/>
              <w:rPr>
                <w:rFonts w:hint="eastAsia"/>
                <w:color w:val="000000"/>
                <w:sz w:val="24"/>
              </w:rPr>
            </w:pPr>
            <w:r>
              <w:rPr>
                <w:rFonts w:hint="eastAsia"/>
                <w:color w:val="000000"/>
                <w:sz w:val="24"/>
              </w:rPr>
              <w:t>学历</w:t>
            </w:r>
          </w:p>
        </w:tc>
        <w:tc>
          <w:tcPr>
            <w:tcW w:w="720" w:type="dxa"/>
            <w:noWrap w:val="0"/>
            <w:vAlign w:val="center"/>
          </w:tcPr>
          <w:p>
            <w:pPr>
              <w:jc w:val="center"/>
              <w:rPr>
                <w:rFonts w:hint="eastAsia"/>
                <w:color w:val="000000"/>
                <w:sz w:val="24"/>
              </w:rPr>
            </w:pPr>
            <w:r>
              <w:rPr>
                <w:rFonts w:hint="eastAsia"/>
                <w:color w:val="000000"/>
                <w:sz w:val="24"/>
              </w:rPr>
              <w:t>专业</w:t>
            </w:r>
          </w:p>
        </w:tc>
        <w:tc>
          <w:tcPr>
            <w:tcW w:w="900" w:type="dxa"/>
            <w:noWrap w:val="0"/>
            <w:vAlign w:val="center"/>
          </w:tcPr>
          <w:p>
            <w:pPr>
              <w:jc w:val="center"/>
              <w:rPr>
                <w:rFonts w:hint="eastAsia"/>
                <w:color w:val="000000"/>
                <w:sz w:val="24"/>
              </w:rPr>
            </w:pPr>
            <w:r>
              <w:rPr>
                <w:rFonts w:hint="eastAsia"/>
                <w:color w:val="000000"/>
                <w:sz w:val="24"/>
              </w:rPr>
              <w:t>职称</w:t>
            </w:r>
          </w:p>
        </w:tc>
        <w:tc>
          <w:tcPr>
            <w:tcW w:w="1260" w:type="dxa"/>
            <w:noWrap w:val="0"/>
            <w:vAlign w:val="center"/>
          </w:tcPr>
          <w:p>
            <w:pPr>
              <w:jc w:val="center"/>
              <w:rPr>
                <w:rFonts w:hint="eastAsia"/>
                <w:color w:val="000000"/>
                <w:sz w:val="24"/>
              </w:rPr>
            </w:pPr>
            <w:r>
              <w:rPr>
                <w:rFonts w:hint="eastAsia"/>
                <w:color w:val="000000"/>
                <w:sz w:val="24"/>
              </w:rPr>
              <w:t>本项目中的职责</w:t>
            </w:r>
          </w:p>
        </w:tc>
        <w:tc>
          <w:tcPr>
            <w:tcW w:w="945" w:type="dxa"/>
            <w:noWrap w:val="0"/>
            <w:vAlign w:val="center"/>
          </w:tcPr>
          <w:p>
            <w:pPr>
              <w:jc w:val="center"/>
              <w:rPr>
                <w:rFonts w:hint="eastAsia"/>
                <w:color w:val="000000"/>
                <w:sz w:val="24"/>
              </w:rPr>
            </w:pPr>
            <w:r>
              <w:rPr>
                <w:rFonts w:hint="eastAsia"/>
                <w:color w:val="000000"/>
                <w:sz w:val="24"/>
              </w:rPr>
              <w:t>项目经历</w:t>
            </w:r>
          </w:p>
        </w:tc>
        <w:tc>
          <w:tcPr>
            <w:tcW w:w="2145" w:type="dxa"/>
            <w:noWrap w:val="0"/>
            <w:vAlign w:val="center"/>
          </w:tcPr>
          <w:p>
            <w:pPr>
              <w:jc w:val="center"/>
              <w:rPr>
                <w:rFonts w:hint="eastAsia"/>
                <w:color w:val="000000"/>
                <w:sz w:val="24"/>
              </w:rPr>
            </w:pPr>
            <w:r>
              <w:rPr>
                <w:rFonts w:hint="eastAsia"/>
                <w:color w:val="000000"/>
                <w:sz w:val="24"/>
              </w:rPr>
              <w:t>参与本项目的</w:t>
            </w:r>
          </w:p>
          <w:p>
            <w:pPr>
              <w:jc w:val="center"/>
              <w:rPr>
                <w:rFonts w:hint="eastAsia"/>
                <w:color w:val="000000"/>
                <w:sz w:val="24"/>
              </w:rPr>
            </w:pPr>
            <w:r>
              <w:rPr>
                <w:rFonts w:hint="eastAsia"/>
                <w:color w:val="000000"/>
                <w:sz w:val="24"/>
              </w:rPr>
              <w:t>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8" w:hRule="atLeast"/>
        </w:trPr>
        <w:tc>
          <w:tcPr>
            <w:tcW w:w="540"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773"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847"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900" w:type="dxa"/>
            <w:noWrap w:val="0"/>
            <w:vAlign w:val="center"/>
          </w:tcPr>
          <w:p>
            <w:pPr>
              <w:spacing w:line="360" w:lineRule="auto"/>
              <w:rPr>
                <w:rFonts w:hint="eastAsia" w:ascii="宋体" w:hAnsi="宋体"/>
                <w:color w:val="000000"/>
                <w:sz w:val="24"/>
              </w:rPr>
            </w:pPr>
          </w:p>
        </w:tc>
        <w:tc>
          <w:tcPr>
            <w:tcW w:w="1260" w:type="dxa"/>
            <w:noWrap w:val="0"/>
            <w:vAlign w:val="center"/>
          </w:tcPr>
          <w:p>
            <w:pPr>
              <w:spacing w:line="360" w:lineRule="auto"/>
              <w:rPr>
                <w:rFonts w:hint="eastAsia" w:ascii="宋体" w:hAnsi="宋体"/>
                <w:color w:val="000000"/>
                <w:sz w:val="24"/>
              </w:rPr>
            </w:pPr>
          </w:p>
        </w:tc>
        <w:tc>
          <w:tcPr>
            <w:tcW w:w="945" w:type="dxa"/>
            <w:noWrap w:val="0"/>
            <w:vAlign w:val="center"/>
          </w:tcPr>
          <w:p>
            <w:pPr>
              <w:spacing w:line="360" w:lineRule="auto"/>
              <w:rPr>
                <w:rFonts w:hint="eastAsia" w:ascii="宋体" w:hAnsi="宋体"/>
                <w:color w:val="000000"/>
                <w:sz w:val="24"/>
              </w:rPr>
            </w:pPr>
          </w:p>
        </w:tc>
        <w:tc>
          <w:tcPr>
            <w:tcW w:w="2145" w:type="dxa"/>
            <w:noWrap w:val="0"/>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9" w:hRule="atLeast"/>
        </w:trPr>
        <w:tc>
          <w:tcPr>
            <w:tcW w:w="540"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773"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847"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900" w:type="dxa"/>
            <w:noWrap w:val="0"/>
            <w:vAlign w:val="center"/>
          </w:tcPr>
          <w:p>
            <w:pPr>
              <w:spacing w:line="360" w:lineRule="auto"/>
              <w:rPr>
                <w:rFonts w:hint="eastAsia" w:ascii="宋体" w:hAnsi="宋体"/>
                <w:color w:val="000000"/>
                <w:sz w:val="24"/>
              </w:rPr>
            </w:pPr>
          </w:p>
        </w:tc>
        <w:tc>
          <w:tcPr>
            <w:tcW w:w="1260" w:type="dxa"/>
            <w:noWrap w:val="0"/>
            <w:vAlign w:val="center"/>
          </w:tcPr>
          <w:p>
            <w:pPr>
              <w:spacing w:line="360" w:lineRule="auto"/>
              <w:rPr>
                <w:rFonts w:hint="eastAsia" w:ascii="宋体" w:hAnsi="宋体"/>
                <w:color w:val="000000"/>
                <w:sz w:val="24"/>
              </w:rPr>
            </w:pPr>
          </w:p>
        </w:tc>
        <w:tc>
          <w:tcPr>
            <w:tcW w:w="945" w:type="dxa"/>
            <w:noWrap w:val="0"/>
            <w:vAlign w:val="center"/>
          </w:tcPr>
          <w:p>
            <w:pPr>
              <w:spacing w:line="360" w:lineRule="auto"/>
              <w:rPr>
                <w:rFonts w:hint="eastAsia" w:ascii="宋体" w:hAnsi="宋体"/>
                <w:color w:val="000000"/>
                <w:sz w:val="24"/>
              </w:rPr>
            </w:pPr>
          </w:p>
        </w:tc>
        <w:tc>
          <w:tcPr>
            <w:tcW w:w="2145" w:type="dxa"/>
            <w:noWrap w:val="0"/>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9" w:hRule="atLeast"/>
        </w:trPr>
        <w:tc>
          <w:tcPr>
            <w:tcW w:w="540"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773"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847"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900" w:type="dxa"/>
            <w:noWrap w:val="0"/>
            <w:vAlign w:val="center"/>
          </w:tcPr>
          <w:p>
            <w:pPr>
              <w:spacing w:line="360" w:lineRule="auto"/>
              <w:rPr>
                <w:rFonts w:hint="eastAsia" w:ascii="宋体" w:hAnsi="宋体"/>
                <w:color w:val="000000"/>
                <w:sz w:val="24"/>
              </w:rPr>
            </w:pPr>
          </w:p>
        </w:tc>
        <w:tc>
          <w:tcPr>
            <w:tcW w:w="1260" w:type="dxa"/>
            <w:noWrap w:val="0"/>
            <w:vAlign w:val="center"/>
          </w:tcPr>
          <w:p>
            <w:pPr>
              <w:spacing w:line="360" w:lineRule="auto"/>
              <w:rPr>
                <w:rFonts w:hint="eastAsia" w:ascii="宋体" w:hAnsi="宋体"/>
                <w:color w:val="000000"/>
                <w:sz w:val="24"/>
              </w:rPr>
            </w:pPr>
          </w:p>
        </w:tc>
        <w:tc>
          <w:tcPr>
            <w:tcW w:w="945" w:type="dxa"/>
            <w:noWrap w:val="0"/>
            <w:vAlign w:val="center"/>
          </w:tcPr>
          <w:p>
            <w:pPr>
              <w:spacing w:line="360" w:lineRule="auto"/>
              <w:rPr>
                <w:rFonts w:hint="eastAsia" w:ascii="宋体" w:hAnsi="宋体"/>
                <w:color w:val="000000"/>
                <w:sz w:val="24"/>
              </w:rPr>
            </w:pPr>
          </w:p>
        </w:tc>
        <w:tc>
          <w:tcPr>
            <w:tcW w:w="2145" w:type="dxa"/>
            <w:noWrap w:val="0"/>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9" w:hRule="atLeast"/>
        </w:trPr>
        <w:tc>
          <w:tcPr>
            <w:tcW w:w="540"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773"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847" w:type="dxa"/>
            <w:noWrap w:val="0"/>
            <w:vAlign w:val="center"/>
          </w:tcPr>
          <w:p>
            <w:pPr>
              <w:spacing w:line="360" w:lineRule="auto"/>
              <w:rPr>
                <w:rFonts w:hint="eastAsia" w:ascii="宋体" w:hAnsi="宋体"/>
                <w:color w:val="000000"/>
                <w:sz w:val="24"/>
              </w:rPr>
            </w:pPr>
          </w:p>
        </w:tc>
        <w:tc>
          <w:tcPr>
            <w:tcW w:w="720" w:type="dxa"/>
            <w:noWrap w:val="0"/>
            <w:vAlign w:val="center"/>
          </w:tcPr>
          <w:p>
            <w:pPr>
              <w:spacing w:line="360" w:lineRule="auto"/>
              <w:rPr>
                <w:rFonts w:hint="eastAsia" w:ascii="宋体" w:hAnsi="宋体"/>
                <w:color w:val="000000"/>
                <w:sz w:val="24"/>
              </w:rPr>
            </w:pPr>
          </w:p>
        </w:tc>
        <w:tc>
          <w:tcPr>
            <w:tcW w:w="900" w:type="dxa"/>
            <w:noWrap w:val="0"/>
            <w:vAlign w:val="center"/>
          </w:tcPr>
          <w:p>
            <w:pPr>
              <w:spacing w:line="360" w:lineRule="auto"/>
              <w:rPr>
                <w:rFonts w:hint="eastAsia" w:ascii="宋体" w:hAnsi="宋体"/>
                <w:color w:val="000000"/>
                <w:sz w:val="24"/>
              </w:rPr>
            </w:pPr>
          </w:p>
        </w:tc>
        <w:tc>
          <w:tcPr>
            <w:tcW w:w="1260" w:type="dxa"/>
            <w:noWrap w:val="0"/>
            <w:vAlign w:val="center"/>
          </w:tcPr>
          <w:p>
            <w:pPr>
              <w:spacing w:line="360" w:lineRule="auto"/>
              <w:rPr>
                <w:rFonts w:hint="eastAsia" w:ascii="宋体" w:hAnsi="宋体"/>
                <w:color w:val="000000"/>
                <w:sz w:val="24"/>
              </w:rPr>
            </w:pPr>
          </w:p>
        </w:tc>
        <w:tc>
          <w:tcPr>
            <w:tcW w:w="945" w:type="dxa"/>
            <w:noWrap w:val="0"/>
            <w:vAlign w:val="center"/>
          </w:tcPr>
          <w:p>
            <w:pPr>
              <w:spacing w:line="360" w:lineRule="auto"/>
              <w:rPr>
                <w:rFonts w:hint="eastAsia" w:ascii="宋体" w:hAnsi="宋体"/>
                <w:color w:val="000000"/>
                <w:sz w:val="24"/>
              </w:rPr>
            </w:pPr>
          </w:p>
        </w:tc>
        <w:tc>
          <w:tcPr>
            <w:tcW w:w="2145" w:type="dxa"/>
            <w:noWrap w:val="0"/>
            <w:vAlign w:val="center"/>
          </w:tcPr>
          <w:p>
            <w:pPr>
              <w:spacing w:line="360" w:lineRule="auto"/>
              <w:rPr>
                <w:rFonts w:hint="eastAsia" w:ascii="宋体" w:hAnsi="宋体"/>
                <w:color w:val="000000"/>
                <w:sz w:val="24"/>
              </w:rPr>
            </w:pPr>
          </w:p>
        </w:tc>
      </w:tr>
    </w:tbl>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投标人代表（签名）：                           投标人（加盖公章）：</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日期：20  年   月   日</w:t>
      </w:r>
    </w:p>
    <w:p>
      <w:pPr>
        <w:spacing w:line="360" w:lineRule="auto"/>
        <w:jc w:val="center"/>
        <w:rPr>
          <w:rFonts w:hint="eastAsia" w:ascii="宋体" w:hAnsi="宋体"/>
          <w:color w:val="000000"/>
          <w:sz w:val="24"/>
        </w:rPr>
      </w:pPr>
      <w:r>
        <w:rPr>
          <w:rFonts w:ascii="宋体" w:hAnsi="宋体"/>
          <w:color w:val="000000"/>
          <w:sz w:val="24"/>
        </w:rPr>
        <w:br w:type="page"/>
      </w:r>
      <w:r>
        <w:rPr>
          <w:rFonts w:hint="eastAsia" w:ascii="宋体" w:hAnsi="宋体"/>
          <w:color w:val="000000"/>
          <w:sz w:val="24"/>
        </w:rPr>
        <w:t>八、商务偏离表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48"/>
        <w:gridCol w:w="2516"/>
        <w:gridCol w:w="1780"/>
        <w:gridCol w:w="1571"/>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2" w:hRule="atLeast"/>
          <w:jc w:val="center"/>
        </w:trPr>
        <w:tc>
          <w:tcPr>
            <w:tcW w:w="680" w:type="dxa"/>
            <w:noWrap w:val="0"/>
            <w:vAlign w:val="center"/>
          </w:tcPr>
          <w:p>
            <w:pPr>
              <w:jc w:val="center"/>
              <w:rPr>
                <w:rFonts w:hint="eastAsia"/>
                <w:color w:val="000000"/>
                <w:sz w:val="24"/>
              </w:rPr>
            </w:pPr>
            <w:r>
              <w:rPr>
                <w:rFonts w:hint="eastAsia"/>
                <w:color w:val="000000"/>
                <w:sz w:val="24"/>
              </w:rPr>
              <w:t>序号</w:t>
            </w:r>
          </w:p>
        </w:tc>
        <w:tc>
          <w:tcPr>
            <w:tcW w:w="1248" w:type="dxa"/>
            <w:noWrap w:val="0"/>
            <w:vAlign w:val="center"/>
          </w:tcPr>
          <w:p>
            <w:pPr>
              <w:jc w:val="center"/>
              <w:rPr>
                <w:rFonts w:hint="eastAsia"/>
                <w:color w:val="000000"/>
                <w:sz w:val="24"/>
              </w:rPr>
            </w:pPr>
            <w:r>
              <w:rPr>
                <w:rFonts w:hint="eastAsia"/>
                <w:color w:val="000000"/>
                <w:sz w:val="24"/>
              </w:rPr>
              <w:t>内容</w:t>
            </w:r>
          </w:p>
        </w:tc>
        <w:tc>
          <w:tcPr>
            <w:tcW w:w="2516" w:type="dxa"/>
            <w:noWrap w:val="0"/>
            <w:vAlign w:val="center"/>
          </w:tcPr>
          <w:p>
            <w:pPr>
              <w:jc w:val="center"/>
              <w:rPr>
                <w:rFonts w:hint="eastAsia"/>
                <w:color w:val="000000"/>
                <w:sz w:val="24"/>
              </w:rPr>
            </w:pPr>
            <w:r>
              <w:rPr>
                <w:rFonts w:hint="eastAsia"/>
                <w:color w:val="000000"/>
                <w:sz w:val="24"/>
              </w:rPr>
              <w:t>采购文件商务要求</w:t>
            </w:r>
          </w:p>
        </w:tc>
        <w:tc>
          <w:tcPr>
            <w:tcW w:w="1780" w:type="dxa"/>
            <w:noWrap w:val="0"/>
            <w:vAlign w:val="center"/>
          </w:tcPr>
          <w:p>
            <w:pPr>
              <w:jc w:val="center"/>
              <w:rPr>
                <w:rFonts w:hint="eastAsia"/>
                <w:color w:val="000000"/>
                <w:sz w:val="24"/>
              </w:rPr>
            </w:pPr>
            <w:r>
              <w:rPr>
                <w:rFonts w:hint="eastAsia"/>
                <w:color w:val="000000"/>
                <w:sz w:val="24"/>
              </w:rPr>
              <w:t>投标文件</w:t>
            </w:r>
          </w:p>
          <w:p>
            <w:pPr>
              <w:jc w:val="center"/>
              <w:rPr>
                <w:rFonts w:hint="eastAsia"/>
                <w:color w:val="000000"/>
                <w:sz w:val="24"/>
              </w:rPr>
            </w:pPr>
            <w:r>
              <w:rPr>
                <w:rFonts w:hint="eastAsia"/>
                <w:color w:val="000000"/>
                <w:sz w:val="24"/>
              </w:rPr>
              <w:t>商务资料</w:t>
            </w:r>
          </w:p>
        </w:tc>
        <w:tc>
          <w:tcPr>
            <w:tcW w:w="1571" w:type="dxa"/>
            <w:noWrap w:val="0"/>
            <w:vAlign w:val="center"/>
          </w:tcPr>
          <w:p>
            <w:pPr>
              <w:jc w:val="center"/>
              <w:rPr>
                <w:rFonts w:hint="eastAsia"/>
                <w:color w:val="000000"/>
                <w:sz w:val="24"/>
              </w:rPr>
            </w:pPr>
            <w:r>
              <w:rPr>
                <w:rFonts w:hint="eastAsia"/>
                <w:color w:val="000000"/>
                <w:sz w:val="24"/>
              </w:rPr>
              <w:t>偏离说明</w:t>
            </w:r>
          </w:p>
        </w:tc>
        <w:tc>
          <w:tcPr>
            <w:tcW w:w="1571" w:type="dxa"/>
            <w:noWrap w:val="0"/>
            <w:vAlign w:val="center"/>
          </w:tcPr>
          <w:p>
            <w:pPr>
              <w:jc w:val="center"/>
              <w:rPr>
                <w:rFonts w:hint="eastAsia"/>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680" w:type="dxa"/>
            <w:noWrap w:val="0"/>
            <w:vAlign w:val="center"/>
          </w:tcPr>
          <w:p>
            <w:pPr>
              <w:spacing w:line="360" w:lineRule="auto"/>
              <w:jc w:val="center"/>
              <w:rPr>
                <w:rFonts w:hint="eastAsia" w:ascii="宋体" w:hAnsi="宋体"/>
                <w:color w:val="000000"/>
                <w:sz w:val="24"/>
              </w:rPr>
            </w:pPr>
            <w:r>
              <w:rPr>
                <w:rFonts w:hint="eastAsia" w:ascii="宋体" w:hAnsi="宋体"/>
                <w:color w:val="000000"/>
                <w:sz w:val="24"/>
              </w:rPr>
              <w:t>1</w:t>
            </w:r>
          </w:p>
        </w:tc>
        <w:tc>
          <w:tcPr>
            <w:tcW w:w="1248" w:type="dxa"/>
            <w:noWrap w:val="0"/>
            <w:vAlign w:val="center"/>
          </w:tcPr>
          <w:p>
            <w:pPr>
              <w:spacing w:line="360" w:lineRule="auto"/>
              <w:ind w:firstLine="480" w:firstLineChars="200"/>
              <w:jc w:val="center"/>
              <w:rPr>
                <w:rFonts w:hint="eastAsia" w:ascii="宋体" w:hAnsi="宋体"/>
                <w:color w:val="000000"/>
                <w:sz w:val="24"/>
              </w:rPr>
            </w:pPr>
          </w:p>
        </w:tc>
        <w:tc>
          <w:tcPr>
            <w:tcW w:w="2516" w:type="dxa"/>
            <w:noWrap w:val="0"/>
            <w:vAlign w:val="center"/>
          </w:tcPr>
          <w:p>
            <w:pPr>
              <w:spacing w:line="360" w:lineRule="auto"/>
              <w:ind w:firstLine="480" w:firstLineChars="200"/>
              <w:jc w:val="center"/>
              <w:rPr>
                <w:rFonts w:hint="eastAsia" w:ascii="宋体" w:hAnsi="宋体"/>
                <w:color w:val="000000"/>
                <w:sz w:val="24"/>
              </w:rPr>
            </w:pPr>
          </w:p>
        </w:tc>
        <w:tc>
          <w:tcPr>
            <w:tcW w:w="1780" w:type="dxa"/>
            <w:noWrap w:val="0"/>
            <w:vAlign w:val="center"/>
          </w:tcPr>
          <w:p>
            <w:pPr>
              <w:spacing w:line="360" w:lineRule="auto"/>
              <w:ind w:firstLine="480" w:firstLineChars="200"/>
              <w:jc w:val="center"/>
              <w:rPr>
                <w:rFonts w:hint="eastAsia" w:ascii="宋体" w:hAnsi="宋体"/>
                <w:color w:val="000000"/>
                <w:sz w:val="24"/>
              </w:rPr>
            </w:pPr>
          </w:p>
        </w:tc>
        <w:tc>
          <w:tcPr>
            <w:tcW w:w="1571" w:type="dxa"/>
            <w:noWrap w:val="0"/>
            <w:vAlign w:val="center"/>
          </w:tcPr>
          <w:p>
            <w:pPr>
              <w:spacing w:line="360" w:lineRule="auto"/>
              <w:ind w:firstLine="480" w:firstLineChars="200"/>
              <w:jc w:val="center"/>
              <w:rPr>
                <w:rFonts w:hint="eastAsia" w:ascii="宋体" w:hAnsi="宋体"/>
                <w:color w:val="000000"/>
                <w:sz w:val="24"/>
              </w:rPr>
            </w:pPr>
          </w:p>
        </w:tc>
        <w:tc>
          <w:tcPr>
            <w:tcW w:w="1571" w:type="dxa"/>
            <w:noWrap w:val="0"/>
            <w:vAlign w:val="center"/>
          </w:tcPr>
          <w:p>
            <w:pPr>
              <w:spacing w:line="360" w:lineRule="auto"/>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680" w:type="dxa"/>
            <w:noWrap w:val="0"/>
            <w:vAlign w:val="center"/>
          </w:tcPr>
          <w:p>
            <w:pPr>
              <w:spacing w:line="360" w:lineRule="auto"/>
              <w:jc w:val="center"/>
              <w:rPr>
                <w:rFonts w:hint="eastAsia" w:ascii="宋体" w:hAnsi="宋体"/>
                <w:color w:val="000000"/>
                <w:sz w:val="24"/>
              </w:rPr>
            </w:pPr>
            <w:r>
              <w:rPr>
                <w:rFonts w:hint="eastAsia" w:ascii="宋体" w:hAnsi="宋体"/>
                <w:color w:val="000000"/>
                <w:sz w:val="24"/>
              </w:rPr>
              <w:t>2</w:t>
            </w:r>
          </w:p>
        </w:tc>
        <w:tc>
          <w:tcPr>
            <w:tcW w:w="1248" w:type="dxa"/>
            <w:noWrap w:val="0"/>
            <w:vAlign w:val="center"/>
          </w:tcPr>
          <w:p>
            <w:pPr>
              <w:spacing w:line="360" w:lineRule="auto"/>
              <w:ind w:firstLine="480" w:firstLineChars="200"/>
              <w:jc w:val="center"/>
              <w:rPr>
                <w:rFonts w:hint="eastAsia" w:ascii="宋体" w:hAnsi="宋体"/>
                <w:color w:val="000000"/>
                <w:sz w:val="24"/>
              </w:rPr>
            </w:pPr>
          </w:p>
        </w:tc>
        <w:tc>
          <w:tcPr>
            <w:tcW w:w="2516" w:type="dxa"/>
            <w:noWrap w:val="0"/>
            <w:vAlign w:val="center"/>
          </w:tcPr>
          <w:p>
            <w:pPr>
              <w:spacing w:line="360" w:lineRule="auto"/>
              <w:ind w:firstLine="480" w:firstLineChars="200"/>
              <w:jc w:val="center"/>
              <w:rPr>
                <w:rFonts w:hint="eastAsia" w:ascii="宋体" w:hAnsi="宋体"/>
                <w:color w:val="000000"/>
                <w:sz w:val="24"/>
              </w:rPr>
            </w:pPr>
          </w:p>
        </w:tc>
        <w:tc>
          <w:tcPr>
            <w:tcW w:w="1780" w:type="dxa"/>
            <w:noWrap w:val="0"/>
            <w:vAlign w:val="center"/>
          </w:tcPr>
          <w:p>
            <w:pPr>
              <w:spacing w:line="360" w:lineRule="auto"/>
              <w:ind w:firstLine="480" w:firstLineChars="200"/>
              <w:jc w:val="center"/>
              <w:rPr>
                <w:rFonts w:hint="eastAsia" w:ascii="宋体" w:hAnsi="宋体"/>
                <w:color w:val="000000"/>
                <w:sz w:val="24"/>
              </w:rPr>
            </w:pPr>
          </w:p>
        </w:tc>
        <w:tc>
          <w:tcPr>
            <w:tcW w:w="1571" w:type="dxa"/>
            <w:noWrap w:val="0"/>
            <w:vAlign w:val="center"/>
          </w:tcPr>
          <w:p>
            <w:pPr>
              <w:spacing w:line="360" w:lineRule="auto"/>
              <w:ind w:firstLine="480" w:firstLineChars="200"/>
              <w:jc w:val="center"/>
              <w:rPr>
                <w:rFonts w:hint="eastAsia" w:ascii="宋体" w:hAnsi="宋体"/>
                <w:color w:val="000000"/>
                <w:sz w:val="24"/>
              </w:rPr>
            </w:pPr>
          </w:p>
        </w:tc>
        <w:tc>
          <w:tcPr>
            <w:tcW w:w="1571" w:type="dxa"/>
            <w:noWrap w:val="0"/>
            <w:vAlign w:val="center"/>
          </w:tcPr>
          <w:p>
            <w:pPr>
              <w:spacing w:line="360" w:lineRule="auto"/>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jc w:val="center"/>
        </w:trPr>
        <w:tc>
          <w:tcPr>
            <w:tcW w:w="680" w:type="dxa"/>
            <w:noWrap w:val="0"/>
            <w:vAlign w:val="center"/>
          </w:tcPr>
          <w:p>
            <w:pPr>
              <w:spacing w:line="360" w:lineRule="auto"/>
              <w:jc w:val="center"/>
              <w:rPr>
                <w:rFonts w:hint="eastAsia" w:ascii="宋体" w:hAnsi="宋体"/>
                <w:color w:val="000000"/>
                <w:sz w:val="24"/>
              </w:rPr>
            </w:pPr>
            <w:r>
              <w:rPr>
                <w:rFonts w:hint="eastAsia" w:ascii="宋体" w:hAnsi="宋体"/>
                <w:color w:val="000000"/>
                <w:sz w:val="24"/>
              </w:rPr>
              <w:t>..</w:t>
            </w:r>
          </w:p>
        </w:tc>
        <w:tc>
          <w:tcPr>
            <w:tcW w:w="1248" w:type="dxa"/>
            <w:noWrap w:val="0"/>
            <w:vAlign w:val="center"/>
          </w:tcPr>
          <w:p>
            <w:pPr>
              <w:spacing w:line="360" w:lineRule="auto"/>
              <w:ind w:firstLine="480" w:firstLineChars="200"/>
              <w:jc w:val="center"/>
              <w:rPr>
                <w:rFonts w:hint="eastAsia" w:ascii="宋体" w:hAnsi="宋体"/>
                <w:color w:val="000000"/>
                <w:sz w:val="24"/>
              </w:rPr>
            </w:pPr>
          </w:p>
        </w:tc>
        <w:tc>
          <w:tcPr>
            <w:tcW w:w="2516" w:type="dxa"/>
            <w:noWrap w:val="0"/>
            <w:vAlign w:val="center"/>
          </w:tcPr>
          <w:p>
            <w:pPr>
              <w:spacing w:line="360" w:lineRule="auto"/>
              <w:ind w:firstLine="480" w:firstLineChars="200"/>
              <w:jc w:val="center"/>
              <w:rPr>
                <w:rFonts w:hint="eastAsia" w:ascii="宋体" w:hAnsi="宋体"/>
                <w:color w:val="000000"/>
                <w:sz w:val="24"/>
              </w:rPr>
            </w:pPr>
          </w:p>
        </w:tc>
        <w:tc>
          <w:tcPr>
            <w:tcW w:w="1780" w:type="dxa"/>
            <w:noWrap w:val="0"/>
            <w:vAlign w:val="center"/>
          </w:tcPr>
          <w:p>
            <w:pPr>
              <w:spacing w:line="360" w:lineRule="auto"/>
              <w:ind w:firstLine="480" w:firstLineChars="200"/>
              <w:jc w:val="center"/>
              <w:rPr>
                <w:rFonts w:hint="eastAsia" w:ascii="宋体" w:hAnsi="宋体"/>
                <w:color w:val="000000"/>
                <w:sz w:val="24"/>
              </w:rPr>
            </w:pPr>
          </w:p>
        </w:tc>
        <w:tc>
          <w:tcPr>
            <w:tcW w:w="1571" w:type="dxa"/>
            <w:noWrap w:val="0"/>
            <w:vAlign w:val="center"/>
          </w:tcPr>
          <w:p>
            <w:pPr>
              <w:spacing w:line="360" w:lineRule="auto"/>
              <w:ind w:firstLine="480" w:firstLineChars="200"/>
              <w:jc w:val="center"/>
              <w:rPr>
                <w:rFonts w:hint="eastAsia" w:ascii="宋体" w:hAnsi="宋体"/>
                <w:color w:val="000000"/>
                <w:sz w:val="24"/>
              </w:rPr>
            </w:pPr>
          </w:p>
        </w:tc>
        <w:tc>
          <w:tcPr>
            <w:tcW w:w="1571" w:type="dxa"/>
            <w:noWrap w:val="0"/>
            <w:vAlign w:val="center"/>
          </w:tcPr>
          <w:p>
            <w:pPr>
              <w:spacing w:line="360" w:lineRule="auto"/>
              <w:ind w:firstLine="480" w:firstLineChars="200"/>
              <w:jc w:val="center"/>
              <w:rPr>
                <w:rFonts w:hint="eastAsia" w:ascii="宋体" w:hAnsi="宋体"/>
                <w:color w:val="000000"/>
                <w:sz w:val="24"/>
              </w:rPr>
            </w:pPr>
          </w:p>
        </w:tc>
      </w:tr>
    </w:tbl>
    <w:p>
      <w:pPr>
        <w:spacing w:line="360" w:lineRule="auto"/>
        <w:ind w:firstLine="600" w:firstLineChars="250"/>
        <w:rPr>
          <w:rFonts w:hint="eastAsia" w:ascii="宋体" w:hAnsi="宋体"/>
          <w:color w:val="000000"/>
          <w:sz w:val="24"/>
        </w:rPr>
      </w:pPr>
      <w:r>
        <w:rPr>
          <w:rFonts w:hint="eastAsia" w:ascii="宋体" w:hAnsi="宋体"/>
          <w:color w:val="000000"/>
          <w:sz w:val="24"/>
        </w:rPr>
        <w:t>投标人代表（签名）：                  投标人（加盖公章）：</w:t>
      </w:r>
    </w:p>
    <w:p>
      <w:pPr>
        <w:pStyle w:val="15"/>
        <w:rPr>
          <w:rFonts w:hint="eastAsia" w:ascii="宋体" w:hAnsi="宋体"/>
          <w:color w:val="000000"/>
          <w:sz w:val="24"/>
        </w:rPr>
      </w:pPr>
      <w:r>
        <w:rPr>
          <w:rFonts w:hint="eastAsia"/>
          <w:color w:val="000000"/>
        </w:rPr>
        <w:t>注：商务偏离表必须填写相关内容。若无偏离，请在偏离说明中填“无”；若有正、负偏离的请在表项中列明。</w:t>
      </w:r>
    </w:p>
    <w:p>
      <w:pPr>
        <w:spacing w:line="360" w:lineRule="auto"/>
        <w:ind w:left="5039" w:leftChars="228" w:hanging="4560" w:hangingChars="1900"/>
        <w:rPr>
          <w:rFonts w:hint="eastAsia" w:ascii="宋体" w:hAnsi="宋体"/>
          <w:color w:val="000000"/>
          <w:sz w:val="24"/>
        </w:rPr>
      </w:pPr>
      <w:r>
        <w:rPr>
          <w:rFonts w:hint="eastAsia" w:ascii="宋体" w:hAnsi="宋体"/>
          <w:color w:val="000000"/>
          <w:sz w:val="24"/>
        </w:rPr>
        <w:t xml:space="preserve">                                                 日期：20  年   月   日</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hint="eastAsia" w:ascii="宋体" w:hAnsi="宋体"/>
          <w:color w:val="000000"/>
          <w:sz w:val="24"/>
        </w:rPr>
        <w:t>九、相关项目实施业绩一览表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60"/>
        <w:gridCol w:w="2340"/>
        <w:gridCol w:w="1800"/>
        <w:gridCol w:w="126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8" w:hRule="atLeast"/>
          <w:jc w:val="center"/>
        </w:trPr>
        <w:tc>
          <w:tcPr>
            <w:tcW w:w="1286" w:type="dxa"/>
            <w:tcBorders>
              <w:top w:val="single" w:color="auto" w:sz="4" w:space="0"/>
              <w:left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采购单位</w:t>
            </w:r>
          </w:p>
        </w:tc>
        <w:tc>
          <w:tcPr>
            <w:tcW w:w="1260" w:type="dxa"/>
            <w:tcBorders>
              <w:top w:val="single" w:color="auto" w:sz="4" w:space="0"/>
              <w:left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项目名称</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项目简要描述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项目金额</w:t>
            </w:r>
          </w:p>
          <w:p>
            <w:pPr>
              <w:jc w:val="center"/>
              <w:rPr>
                <w:rFonts w:hint="eastAsia"/>
                <w:color w:val="000000"/>
                <w:sz w:val="24"/>
              </w:rPr>
            </w:pPr>
            <w:r>
              <w:rPr>
                <w:rFonts w:hint="eastAsia"/>
                <w:color w:val="000000"/>
                <w:sz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实施时间</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采购单位</w:t>
            </w:r>
          </w:p>
          <w:p>
            <w:pPr>
              <w:jc w:val="center"/>
              <w:rPr>
                <w:rFonts w:hint="eastAsia"/>
                <w:color w:val="000000"/>
                <w:sz w:val="24"/>
              </w:rPr>
            </w:pPr>
            <w:r>
              <w:rPr>
                <w:rFonts w:hint="eastAsia"/>
                <w:color w:val="000000"/>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286" w:type="dxa"/>
            <w:tcBorders>
              <w:left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1260" w:type="dxa"/>
            <w:tcBorders>
              <w:left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286" w:type="dxa"/>
            <w:tcBorders>
              <w:left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1260" w:type="dxa"/>
            <w:tcBorders>
              <w:left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olor w:val="000000"/>
                <w:sz w:val="24"/>
              </w:rPr>
            </w:pPr>
          </w:p>
        </w:tc>
      </w:tr>
    </w:tbl>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投标人代表（签名）：                          投标人（加盖公章）：</w:t>
      </w:r>
    </w:p>
    <w:p>
      <w:pPr>
        <w:spacing w:line="360" w:lineRule="auto"/>
        <w:ind w:left="5159" w:leftChars="228" w:hanging="4680" w:hangingChars="1950"/>
        <w:rPr>
          <w:rFonts w:hint="eastAsia" w:ascii="宋体" w:hAnsi="宋体"/>
          <w:color w:val="000000"/>
          <w:sz w:val="24"/>
        </w:rPr>
      </w:pPr>
      <w:r>
        <w:rPr>
          <w:rFonts w:hint="eastAsia" w:ascii="宋体" w:hAnsi="宋体"/>
          <w:color w:val="000000"/>
          <w:sz w:val="24"/>
        </w:rPr>
        <w:t xml:space="preserve">                                                                        日期：20  年   月   日</w:t>
      </w:r>
    </w:p>
    <w:p>
      <w:pPr>
        <w:spacing w:line="360" w:lineRule="auto"/>
        <w:jc w:val="center"/>
        <w:rPr>
          <w:rFonts w:hint="eastAsia" w:ascii="宋体" w:hAnsi="宋体"/>
          <w:color w:val="000000"/>
          <w:sz w:val="24"/>
        </w:rPr>
      </w:pPr>
      <w:r>
        <w:rPr>
          <w:rFonts w:hint="eastAsia" w:ascii="宋体" w:hAnsi="宋体"/>
          <w:color w:val="000000"/>
          <w:sz w:val="24"/>
        </w:rPr>
        <w:t>十、技术规范偏离表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221"/>
        <w:gridCol w:w="662"/>
        <w:gridCol w:w="2154"/>
        <w:gridCol w:w="1802"/>
        <w:gridCol w:w="142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trPr>
        <w:tc>
          <w:tcPr>
            <w:tcW w:w="670" w:type="dxa"/>
            <w:noWrap w:val="0"/>
            <w:vAlign w:val="center"/>
          </w:tcPr>
          <w:p>
            <w:pPr>
              <w:jc w:val="center"/>
              <w:rPr>
                <w:rFonts w:hint="eastAsia"/>
                <w:color w:val="000000"/>
                <w:sz w:val="24"/>
              </w:rPr>
            </w:pPr>
            <w:r>
              <w:rPr>
                <w:rFonts w:hint="eastAsia"/>
                <w:color w:val="000000"/>
                <w:sz w:val="24"/>
              </w:rPr>
              <w:t>序号</w:t>
            </w:r>
          </w:p>
        </w:tc>
        <w:tc>
          <w:tcPr>
            <w:tcW w:w="1221" w:type="dxa"/>
            <w:noWrap w:val="0"/>
            <w:vAlign w:val="center"/>
          </w:tcPr>
          <w:p>
            <w:pPr>
              <w:jc w:val="center"/>
              <w:rPr>
                <w:rFonts w:hint="eastAsia"/>
                <w:color w:val="000000"/>
                <w:sz w:val="24"/>
              </w:rPr>
            </w:pPr>
            <w:r>
              <w:rPr>
                <w:rFonts w:hint="eastAsia"/>
                <w:color w:val="000000"/>
                <w:sz w:val="24"/>
              </w:rPr>
              <w:t>货物名称</w:t>
            </w:r>
          </w:p>
        </w:tc>
        <w:tc>
          <w:tcPr>
            <w:tcW w:w="662" w:type="dxa"/>
            <w:noWrap w:val="0"/>
            <w:vAlign w:val="center"/>
          </w:tcPr>
          <w:p>
            <w:pPr>
              <w:jc w:val="center"/>
              <w:rPr>
                <w:rFonts w:hint="eastAsia"/>
                <w:color w:val="000000"/>
                <w:sz w:val="24"/>
              </w:rPr>
            </w:pPr>
            <w:r>
              <w:rPr>
                <w:rFonts w:hint="eastAsia"/>
                <w:color w:val="000000"/>
                <w:sz w:val="24"/>
              </w:rPr>
              <w:t>数量</w:t>
            </w:r>
          </w:p>
        </w:tc>
        <w:tc>
          <w:tcPr>
            <w:tcW w:w="2154" w:type="dxa"/>
            <w:noWrap w:val="0"/>
            <w:vAlign w:val="center"/>
          </w:tcPr>
          <w:p>
            <w:pPr>
              <w:jc w:val="center"/>
              <w:rPr>
                <w:rFonts w:hint="eastAsia"/>
                <w:color w:val="000000"/>
                <w:sz w:val="24"/>
              </w:rPr>
            </w:pPr>
            <w:r>
              <w:rPr>
                <w:rFonts w:hint="eastAsia"/>
                <w:color w:val="000000"/>
                <w:sz w:val="24"/>
              </w:rPr>
              <w:t>招标文件</w:t>
            </w:r>
          </w:p>
          <w:p>
            <w:pPr>
              <w:jc w:val="center"/>
              <w:rPr>
                <w:rFonts w:hint="eastAsia"/>
                <w:color w:val="000000"/>
                <w:sz w:val="24"/>
              </w:rPr>
            </w:pPr>
            <w:r>
              <w:rPr>
                <w:rFonts w:hint="eastAsia"/>
                <w:color w:val="000000"/>
                <w:sz w:val="24"/>
              </w:rPr>
              <w:t>技术规范、要求</w:t>
            </w:r>
          </w:p>
        </w:tc>
        <w:tc>
          <w:tcPr>
            <w:tcW w:w="1802" w:type="dxa"/>
            <w:noWrap w:val="0"/>
            <w:vAlign w:val="center"/>
          </w:tcPr>
          <w:p>
            <w:pPr>
              <w:jc w:val="center"/>
              <w:rPr>
                <w:rFonts w:hint="eastAsia"/>
                <w:color w:val="000000"/>
                <w:sz w:val="24"/>
              </w:rPr>
            </w:pPr>
            <w:r>
              <w:rPr>
                <w:rFonts w:hint="eastAsia"/>
                <w:color w:val="000000"/>
                <w:sz w:val="24"/>
              </w:rPr>
              <w:t>投标文件</w:t>
            </w:r>
          </w:p>
          <w:p>
            <w:pPr>
              <w:jc w:val="center"/>
              <w:rPr>
                <w:rFonts w:hint="eastAsia"/>
                <w:color w:val="000000"/>
                <w:sz w:val="24"/>
              </w:rPr>
            </w:pPr>
            <w:r>
              <w:rPr>
                <w:rFonts w:hint="eastAsia"/>
                <w:color w:val="000000"/>
                <w:sz w:val="24"/>
              </w:rPr>
              <w:t>技术规范</w:t>
            </w:r>
          </w:p>
        </w:tc>
        <w:tc>
          <w:tcPr>
            <w:tcW w:w="1428" w:type="dxa"/>
            <w:noWrap w:val="0"/>
            <w:vAlign w:val="center"/>
          </w:tcPr>
          <w:p>
            <w:pPr>
              <w:jc w:val="center"/>
              <w:rPr>
                <w:rFonts w:hint="eastAsia"/>
                <w:color w:val="000000"/>
                <w:sz w:val="24"/>
              </w:rPr>
            </w:pPr>
            <w:r>
              <w:rPr>
                <w:rFonts w:hint="eastAsia"/>
                <w:color w:val="000000"/>
                <w:sz w:val="24"/>
              </w:rPr>
              <w:t>偏离说明</w:t>
            </w:r>
          </w:p>
        </w:tc>
        <w:tc>
          <w:tcPr>
            <w:tcW w:w="1428" w:type="dxa"/>
            <w:noWrap w:val="0"/>
            <w:vAlign w:val="center"/>
          </w:tcPr>
          <w:p>
            <w:pPr>
              <w:jc w:val="center"/>
              <w:rPr>
                <w:rFonts w:hint="eastAsia"/>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670" w:type="dxa"/>
            <w:noWrap w:val="0"/>
            <w:vAlign w:val="top"/>
          </w:tcPr>
          <w:p>
            <w:pPr>
              <w:spacing w:line="360" w:lineRule="auto"/>
              <w:ind w:firstLine="480" w:firstLineChars="200"/>
              <w:jc w:val="center"/>
              <w:rPr>
                <w:rFonts w:hint="eastAsia" w:ascii="宋体" w:hAnsi="宋体"/>
                <w:color w:val="000000"/>
                <w:sz w:val="24"/>
              </w:rPr>
            </w:pPr>
          </w:p>
        </w:tc>
        <w:tc>
          <w:tcPr>
            <w:tcW w:w="1221" w:type="dxa"/>
            <w:noWrap w:val="0"/>
            <w:vAlign w:val="top"/>
          </w:tcPr>
          <w:p>
            <w:pPr>
              <w:spacing w:line="360" w:lineRule="auto"/>
              <w:ind w:firstLine="480" w:firstLineChars="200"/>
              <w:jc w:val="center"/>
              <w:rPr>
                <w:rFonts w:hint="eastAsia" w:ascii="宋体" w:hAnsi="宋体"/>
                <w:color w:val="000000"/>
                <w:sz w:val="24"/>
              </w:rPr>
            </w:pPr>
          </w:p>
        </w:tc>
        <w:tc>
          <w:tcPr>
            <w:tcW w:w="662" w:type="dxa"/>
            <w:noWrap w:val="0"/>
            <w:vAlign w:val="top"/>
          </w:tcPr>
          <w:p>
            <w:pPr>
              <w:spacing w:line="360" w:lineRule="auto"/>
              <w:ind w:firstLine="480" w:firstLineChars="200"/>
              <w:jc w:val="center"/>
              <w:rPr>
                <w:rFonts w:hint="eastAsia" w:ascii="宋体" w:hAnsi="宋体"/>
                <w:color w:val="000000"/>
                <w:sz w:val="24"/>
              </w:rPr>
            </w:pPr>
          </w:p>
        </w:tc>
        <w:tc>
          <w:tcPr>
            <w:tcW w:w="2154" w:type="dxa"/>
            <w:noWrap w:val="0"/>
            <w:vAlign w:val="top"/>
          </w:tcPr>
          <w:p>
            <w:pPr>
              <w:spacing w:line="360" w:lineRule="auto"/>
              <w:ind w:firstLine="480" w:firstLineChars="200"/>
              <w:jc w:val="center"/>
              <w:rPr>
                <w:rFonts w:hint="eastAsia" w:ascii="宋体" w:hAnsi="宋体"/>
                <w:color w:val="000000"/>
                <w:sz w:val="24"/>
              </w:rPr>
            </w:pPr>
          </w:p>
        </w:tc>
        <w:tc>
          <w:tcPr>
            <w:tcW w:w="1802" w:type="dxa"/>
            <w:noWrap w:val="0"/>
            <w:vAlign w:val="top"/>
          </w:tcPr>
          <w:p>
            <w:pPr>
              <w:spacing w:line="360" w:lineRule="auto"/>
              <w:ind w:firstLine="480" w:firstLineChars="200"/>
              <w:jc w:val="center"/>
              <w:rPr>
                <w:rFonts w:hint="eastAsia" w:ascii="宋体" w:hAnsi="宋体"/>
                <w:color w:val="000000"/>
                <w:sz w:val="24"/>
              </w:rPr>
            </w:pPr>
          </w:p>
        </w:tc>
        <w:tc>
          <w:tcPr>
            <w:tcW w:w="1428" w:type="dxa"/>
            <w:noWrap w:val="0"/>
            <w:vAlign w:val="top"/>
          </w:tcPr>
          <w:p>
            <w:pPr>
              <w:spacing w:line="360" w:lineRule="auto"/>
              <w:ind w:firstLine="480" w:firstLineChars="200"/>
              <w:jc w:val="center"/>
              <w:rPr>
                <w:rFonts w:hint="eastAsia" w:ascii="宋体" w:hAnsi="宋体"/>
                <w:color w:val="000000"/>
                <w:sz w:val="24"/>
              </w:rPr>
            </w:pPr>
          </w:p>
        </w:tc>
        <w:tc>
          <w:tcPr>
            <w:tcW w:w="1428" w:type="dxa"/>
            <w:noWrap w:val="0"/>
            <w:vAlign w:val="top"/>
          </w:tcPr>
          <w:p>
            <w:pPr>
              <w:spacing w:line="360" w:lineRule="auto"/>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trPr>
        <w:tc>
          <w:tcPr>
            <w:tcW w:w="670" w:type="dxa"/>
            <w:noWrap w:val="0"/>
            <w:vAlign w:val="top"/>
          </w:tcPr>
          <w:p>
            <w:pPr>
              <w:spacing w:line="360" w:lineRule="auto"/>
              <w:ind w:firstLine="480" w:firstLineChars="200"/>
              <w:jc w:val="center"/>
              <w:rPr>
                <w:rFonts w:hint="eastAsia" w:ascii="宋体" w:hAnsi="宋体"/>
                <w:color w:val="000000"/>
                <w:sz w:val="24"/>
              </w:rPr>
            </w:pPr>
          </w:p>
        </w:tc>
        <w:tc>
          <w:tcPr>
            <w:tcW w:w="1221" w:type="dxa"/>
            <w:noWrap w:val="0"/>
            <w:vAlign w:val="top"/>
          </w:tcPr>
          <w:p>
            <w:pPr>
              <w:spacing w:line="360" w:lineRule="auto"/>
              <w:ind w:firstLine="480" w:firstLineChars="200"/>
              <w:jc w:val="center"/>
              <w:rPr>
                <w:rFonts w:hint="eastAsia" w:ascii="宋体" w:hAnsi="宋体"/>
                <w:color w:val="000000"/>
                <w:sz w:val="24"/>
              </w:rPr>
            </w:pPr>
          </w:p>
        </w:tc>
        <w:tc>
          <w:tcPr>
            <w:tcW w:w="662" w:type="dxa"/>
            <w:noWrap w:val="0"/>
            <w:vAlign w:val="top"/>
          </w:tcPr>
          <w:p>
            <w:pPr>
              <w:spacing w:line="360" w:lineRule="auto"/>
              <w:ind w:firstLine="480" w:firstLineChars="200"/>
              <w:jc w:val="center"/>
              <w:rPr>
                <w:rFonts w:hint="eastAsia" w:ascii="宋体" w:hAnsi="宋体"/>
                <w:color w:val="000000"/>
                <w:sz w:val="24"/>
              </w:rPr>
            </w:pPr>
          </w:p>
        </w:tc>
        <w:tc>
          <w:tcPr>
            <w:tcW w:w="2154" w:type="dxa"/>
            <w:noWrap w:val="0"/>
            <w:vAlign w:val="top"/>
          </w:tcPr>
          <w:p>
            <w:pPr>
              <w:spacing w:line="360" w:lineRule="auto"/>
              <w:ind w:firstLine="480" w:firstLineChars="200"/>
              <w:jc w:val="center"/>
              <w:rPr>
                <w:rFonts w:hint="eastAsia" w:ascii="宋体" w:hAnsi="宋体"/>
                <w:color w:val="000000"/>
                <w:sz w:val="24"/>
              </w:rPr>
            </w:pPr>
          </w:p>
        </w:tc>
        <w:tc>
          <w:tcPr>
            <w:tcW w:w="1802" w:type="dxa"/>
            <w:noWrap w:val="0"/>
            <w:vAlign w:val="top"/>
          </w:tcPr>
          <w:p>
            <w:pPr>
              <w:spacing w:line="360" w:lineRule="auto"/>
              <w:ind w:firstLine="480" w:firstLineChars="200"/>
              <w:jc w:val="center"/>
              <w:rPr>
                <w:rFonts w:hint="eastAsia" w:ascii="宋体" w:hAnsi="宋体"/>
                <w:color w:val="000000"/>
                <w:sz w:val="24"/>
              </w:rPr>
            </w:pPr>
          </w:p>
        </w:tc>
        <w:tc>
          <w:tcPr>
            <w:tcW w:w="1428" w:type="dxa"/>
            <w:noWrap w:val="0"/>
            <w:vAlign w:val="top"/>
          </w:tcPr>
          <w:p>
            <w:pPr>
              <w:spacing w:line="360" w:lineRule="auto"/>
              <w:ind w:firstLine="480" w:firstLineChars="200"/>
              <w:jc w:val="center"/>
              <w:rPr>
                <w:rFonts w:hint="eastAsia" w:ascii="宋体" w:hAnsi="宋体"/>
                <w:color w:val="000000"/>
                <w:sz w:val="24"/>
              </w:rPr>
            </w:pPr>
          </w:p>
        </w:tc>
        <w:tc>
          <w:tcPr>
            <w:tcW w:w="1428" w:type="dxa"/>
            <w:noWrap w:val="0"/>
            <w:vAlign w:val="top"/>
          </w:tcPr>
          <w:p>
            <w:pPr>
              <w:spacing w:line="360" w:lineRule="auto"/>
              <w:ind w:firstLine="480" w:firstLineChars="200"/>
              <w:jc w:val="center"/>
              <w:rPr>
                <w:rFonts w:hint="eastAsia" w:ascii="宋体" w:hAnsi="宋体"/>
                <w:color w:val="000000"/>
                <w:sz w:val="24"/>
              </w:rPr>
            </w:pPr>
          </w:p>
        </w:tc>
      </w:tr>
    </w:tbl>
    <w:p>
      <w:pPr>
        <w:spacing w:line="360" w:lineRule="auto"/>
        <w:rPr>
          <w:rFonts w:hint="eastAsia" w:ascii="宋体" w:hAnsi="宋体"/>
          <w:color w:val="000000"/>
          <w:sz w:val="24"/>
        </w:rPr>
      </w:pPr>
      <w:r>
        <w:rPr>
          <w:rFonts w:hint="eastAsia" w:ascii="宋体" w:hAnsi="宋体"/>
          <w:color w:val="000000"/>
          <w:sz w:val="24"/>
        </w:rPr>
        <w:t>投标人代表（签名）：                            投标人（加盖公章）：</w:t>
      </w:r>
    </w:p>
    <w:p>
      <w:pPr>
        <w:pStyle w:val="15"/>
        <w:rPr>
          <w:rFonts w:hint="eastAsia" w:ascii="宋体" w:hAnsi="宋体"/>
          <w:color w:val="000000"/>
          <w:sz w:val="24"/>
        </w:rPr>
      </w:pPr>
      <w:r>
        <w:rPr>
          <w:rFonts w:hint="eastAsia"/>
          <w:color w:val="000000"/>
        </w:rPr>
        <w:t>注：技术规范偏离表必须填写相关内容，若无偏离，请在偏离说明中填“无”；若有正、负偏离的请在表项中列明。</w:t>
      </w:r>
    </w:p>
    <w:p>
      <w:pPr>
        <w:pStyle w:val="15"/>
        <w:rPr>
          <w:rFonts w:hint="eastAsia"/>
          <w:color w:val="000000"/>
        </w:rPr>
      </w:pPr>
    </w:p>
    <w:p>
      <w:pPr>
        <w:spacing w:line="360" w:lineRule="auto"/>
        <w:ind w:firstLine="480" w:firstLineChars="200"/>
        <w:rPr>
          <w:rFonts w:ascii="宋体" w:hAnsi="宋体"/>
          <w:color w:val="000000"/>
          <w:sz w:val="24"/>
        </w:rPr>
      </w:pPr>
      <w:r>
        <w:rPr>
          <w:rFonts w:hint="eastAsia" w:ascii="宋体" w:hAnsi="宋体"/>
          <w:color w:val="000000"/>
          <w:sz w:val="24"/>
        </w:rPr>
        <w:t xml:space="preserve">                                                 日期：20  年   月   日</w:t>
      </w:r>
    </w:p>
    <w:p>
      <w:pPr>
        <w:spacing w:line="360" w:lineRule="auto"/>
        <w:ind w:firstLine="480" w:firstLineChars="200"/>
        <w:jc w:val="center"/>
        <w:rPr>
          <w:rFonts w:hint="eastAsia" w:ascii="宋体" w:hAnsi="宋体"/>
          <w:color w:val="000000"/>
          <w:sz w:val="24"/>
        </w:rPr>
      </w:pPr>
      <w:r>
        <w:rPr>
          <w:rFonts w:ascii="宋体" w:hAnsi="宋体"/>
          <w:color w:val="000000"/>
          <w:sz w:val="24"/>
        </w:rPr>
        <w:br w:type="page"/>
      </w:r>
      <w:r>
        <w:rPr>
          <w:rFonts w:hint="eastAsia" w:ascii="宋体" w:hAnsi="宋体"/>
          <w:color w:val="000000"/>
          <w:sz w:val="24"/>
        </w:rPr>
        <w:t>十一、货物具体配置表</w:t>
      </w:r>
    </w:p>
    <w:p>
      <w:pPr>
        <w:spacing w:line="360" w:lineRule="auto"/>
        <w:ind w:firstLine="480" w:firstLineChars="200"/>
        <w:rPr>
          <w:rFonts w:hint="eastAsia" w:ascii="宋体" w:hAnsi="宋体"/>
          <w:color w:val="000000"/>
          <w:sz w:val="24"/>
        </w:rPr>
      </w:pPr>
      <w:r>
        <w:rPr>
          <w:rFonts w:hint="eastAsia" w:ascii="宋体" w:hAnsi="宋体"/>
          <w:color w:val="000000"/>
          <w:sz w:val="24"/>
        </w:rPr>
        <w:t>填表说明：可附具体的介绍图文资料</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color w:val="000000"/>
                <w:sz w:val="24"/>
              </w:rPr>
            </w:pPr>
            <w:r>
              <w:rPr>
                <w:rFonts w:hint="eastAsia"/>
                <w:color w:val="000000"/>
                <w:sz w:val="24"/>
              </w:rPr>
              <w:t>序号</w:t>
            </w:r>
          </w:p>
        </w:tc>
        <w:tc>
          <w:tcPr>
            <w:tcW w:w="1801" w:type="dxa"/>
            <w:noWrap w:val="0"/>
            <w:vAlign w:val="center"/>
          </w:tcPr>
          <w:p>
            <w:pPr>
              <w:jc w:val="center"/>
              <w:rPr>
                <w:color w:val="000000"/>
                <w:sz w:val="24"/>
              </w:rPr>
            </w:pPr>
            <w:r>
              <w:rPr>
                <w:rFonts w:hint="eastAsia"/>
                <w:color w:val="000000"/>
                <w:sz w:val="24"/>
              </w:rPr>
              <w:t>设备名称</w:t>
            </w:r>
          </w:p>
        </w:tc>
        <w:tc>
          <w:tcPr>
            <w:tcW w:w="900" w:type="dxa"/>
            <w:noWrap w:val="0"/>
            <w:vAlign w:val="center"/>
          </w:tcPr>
          <w:p>
            <w:pPr>
              <w:jc w:val="center"/>
              <w:rPr>
                <w:rFonts w:hint="eastAsia"/>
                <w:color w:val="000000"/>
                <w:sz w:val="24"/>
              </w:rPr>
            </w:pPr>
            <w:r>
              <w:rPr>
                <w:rFonts w:hint="eastAsia"/>
                <w:color w:val="000000"/>
                <w:sz w:val="24"/>
              </w:rPr>
              <w:t>数量</w:t>
            </w:r>
          </w:p>
        </w:tc>
        <w:tc>
          <w:tcPr>
            <w:tcW w:w="1080" w:type="dxa"/>
            <w:noWrap w:val="0"/>
            <w:vAlign w:val="center"/>
          </w:tcPr>
          <w:p>
            <w:pPr>
              <w:jc w:val="center"/>
              <w:rPr>
                <w:rFonts w:hint="eastAsia"/>
                <w:color w:val="000000"/>
                <w:sz w:val="24"/>
              </w:rPr>
            </w:pPr>
            <w:r>
              <w:rPr>
                <w:rFonts w:hint="eastAsia"/>
                <w:color w:val="000000"/>
                <w:sz w:val="24"/>
              </w:rPr>
              <w:t>品牌</w:t>
            </w:r>
          </w:p>
        </w:tc>
        <w:tc>
          <w:tcPr>
            <w:tcW w:w="1260" w:type="dxa"/>
            <w:noWrap w:val="0"/>
            <w:vAlign w:val="center"/>
          </w:tcPr>
          <w:p>
            <w:pPr>
              <w:jc w:val="center"/>
              <w:rPr>
                <w:rFonts w:hint="eastAsia"/>
                <w:color w:val="000000"/>
                <w:sz w:val="24"/>
              </w:rPr>
            </w:pPr>
            <w:r>
              <w:rPr>
                <w:rFonts w:hint="eastAsia"/>
                <w:color w:val="000000"/>
                <w:sz w:val="24"/>
              </w:rPr>
              <w:t>规格型号</w:t>
            </w:r>
          </w:p>
        </w:tc>
        <w:tc>
          <w:tcPr>
            <w:tcW w:w="1620" w:type="dxa"/>
            <w:noWrap w:val="0"/>
            <w:vAlign w:val="center"/>
          </w:tcPr>
          <w:p>
            <w:pPr>
              <w:jc w:val="center"/>
              <w:rPr>
                <w:rFonts w:hint="eastAsia"/>
                <w:color w:val="000000"/>
                <w:sz w:val="24"/>
              </w:rPr>
            </w:pPr>
            <w:r>
              <w:rPr>
                <w:rFonts w:hint="eastAsia"/>
                <w:color w:val="000000"/>
                <w:sz w:val="24"/>
              </w:rPr>
              <w:t>性能及指标</w:t>
            </w:r>
          </w:p>
        </w:tc>
        <w:tc>
          <w:tcPr>
            <w:tcW w:w="1199" w:type="dxa"/>
            <w:noWrap w:val="0"/>
            <w:vAlign w:val="center"/>
          </w:tcPr>
          <w:p>
            <w:pPr>
              <w:jc w:val="center"/>
              <w:rPr>
                <w:rFonts w:hint="eastAsia"/>
                <w:color w:val="000000"/>
                <w:sz w:val="24"/>
              </w:rPr>
            </w:pPr>
            <w:r>
              <w:rPr>
                <w:rFonts w:hint="eastAsia"/>
                <w:color w:val="000000"/>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color w:val="000000"/>
                <w:sz w:val="24"/>
              </w:rPr>
            </w:pPr>
            <w:r>
              <w:rPr>
                <w:rFonts w:hint="eastAsia"/>
                <w:color w:val="000000"/>
                <w:sz w:val="24"/>
              </w:rPr>
              <w:t>1</w:t>
            </w:r>
          </w:p>
        </w:tc>
        <w:tc>
          <w:tcPr>
            <w:tcW w:w="1801" w:type="dxa"/>
            <w:noWrap w:val="0"/>
            <w:vAlign w:val="center"/>
          </w:tcPr>
          <w:p>
            <w:pPr>
              <w:jc w:val="center"/>
              <w:rPr>
                <w:rFonts w:hint="eastAsia"/>
                <w:color w:val="000000"/>
                <w:sz w:val="24"/>
              </w:rPr>
            </w:pPr>
          </w:p>
        </w:tc>
        <w:tc>
          <w:tcPr>
            <w:tcW w:w="900" w:type="dxa"/>
            <w:noWrap w:val="0"/>
            <w:vAlign w:val="center"/>
          </w:tcPr>
          <w:p>
            <w:pPr>
              <w:jc w:val="center"/>
              <w:rPr>
                <w:rFonts w:hint="eastAsia"/>
                <w:color w:val="000000"/>
                <w:sz w:val="24"/>
              </w:rPr>
            </w:pPr>
          </w:p>
        </w:tc>
        <w:tc>
          <w:tcPr>
            <w:tcW w:w="1080" w:type="dxa"/>
            <w:noWrap w:val="0"/>
            <w:vAlign w:val="center"/>
          </w:tcPr>
          <w:p>
            <w:pPr>
              <w:jc w:val="center"/>
              <w:rPr>
                <w:rFonts w:hint="eastAsia"/>
                <w:color w:val="000000"/>
                <w:sz w:val="24"/>
              </w:rPr>
            </w:pPr>
          </w:p>
        </w:tc>
        <w:tc>
          <w:tcPr>
            <w:tcW w:w="1260" w:type="dxa"/>
            <w:noWrap w:val="0"/>
            <w:vAlign w:val="center"/>
          </w:tcPr>
          <w:p>
            <w:pPr>
              <w:jc w:val="center"/>
              <w:rPr>
                <w:rFonts w:hint="eastAsia"/>
                <w:color w:val="000000"/>
                <w:sz w:val="24"/>
              </w:rPr>
            </w:pPr>
          </w:p>
        </w:tc>
        <w:tc>
          <w:tcPr>
            <w:tcW w:w="1620" w:type="dxa"/>
            <w:noWrap w:val="0"/>
            <w:vAlign w:val="center"/>
          </w:tcPr>
          <w:p>
            <w:pPr>
              <w:jc w:val="center"/>
              <w:rPr>
                <w:rFonts w:hint="eastAsia"/>
                <w:color w:val="000000"/>
                <w:sz w:val="24"/>
              </w:rPr>
            </w:pPr>
          </w:p>
        </w:tc>
        <w:tc>
          <w:tcPr>
            <w:tcW w:w="1199"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816" w:type="dxa"/>
            <w:noWrap w:val="0"/>
            <w:vAlign w:val="center"/>
          </w:tcPr>
          <w:p>
            <w:pPr>
              <w:jc w:val="center"/>
              <w:rPr>
                <w:rFonts w:hint="eastAsia"/>
                <w:color w:val="000000"/>
                <w:sz w:val="24"/>
              </w:rPr>
            </w:pPr>
            <w:r>
              <w:rPr>
                <w:rFonts w:hint="eastAsia"/>
                <w:color w:val="000000"/>
                <w:sz w:val="24"/>
              </w:rPr>
              <w:t>2</w:t>
            </w:r>
          </w:p>
        </w:tc>
        <w:tc>
          <w:tcPr>
            <w:tcW w:w="1801" w:type="dxa"/>
            <w:noWrap w:val="0"/>
            <w:vAlign w:val="center"/>
          </w:tcPr>
          <w:p>
            <w:pPr>
              <w:jc w:val="center"/>
              <w:rPr>
                <w:rFonts w:hint="eastAsia"/>
                <w:color w:val="000000"/>
                <w:sz w:val="24"/>
              </w:rPr>
            </w:pPr>
          </w:p>
        </w:tc>
        <w:tc>
          <w:tcPr>
            <w:tcW w:w="900" w:type="dxa"/>
            <w:noWrap w:val="0"/>
            <w:vAlign w:val="center"/>
          </w:tcPr>
          <w:p>
            <w:pPr>
              <w:jc w:val="center"/>
              <w:rPr>
                <w:rFonts w:hint="eastAsia"/>
                <w:color w:val="000000"/>
                <w:sz w:val="24"/>
              </w:rPr>
            </w:pPr>
          </w:p>
        </w:tc>
        <w:tc>
          <w:tcPr>
            <w:tcW w:w="1080" w:type="dxa"/>
            <w:noWrap w:val="0"/>
            <w:vAlign w:val="center"/>
          </w:tcPr>
          <w:p>
            <w:pPr>
              <w:jc w:val="center"/>
              <w:rPr>
                <w:rFonts w:hint="eastAsia"/>
                <w:color w:val="000000"/>
                <w:sz w:val="24"/>
              </w:rPr>
            </w:pPr>
          </w:p>
        </w:tc>
        <w:tc>
          <w:tcPr>
            <w:tcW w:w="1260" w:type="dxa"/>
            <w:noWrap w:val="0"/>
            <w:vAlign w:val="center"/>
          </w:tcPr>
          <w:p>
            <w:pPr>
              <w:jc w:val="center"/>
              <w:rPr>
                <w:rFonts w:hint="eastAsia"/>
                <w:color w:val="000000"/>
                <w:sz w:val="24"/>
              </w:rPr>
            </w:pPr>
          </w:p>
        </w:tc>
        <w:tc>
          <w:tcPr>
            <w:tcW w:w="1620" w:type="dxa"/>
            <w:noWrap w:val="0"/>
            <w:vAlign w:val="center"/>
          </w:tcPr>
          <w:p>
            <w:pPr>
              <w:jc w:val="center"/>
              <w:rPr>
                <w:rFonts w:hint="eastAsia"/>
                <w:color w:val="000000"/>
                <w:sz w:val="24"/>
              </w:rPr>
            </w:pPr>
          </w:p>
        </w:tc>
        <w:tc>
          <w:tcPr>
            <w:tcW w:w="1199"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color w:val="000000"/>
                <w:sz w:val="24"/>
              </w:rPr>
            </w:pPr>
            <w:r>
              <w:rPr>
                <w:rFonts w:hint="eastAsia"/>
                <w:color w:val="000000"/>
                <w:sz w:val="24"/>
              </w:rPr>
              <w:t>3</w:t>
            </w:r>
          </w:p>
        </w:tc>
        <w:tc>
          <w:tcPr>
            <w:tcW w:w="1801" w:type="dxa"/>
            <w:noWrap w:val="0"/>
            <w:vAlign w:val="center"/>
          </w:tcPr>
          <w:p>
            <w:pPr>
              <w:jc w:val="center"/>
              <w:rPr>
                <w:rFonts w:hint="eastAsia"/>
                <w:color w:val="000000"/>
                <w:sz w:val="24"/>
              </w:rPr>
            </w:pPr>
          </w:p>
        </w:tc>
        <w:tc>
          <w:tcPr>
            <w:tcW w:w="900" w:type="dxa"/>
            <w:noWrap w:val="0"/>
            <w:vAlign w:val="center"/>
          </w:tcPr>
          <w:p>
            <w:pPr>
              <w:jc w:val="center"/>
              <w:rPr>
                <w:rFonts w:hint="eastAsia"/>
                <w:color w:val="000000"/>
                <w:sz w:val="24"/>
              </w:rPr>
            </w:pPr>
          </w:p>
        </w:tc>
        <w:tc>
          <w:tcPr>
            <w:tcW w:w="1080" w:type="dxa"/>
            <w:noWrap w:val="0"/>
            <w:vAlign w:val="center"/>
          </w:tcPr>
          <w:p>
            <w:pPr>
              <w:jc w:val="center"/>
              <w:rPr>
                <w:rFonts w:hint="eastAsia"/>
                <w:color w:val="000000"/>
                <w:sz w:val="24"/>
              </w:rPr>
            </w:pPr>
          </w:p>
        </w:tc>
        <w:tc>
          <w:tcPr>
            <w:tcW w:w="1260" w:type="dxa"/>
            <w:noWrap w:val="0"/>
            <w:vAlign w:val="center"/>
          </w:tcPr>
          <w:p>
            <w:pPr>
              <w:jc w:val="center"/>
              <w:rPr>
                <w:rFonts w:hint="eastAsia"/>
                <w:color w:val="000000"/>
                <w:sz w:val="24"/>
              </w:rPr>
            </w:pPr>
          </w:p>
        </w:tc>
        <w:tc>
          <w:tcPr>
            <w:tcW w:w="1620" w:type="dxa"/>
            <w:noWrap w:val="0"/>
            <w:vAlign w:val="center"/>
          </w:tcPr>
          <w:p>
            <w:pPr>
              <w:jc w:val="center"/>
              <w:rPr>
                <w:rFonts w:hint="eastAsia"/>
                <w:color w:val="000000"/>
                <w:sz w:val="24"/>
              </w:rPr>
            </w:pPr>
          </w:p>
        </w:tc>
        <w:tc>
          <w:tcPr>
            <w:tcW w:w="1199"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color w:val="000000"/>
                <w:sz w:val="24"/>
              </w:rPr>
            </w:pPr>
            <w:r>
              <w:rPr>
                <w:rFonts w:hint="eastAsia"/>
                <w:color w:val="000000"/>
                <w:sz w:val="24"/>
              </w:rPr>
              <w:t>4</w:t>
            </w:r>
          </w:p>
        </w:tc>
        <w:tc>
          <w:tcPr>
            <w:tcW w:w="1801" w:type="dxa"/>
            <w:noWrap w:val="0"/>
            <w:vAlign w:val="center"/>
          </w:tcPr>
          <w:p>
            <w:pPr>
              <w:jc w:val="center"/>
              <w:rPr>
                <w:rFonts w:hint="eastAsia"/>
                <w:color w:val="000000"/>
                <w:sz w:val="24"/>
              </w:rPr>
            </w:pPr>
          </w:p>
        </w:tc>
        <w:tc>
          <w:tcPr>
            <w:tcW w:w="900" w:type="dxa"/>
            <w:noWrap w:val="0"/>
            <w:vAlign w:val="center"/>
          </w:tcPr>
          <w:p>
            <w:pPr>
              <w:jc w:val="center"/>
              <w:rPr>
                <w:rFonts w:hint="eastAsia"/>
                <w:color w:val="000000"/>
                <w:sz w:val="24"/>
              </w:rPr>
            </w:pPr>
          </w:p>
        </w:tc>
        <w:tc>
          <w:tcPr>
            <w:tcW w:w="1080" w:type="dxa"/>
            <w:noWrap w:val="0"/>
            <w:vAlign w:val="center"/>
          </w:tcPr>
          <w:p>
            <w:pPr>
              <w:jc w:val="center"/>
              <w:rPr>
                <w:rFonts w:hint="eastAsia"/>
                <w:color w:val="000000"/>
                <w:sz w:val="24"/>
              </w:rPr>
            </w:pPr>
          </w:p>
        </w:tc>
        <w:tc>
          <w:tcPr>
            <w:tcW w:w="1260" w:type="dxa"/>
            <w:noWrap w:val="0"/>
            <w:vAlign w:val="center"/>
          </w:tcPr>
          <w:p>
            <w:pPr>
              <w:jc w:val="center"/>
              <w:rPr>
                <w:rFonts w:hint="eastAsia"/>
                <w:color w:val="000000"/>
                <w:sz w:val="24"/>
              </w:rPr>
            </w:pPr>
          </w:p>
        </w:tc>
        <w:tc>
          <w:tcPr>
            <w:tcW w:w="1620" w:type="dxa"/>
            <w:noWrap w:val="0"/>
            <w:vAlign w:val="center"/>
          </w:tcPr>
          <w:p>
            <w:pPr>
              <w:jc w:val="center"/>
              <w:rPr>
                <w:rFonts w:hint="eastAsia"/>
                <w:color w:val="000000"/>
                <w:sz w:val="24"/>
              </w:rPr>
            </w:pPr>
          </w:p>
        </w:tc>
        <w:tc>
          <w:tcPr>
            <w:tcW w:w="1199" w:type="dxa"/>
            <w:noWrap w:val="0"/>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816" w:type="dxa"/>
            <w:noWrap w:val="0"/>
            <w:vAlign w:val="center"/>
          </w:tcPr>
          <w:p>
            <w:pPr>
              <w:jc w:val="center"/>
              <w:rPr>
                <w:rFonts w:hint="eastAsia"/>
                <w:color w:val="000000"/>
                <w:sz w:val="24"/>
              </w:rPr>
            </w:pPr>
            <w:r>
              <w:rPr>
                <w:color w:val="000000"/>
                <w:sz w:val="24"/>
              </w:rPr>
              <w:t>…</w:t>
            </w:r>
          </w:p>
        </w:tc>
        <w:tc>
          <w:tcPr>
            <w:tcW w:w="1801" w:type="dxa"/>
            <w:noWrap w:val="0"/>
            <w:vAlign w:val="center"/>
          </w:tcPr>
          <w:p>
            <w:pPr>
              <w:jc w:val="center"/>
              <w:rPr>
                <w:rFonts w:hint="eastAsia"/>
                <w:color w:val="000000"/>
                <w:sz w:val="24"/>
              </w:rPr>
            </w:pPr>
          </w:p>
        </w:tc>
        <w:tc>
          <w:tcPr>
            <w:tcW w:w="900" w:type="dxa"/>
            <w:noWrap w:val="0"/>
            <w:vAlign w:val="center"/>
          </w:tcPr>
          <w:p>
            <w:pPr>
              <w:jc w:val="center"/>
              <w:rPr>
                <w:rFonts w:hint="eastAsia"/>
                <w:color w:val="000000"/>
                <w:sz w:val="24"/>
              </w:rPr>
            </w:pPr>
          </w:p>
        </w:tc>
        <w:tc>
          <w:tcPr>
            <w:tcW w:w="1080" w:type="dxa"/>
            <w:noWrap w:val="0"/>
            <w:vAlign w:val="center"/>
          </w:tcPr>
          <w:p>
            <w:pPr>
              <w:jc w:val="center"/>
              <w:rPr>
                <w:rFonts w:hint="eastAsia"/>
                <w:color w:val="000000"/>
                <w:sz w:val="24"/>
              </w:rPr>
            </w:pPr>
          </w:p>
        </w:tc>
        <w:tc>
          <w:tcPr>
            <w:tcW w:w="1260" w:type="dxa"/>
            <w:noWrap w:val="0"/>
            <w:vAlign w:val="center"/>
          </w:tcPr>
          <w:p>
            <w:pPr>
              <w:jc w:val="center"/>
              <w:rPr>
                <w:rFonts w:hint="eastAsia"/>
                <w:color w:val="000000"/>
                <w:sz w:val="24"/>
              </w:rPr>
            </w:pPr>
          </w:p>
        </w:tc>
        <w:tc>
          <w:tcPr>
            <w:tcW w:w="1620" w:type="dxa"/>
            <w:noWrap w:val="0"/>
            <w:vAlign w:val="center"/>
          </w:tcPr>
          <w:p>
            <w:pPr>
              <w:jc w:val="center"/>
              <w:rPr>
                <w:rFonts w:hint="eastAsia"/>
                <w:color w:val="000000"/>
                <w:sz w:val="24"/>
              </w:rPr>
            </w:pPr>
          </w:p>
        </w:tc>
        <w:tc>
          <w:tcPr>
            <w:tcW w:w="1199" w:type="dxa"/>
            <w:noWrap w:val="0"/>
            <w:vAlign w:val="center"/>
          </w:tcPr>
          <w:p>
            <w:pPr>
              <w:jc w:val="center"/>
              <w:rPr>
                <w:rFonts w:hint="eastAsia"/>
                <w:color w:val="000000"/>
                <w:sz w:val="24"/>
              </w:rPr>
            </w:pPr>
            <w:r>
              <w:rPr>
                <w:color w:val="000000"/>
                <w:sz w:val="24"/>
              </w:rPr>
              <w:t>…</w:t>
            </w:r>
          </w:p>
        </w:tc>
      </w:tr>
    </w:tbl>
    <w:p>
      <w:pPr>
        <w:spacing w:line="360" w:lineRule="auto"/>
        <w:ind w:firstLine="480" w:firstLineChars="200"/>
        <w:rPr>
          <w:rFonts w:hint="eastAsia" w:ascii="宋体" w:hAnsi="宋体"/>
          <w:color w:val="000000"/>
          <w:sz w:val="24"/>
        </w:rPr>
      </w:pPr>
      <w:r>
        <w:rPr>
          <w:rFonts w:hint="eastAsia" w:ascii="宋体" w:hAnsi="宋体"/>
          <w:color w:val="000000"/>
          <w:sz w:val="24"/>
        </w:rPr>
        <w:t>注：投标文件中必须明确主要设备的品牌、规格型号、性能指标等内容。</w:t>
      </w:r>
    </w:p>
    <w:p>
      <w:pPr>
        <w:spacing w:line="360" w:lineRule="auto"/>
        <w:jc w:val="left"/>
        <w:rPr>
          <w:rFonts w:hint="eastAsia" w:ascii="宋体" w:hAnsi="宋体"/>
          <w:color w:val="000000"/>
          <w:sz w:val="24"/>
        </w:rPr>
      </w:pPr>
      <w:r>
        <w:rPr>
          <w:rFonts w:hint="eastAsia" w:ascii="宋体" w:hAnsi="宋体"/>
          <w:color w:val="000000"/>
          <w:sz w:val="24"/>
        </w:rPr>
        <w:t xml:space="preserve"> </w:t>
      </w:r>
    </w:p>
    <w:p>
      <w:pPr>
        <w:spacing w:line="360" w:lineRule="auto"/>
        <w:ind w:firstLine="360" w:firstLineChars="150"/>
        <w:jc w:val="left"/>
        <w:rPr>
          <w:rFonts w:hint="eastAsia" w:ascii="宋体" w:hAnsi="宋体"/>
          <w:color w:val="000000"/>
          <w:sz w:val="24"/>
        </w:rPr>
      </w:pPr>
      <w:r>
        <w:rPr>
          <w:rFonts w:hint="eastAsia" w:ascii="宋体" w:hAnsi="宋体"/>
          <w:color w:val="000000"/>
          <w:sz w:val="24"/>
        </w:rPr>
        <w:t xml:space="preserve"> 投标人代表（签名）：                         投标人（加盖公章）：</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日期：20  年   月   日</w:t>
      </w:r>
    </w:p>
    <w:p>
      <w:pPr>
        <w:spacing w:line="360" w:lineRule="auto"/>
        <w:jc w:val="center"/>
        <w:rPr>
          <w:rFonts w:hint="eastAsia" w:ascii="宋体" w:hAnsi="宋体"/>
          <w:color w:val="000000"/>
          <w:sz w:val="24"/>
        </w:rPr>
      </w:pPr>
      <w:r>
        <w:rPr>
          <w:rFonts w:hint="eastAsia" w:ascii="宋体" w:hAnsi="宋体"/>
          <w:color w:val="000000"/>
          <w:sz w:val="24"/>
        </w:rPr>
        <w:t>十二、服务体系基本情况一览表</w:t>
      </w:r>
    </w:p>
    <w:p>
      <w:pPr>
        <w:spacing w:line="360" w:lineRule="auto"/>
        <w:jc w:val="center"/>
        <w:rPr>
          <w:rFonts w:hint="eastAsia" w:ascii="宋体" w:hAnsi="宋体"/>
          <w:color w:val="000000"/>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267"/>
        <w:gridCol w:w="1267"/>
        <w:gridCol w:w="1433"/>
        <w:gridCol w:w="1101"/>
        <w:gridCol w:w="126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jc w:val="center"/>
        </w:trPr>
        <w:tc>
          <w:tcPr>
            <w:tcW w:w="1267" w:type="dxa"/>
            <w:noWrap w:val="0"/>
            <w:vAlign w:val="center"/>
          </w:tcPr>
          <w:p>
            <w:pPr>
              <w:jc w:val="center"/>
              <w:rPr>
                <w:rFonts w:hint="eastAsia"/>
                <w:color w:val="000000"/>
                <w:sz w:val="24"/>
              </w:rPr>
            </w:pPr>
            <w:r>
              <w:rPr>
                <w:rFonts w:hint="eastAsia"/>
                <w:color w:val="000000"/>
                <w:sz w:val="24"/>
              </w:rPr>
              <w:t>公司名称</w:t>
            </w:r>
          </w:p>
        </w:tc>
        <w:tc>
          <w:tcPr>
            <w:tcW w:w="1267" w:type="dxa"/>
            <w:noWrap w:val="0"/>
            <w:vAlign w:val="center"/>
          </w:tcPr>
          <w:p>
            <w:pPr>
              <w:jc w:val="center"/>
              <w:rPr>
                <w:rFonts w:hint="eastAsia"/>
                <w:color w:val="000000"/>
                <w:sz w:val="24"/>
              </w:rPr>
            </w:pPr>
            <w:r>
              <w:rPr>
                <w:rFonts w:hint="eastAsia"/>
                <w:color w:val="000000"/>
                <w:sz w:val="24"/>
              </w:rPr>
              <w:t>注册资本</w:t>
            </w:r>
          </w:p>
        </w:tc>
        <w:tc>
          <w:tcPr>
            <w:tcW w:w="1267" w:type="dxa"/>
            <w:noWrap w:val="0"/>
            <w:vAlign w:val="center"/>
          </w:tcPr>
          <w:p>
            <w:pPr>
              <w:jc w:val="center"/>
              <w:rPr>
                <w:rFonts w:hint="eastAsia"/>
                <w:color w:val="000000"/>
                <w:sz w:val="24"/>
              </w:rPr>
            </w:pPr>
            <w:r>
              <w:rPr>
                <w:rFonts w:hint="eastAsia"/>
                <w:color w:val="000000"/>
                <w:sz w:val="24"/>
              </w:rPr>
              <w:t>企业地址</w:t>
            </w:r>
          </w:p>
        </w:tc>
        <w:tc>
          <w:tcPr>
            <w:tcW w:w="1433" w:type="dxa"/>
            <w:noWrap w:val="0"/>
            <w:vAlign w:val="center"/>
          </w:tcPr>
          <w:p>
            <w:pPr>
              <w:jc w:val="center"/>
              <w:rPr>
                <w:rFonts w:hint="eastAsia"/>
                <w:color w:val="000000"/>
                <w:sz w:val="24"/>
              </w:rPr>
            </w:pPr>
            <w:r>
              <w:rPr>
                <w:rFonts w:hint="eastAsia"/>
                <w:color w:val="000000"/>
                <w:sz w:val="24"/>
              </w:rPr>
              <w:t>法定代表人（负责人）</w:t>
            </w:r>
          </w:p>
        </w:tc>
        <w:tc>
          <w:tcPr>
            <w:tcW w:w="1101" w:type="dxa"/>
            <w:noWrap w:val="0"/>
            <w:vAlign w:val="center"/>
          </w:tcPr>
          <w:p>
            <w:pPr>
              <w:jc w:val="center"/>
              <w:rPr>
                <w:rFonts w:hint="eastAsia"/>
                <w:color w:val="000000"/>
                <w:sz w:val="24"/>
              </w:rPr>
            </w:pPr>
            <w:r>
              <w:rPr>
                <w:rFonts w:hint="eastAsia"/>
                <w:color w:val="000000"/>
                <w:sz w:val="24"/>
              </w:rPr>
              <w:t>联系人</w:t>
            </w:r>
          </w:p>
        </w:tc>
        <w:tc>
          <w:tcPr>
            <w:tcW w:w="1267" w:type="dxa"/>
            <w:noWrap w:val="0"/>
            <w:vAlign w:val="center"/>
          </w:tcPr>
          <w:p>
            <w:pPr>
              <w:jc w:val="center"/>
              <w:rPr>
                <w:rFonts w:hint="eastAsia"/>
                <w:color w:val="000000"/>
                <w:sz w:val="24"/>
              </w:rPr>
            </w:pPr>
            <w:r>
              <w:rPr>
                <w:rFonts w:hint="eastAsia"/>
                <w:color w:val="000000"/>
                <w:sz w:val="24"/>
              </w:rPr>
              <w:t>联系电话</w:t>
            </w:r>
          </w:p>
        </w:tc>
        <w:tc>
          <w:tcPr>
            <w:tcW w:w="1268" w:type="dxa"/>
            <w:noWrap w:val="0"/>
            <w:vAlign w:val="center"/>
          </w:tcPr>
          <w:p>
            <w:pPr>
              <w:jc w:val="center"/>
              <w:rPr>
                <w:rFonts w:hint="eastAsia"/>
                <w:color w:val="000000"/>
                <w:sz w:val="24"/>
              </w:rPr>
            </w:pPr>
            <w:r>
              <w:rPr>
                <w:rFonts w:hint="eastAsia"/>
                <w:color w:val="000000"/>
                <w:sz w:val="24"/>
              </w:rPr>
              <w:t>售后服务热线电话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433" w:type="dxa"/>
            <w:noWrap w:val="0"/>
            <w:vAlign w:val="top"/>
          </w:tcPr>
          <w:p>
            <w:pPr>
              <w:spacing w:line="360" w:lineRule="auto"/>
              <w:ind w:firstLine="480" w:firstLineChars="200"/>
              <w:jc w:val="center"/>
              <w:rPr>
                <w:rFonts w:hint="eastAsia" w:ascii="宋体" w:hAnsi="宋体"/>
                <w:color w:val="000000"/>
                <w:sz w:val="24"/>
              </w:rPr>
            </w:pPr>
          </w:p>
        </w:tc>
        <w:tc>
          <w:tcPr>
            <w:tcW w:w="1101"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8" w:type="dxa"/>
            <w:noWrap w:val="0"/>
            <w:vAlign w:val="top"/>
          </w:tcPr>
          <w:p>
            <w:pPr>
              <w:spacing w:line="360" w:lineRule="auto"/>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433" w:type="dxa"/>
            <w:noWrap w:val="0"/>
            <w:vAlign w:val="top"/>
          </w:tcPr>
          <w:p>
            <w:pPr>
              <w:spacing w:line="360" w:lineRule="auto"/>
              <w:ind w:firstLine="480" w:firstLineChars="200"/>
              <w:jc w:val="center"/>
              <w:rPr>
                <w:rFonts w:hint="eastAsia" w:ascii="宋体" w:hAnsi="宋体"/>
                <w:color w:val="000000"/>
                <w:sz w:val="24"/>
              </w:rPr>
            </w:pPr>
          </w:p>
        </w:tc>
        <w:tc>
          <w:tcPr>
            <w:tcW w:w="1101"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8" w:type="dxa"/>
            <w:noWrap w:val="0"/>
            <w:vAlign w:val="top"/>
          </w:tcPr>
          <w:p>
            <w:pPr>
              <w:spacing w:line="360" w:lineRule="auto"/>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433" w:type="dxa"/>
            <w:noWrap w:val="0"/>
            <w:vAlign w:val="top"/>
          </w:tcPr>
          <w:p>
            <w:pPr>
              <w:spacing w:line="360" w:lineRule="auto"/>
              <w:ind w:firstLine="480" w:firstLineChars="200"/>
              <w:jc w:val="center"/>
              <w:rPr>
                <w:rFonts w:hint="eastAsia" w:ascii="宋体" w:hAnsi="宋体"/>
                <w:color w:val="000000"/>
                <w:sz w:val="24"/>
              </w:rPr>
            </w:pPr>
          </w:p>
        </w:tc>
        <w:tc>
          <w:tcPr>
            <w:tcW w:w="1101" w:type="dxa"/>
            <w:noWrap w:val="0"/>
            <w:vAlign w:val="top"/>
          </w:tcPr>
          <w:p>
            <w:pPr>
              <w:spacing w:line="360" w:lineRule="auto"/>
              <w:ind w:firstLine="480" w:firstLineChars="200"/>
              <w:jc w:val="center"/>
              <w:rPr>
                <w:rFonts w:hint="eastAsia" w:ascii="宋体" w:hAnsi="宋体"/>
                <w:color w:val="000000"/>
                <w:sz w:val="24"/>
              </w:rPr>
            </w:pPr>
          </w:p>
        </w:tc>
        <w:tc>
          <w:tcPr>
            <w:tcW w:w="1267" w:type="dxa"/>
            <w:noWrap w:val="0"/>
            <w:vAlign w:val="top"/>
          </w:tcPr>
          <w:p>
            <w:pPr>
              <w:spacing w:line="360" w:lineRule="auto"/>
              <w:ind w:firstLine="480" w:firstLineChars="200"/>
              <w:jc w:val="center"/>
              <w:rPr>
                <w:rFonts w:hint="eastAsia" w:ascii="宋体" w:hAnsi="宋体"/>
                <w:color w:val="000000"/>
                <w:sz w:val="24"/>
              </w:rPr>
            </w:pPr>
          </w:p>
        </w:tc>
        <w:tc>
          <w:tcPr>
            <w:tcW w:w="1268" w:type="dxa"/>
            <w:noWrap w:val="0"/>
            <w:vAlign w:val="top"/>
          </w:tcPr>
          <w:p>
            <w:pPr>
              <w:spacing w:line="360" w:lineRule="auto"/>
              <w:ind w:firstLine="480" w:firstLineChars="200"/>
              <w:jc w:val="center"/>
              <w:rPr>
                <w:rFonts w:hint="eastAsia" w:ascii="宋体" w:hAnsi="宋体"/>
                <w:color w:val="000000"/>
                <w:sz w:val="24"/>
              </w:rPr>
            </w:pPr>
          </w:p>
        </w:tc>
      </w:tr>
    </w:tbl>
    <w:p>
      <w:pPr>
        <w:spacing w:line="360" w:lineRule="auto"/>
        <w:ind w:firstLine="480" w:firstLineChars="200"/>
        <w:rPr>
          <w:rFonts w:hint="eastAsia" w:ascii="宋体" w:hAnsi="宋体"/>
          <w:color w:val="000000"/>
          <w:sz w:val="24"/>
        </w:rPr>
      </w:pPr>
      <w:r>
        <w:rPr>
          <w:rFonts w:hint="eastAsia" w:ascii="宋体" w:hAnsi="宋体"/>
          <w:color w:val="000000"/>
          <w:sz w:val="24"/>
        </w:rPr>
        <w:t>注：请附技术服务机构的相关资料（含营业执照、公司资质材料、人员情况、相关案例等）。</w:t>
      </w:r>
    </w:p>
    <w:p>
      <w:pPr>
        <w:spacing w:line="360" w:lineRule="auto"/>
        <w:ind w:firstLine="1440" w:firstLineChars="600"/>
        <w:rPr>
          <w:rFonts w:hint="eastAsia" w:ascii="宋体" w:hAnsi="宋体"/>
          <w:color w:val="000000"/>
          <w:sz w:val="24"/>
        </w:rPr>
      </w:pPr>
      <w:r>
        <w:rPr>
          <w:rFonts w:hint="eastAsia" w:ascii="宋体" w:hAnsi="宋体"/>
          <w:color w:val="000000"/>
          <w:sz w:val="24"/>
        </w:rPr>
        <w:t>投标人代表（签名）：              投标人（加盖公章）：</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日期：20  年   月   日</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ascii="宋体" w:hAnsi="宋体"/>
          <w:color w:val="000000"/>
          <w:sz w:val="24"/>
        </w:rPr>
        <w:br w:type="page"/>
      </w:r>
      <w:r>
        <w:rPr>
          <w:rFonts w:hint="eastAsia" w:ascii="宋体" w:hAnsi="宋体"/>
          <w:color w:val="000000"/>
          <w:sz w:val="24"/>
        </w:rPr>
        <w:t>十三、投标文件外层包装封面（格式供参考）</w:t>
      </w:r>
    </w:p>
    <w:p>
      <w:pPr>
        <w:spacing w:line="360" w:lineRule="auto"/>
        <w:ind w:firstLine="480" w:firstLineChars="200"/>
        <w:rPr>
          <w:rFonts w:hint="eastAsia" w:ascii="黑体" w:hAnsi="宋体" w:eastAsia="黑体"/>
          <w:color w:val="000000"/>
          <w:sz w:val="24"/>
        </w:rPr>
      </w:pPr>
    </w:p>
    <w:p>
      <w:pPr>
        <w:spacing w:line="360" w:lineRule="auto"/>
        <w:ind w:firstLine="480" w:firstLineChars="200"/>
        <w:rPr>
          <w:rFonts w:hint="eastAsia" w:ascii="黑体" w:hAnsi="宋体" w:eastAsia="黑体"/>
          <w:color w:val="000000"/>
          <w:sz w:val="24"/>
        </w:rPr>
      </w:pPr>
      <w:r>
        <w:rPr>
          <w:rFonts w:hint="eastAsia" w:ascii="黑体" w:hAnsi="宋体" w:eastAsia="黑体"/>
          <w:color w:val="000000"/>
          <w:sz w:val="24"/>
        </w:rPr>
        <w:t xml:space="preserve">1、投标文件外层包装封面 </w:t>
      </w:r>
    </w:p>
    <w:p>
      <w:pPr>
        <w:spacing w:line="360" w:lineRule="auto"/>
        <w:jc w:val="center"/>
        <w:rPr>
          <w:rFonts w:hint="eastAsia" w:ascii="黑体" w:hAnsi="宋体" w:eastAsia="黑体"/>
          <w:color w:val="000000"/>
          <w:sz w:val="24"/>
        </w:rPr>
      </w:pPr>
      <w:r>
        <w:rPr>
          <w:rFonts w:hint="eastAsia" w:ascii="黑体" w:hAnsi="宋体" w:eastAsia="黑体"/>
          <w:color w:val="000000"/>
          <w:sz w:val="24"/>
        </w:rPr>
        <w:t>投标文件（商务文件/技术文件）</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项目名称：</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项目编号：</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标项序号：</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投标人（加盖公章）：</w:t>
      </w:r>
      <w:r>
        <w:rPr>
          <w:rFonts w:hint="eastAsia" w:ascii="黑体" w:hAnsi="宋体" w:eastAsia="黑体"/>
          <w:color w:val="000000"/>
          <w:sz w:val="24"/>
          <w:u w:val="single"/>
        </w:rPr>
        <w:t xml:space="preserve">                           </w:t>
      </w:r>
      <w:r>
        <w:rPr>
          <w:rFonts w:hint="eastAsia" w:ascii="黑体" w:hAnsi="宋体" w:eastAsia="黑体"/>
          <w:color w:val="000000"/>
          <w:sz w:val="24"/>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在    年    月     日     时     分之前不得启封</w:t>
      </w:r>
    </w:p>
    <w:p>
      <w:pPr>
        <w:spacing w:line="360" w:lineRule="auto"/>
        <w:ind w:firstLine="480" w:firstLineChars="200"/>
        <w:rPr>
          <w:rFonts w:hint="eastAsia" w:ascii="黑体" w:hAnsi="宋体" w:eastAsia="黑体"/>
          <w:color w:val="000000"/>
          <w:sz w:val="24"/>
        </w:rPr>
      </w:pPr>
    </w:p>
    <w:p>
      <w:pPr>
        <w:spacing w:line="360" w:lineRule="auto"/>
        <w:ind w:firstLine="480" w:firstLineChars="200"/>
        <w:rPr>
          <w:rFonts w:hint="eastAsia" w:ascii="黑体" w:hAnsi="宋体" w:eastAsia="黑体"/>
          <w:color w:val="000000"/>
          <w:sz w:val="24"/>
        </w:rPr>
      </w:pPr>
      <w:r>
        <w:rPr>
          <w:rFonts w:hint="eastAsia" w:ascii="黑体" w:hAnsi="宋体" w:eastAsia="黑体"/>
          <w:color w:val="000000"/>
          <w:sz w:val="24"/>
        </w:rPr>
        <w:t>2、报价文件外层包装封面</w:t>
      </w:r>
    </w:p>
    <w:p>
      <w:pPr>
        <w:spacing w:line="360" w:lineRule="auto"/>
        <w:jc w:val="center"/>
        <w:rPr>
          <w:rFonts w:hint="eastAsia" w:ascii="黑体" w:hAnsi="宋体" w:eastAsia="黑体"/>
          <w:color w:val="000000"/>
          <w:sz w:val="24"/>
        </w:rPr>
      </w:pPr>
      <w:r>
        <w:rPr>
          <w:rFonts w:hint="eastAsia" w:ascii="黑体" w:hAnsi="宋体" w:eastAsia="黑体"/>
          <w:color w:val="000000"/>
          <w:sz w:val="24"/>
        </w:rPr>
        <w:t>投标文件（报价文件）</w:t>
      </w:r>
    </w:p>
    <w:p>
      <w:pPr>
        <w:spacing w:line="360" w:lineRule="auto"/>
        <w:ind w:firstLine="1620" w:firstLineChars="675"/>
        <w:rPr>
          <w:rFonts w:hint="eastAsia" w:ascii="黑体" w:hAnsi="宋体" w:eastAsia="黑体"/>
          <w:color w:val="000000"/>
          <w:sz w:val="24"/>
          <w:u w:val="single"/>
        </w:rPr>
      </w:pPr>
      <w:r>
        <w:rPr>
          <w:rFonts w:hint="eastAsia" w:ascii="黑体" w:hAnsi="宋体" w:eastAsia="黑体"/>
          <w:color w:val="000000"/>
          <w:sz w:val="24"/>
        </w:rPr>
        <w:t xml:space="preserve">项目名称： </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项目编号：</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 xml:space="preserve">标项序号： </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投标人（加盖公章）：</w:t>
      </w:r>
      <w:r>
        <w:rPr>
          <w:rFonts w:hint="eastAsia" w:ascii="黑体" w:hAnsi="宋体" w:eastAsia="黑体"/>
          <w:color w:val="000000"/>
          <w:sz w:val="24"/>
          <w:u w:val="single"/>
        </w:rPr>
        <w:t xml:space="preserve">                           </w:t>
      </w:r>
      <w:r>
        <w:rPr>
          <w:rFonts w:hint="eastAsia" w:ascii="黑体" w:hAnsi="宋体" w:eastAsia="黑体"/>
          <w:color w:val="000000"/>
          <w:sz w:val="24"/>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在    年    月     日     时     分之前不得启封</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hint="eastAsia" w:ascii="宋体" w:hAnsi="宋体"/>
          <w:color w:val="000000"/>
          <w:sz w:val="24"/>
        </w:rPr>
        <w:t>十四、投标文件封面（格式供参考）</w:t>
      </w:r>
    </w:p>
    <w:p>
      <w:pPr>
        <w:spacing w:line="360" w:lineRule="auto"/>
        <w:ind w:firstLine="480" w:firstLineChars="200"/>
        <w:rPr>
          <w:rFonts w:hint="eastAsia" w:ascii="黑体" w:hAnsi="宋体" w:eastAsia="黑体"/>
          <w:color w:val="000000"/>
          <w:sz w:val="24"/>
        </w:rPr>
      </w:pPr>
    </w:p>
    <w:p>
      <w:pPr>
        <w:spacing w:line="360" w:lineRule="auto"/>
        <w:ind w:firstLine="480" w:firstLineChars="200"/>
        <w:rPr>
          <w:rFonts w:hint="eastAsia" w:ascii="黑体" w:hAnsi="宋体" w:eastAsia="黑体"/>
          <w:color w:val="000000"/>
          <w:sz w:val="24"/>
        </w:rPr>
      </w:pPr>
    </w:p>
    <w:p>
      <w:pPr>
        <w:spacing w:line="360" w:lineRule="auto"/>
        <w:ind w:firstLine="480" w:firstLineChars="200"/>
        <w:rPr>
          <w:rFonts w:hint="eastAsia" w:ascii="黑体" w:hAnsi="宋体" w:eastAsia="黑体"/>
          <w:color w:val="000000"/>
          <w:sz w:val="24"/>
        </w:rPr>
      </w:pPr>
      <w:r>
        <w:rPr>
          <w:rFonts w:hint="eastAsia" w:ascii="黑体" w:hAnsi="宋体" w:eastAsia="黑体"/>
          <w:color w:val="000000"/>
          <w:sz w:val="24"/>
        </w:rPr>
        <w:t>1、商务/技术文件封面</w:t>
      </w:r>
    </w:p>
    <w:p>
      <w:pPr>
        <w:spacing w:line="360" w:lineRule="auto"/>
        <w:ind w:firstLine="480" w:firstLineChars="200"/>
        <w:rPr>
          <w:rFonts w:hint="eastAsia" w:ascii="黑体" w:hAnsi="宋体" w:eastAsia="黑体"/>
          <w:color w:val="000000"/>
          <w:sz w:val="24"/>
        </w:rPr>
      </w:pPr>
      <w:r>
        <w:rPr>
          <w:rFonts w:hint="eastAsia" w:ascii="黑体" w:hAnsi="宋体" w:eastAsia="黑体"/>
          <w:color w:val="000000"/>
          <w:sz w:val="24"/>
        </w:rPr>
        <w:t xml:space="preserve">                                                               正本/副本</w:t>
      </w:r>
    </w:p>
    <w:p>
      <w:pPr>
        <w:spacing w:line="360" w:lineRule="auto"/>
        <w:jc w:val="center"/>
        <w:rPr>
          <w:rFonts w:hint="eastAsia" w:ascii="黑体" w:hAnsi="宋体" w:eastAsia="黑体"/>
          <w:color w:val="000000"/>
          <w:sz w:val="24"/>
        </w:rPr>
      </w:pPr>
      <w:r>
        <w:rPr>
          <w:rFonts w:hint="eastAsia" w:ascii="黑体" w:hAnsi="宋体" w:eastAsia="黑体"/>
          <w:color w:val="000000"/>
          <w:sz w:val="24"/>
        </w:rPr>
        <w:t>商务/技术文件</w:t>
      </w:r>
    </w:p>
    <w:p>
      <w:pPr>
        <w:spacing w:line="360" w:lineRule="auto"/>
        <w:ind w:firstLine="1980" w:firstLineChars="825"/>
        <w:rPr>
          <w:rFonts w:hint="eastAsia" w:ascii="黑体" w:hAnsi="宋体" w:eastAsia="黑体"/>
          <w:color w:val="000000"/>
          <w:sz w:val="24"/>
        </w:rPr>
      </w:pPr>
      <w:r>
        <w:rPr>
          <w:rFonts w:hint="eastAsia" w:ascii="黑体" w:hAnsi="宋体" w:eastAsia="黑体"/>
          <w:color w:val="000000"/>
          <w:sz w:val="24"/>
        </w:rPr>
        <w:t>项目名称：</w:t>
      </w:r>
      <w:r>
        <w:rPr>
          <w:rFonts w:hint="eastAsia" w:ascii="黑体" w:hAnsi="宋体" w:eastAsia="黑体"/>
          <w:color w:val="000000"/>
          <w:sz w:val="24"/>
          <w:u w:val="single"/>
        </w:rPr>
        <w:t xml:space="preserve">                                    </w:t>
      </w:r>
    </w:p>
    <w:p>
      <w:pPr>
        <w:spacing w:line="360" w:lineRule="auto"/>
        <w:ind w:firstLine="1980" w:firstLineChars="825"/>
        <w:rPr>
          <w:rFonts w:hint="eastAsia" w:ascii="黑体" w:hAnsi="宋体" w:eastAsia="黑体"/>
          <w:color w:val="000000"/>
          <w:sz w:val="24"/>
        </w:rPr>
      </w:pPr>
      <w:r>
        <w:rPr>
          <w:rFonts w:hint="eastAsia" w:ascii="黑体" w:hAnsi="宋体" w:eastAsia="黑体"/>
          <w:color w:val="000000"/>
          <w:sz w:val="24"/>
        </w:rPr>
        <w:t>项目编号：</w:t>
      </w:r>
      <w:r>
        <w:rPr>
          <w:rFonts w:hint="eastAsia" w:ascii="黑体" w:hAnsi="宋体" w:eastAsia="黑体"/>
          <w:color w:val="000000"/>
          <w:sz w:val="24"/>
          <w:u w:val="single"/>
        </w:rPr>
        <w:t xml:space="preserve">                                    </w:t>
      </w:r>
    </w:p>
    <w:p>
      <w:pPr>
        <w:spacing w:line="360" w:lineRule="auto"/>
        <w:ind w:firstLine="1980" w:firstLineChars="825"/>
        <w:rPr>
          <w:rFonts w:hint="eastAsia" w:ascii="黑体" w:hAnsi="宋体" w:eastAsia="黑体"/>
          <w:color w:val="000000"/>
          <w:sz w:val="24"/>
        </w:rPr>
      </w:pPr>
      <w:r>
        <w:rPr>
          <w:rFonts w:hint="eastAsia" w:ascii="黑体" w:hAnsi="宋体" w:eastAsia="黑体"/>
          <w:color w:val="000000"/>
          <w:sz w:val="24"/>
        </w:rPr>
        <w:t>标项序号：</w:t>
      </w:r>
      <w:r>
        <w:rPr>
          <w:rFonts w:hint="eastAsia" w:ascii="黑体" w:hAnsi="宋体" w:eastAsia="黑体"/>
          <w:color w:val="000000"/>
          <w:sz w:val="24"/>
          <w:u w:val="single"/>
        </w:rPr>
        <w:t xml:space="preserve">                                    </w:t>
      </w:r>
    </w:p>
    <w:p>
      <w:pPr>
        <w:spacing w:line="360" w:lineRule="auto"/>
        <w:ind w:firstLine="1980" w:firstLineChars="825"/>
        <w:rPr>
          <w:rFonts w:hint="eastAsia" w:ascii="黑体" w:hAnsi="宋体" w:eastAsia="黑体"/>
          <w:color w:val="000000"/>
          <w:sz w:val="24"/>
        </w:rPr>
      </w:pPr>
      <w:r>
        <w:rPr>
          <w:rFonts w:hint="eastAsia" w:ascii="黑体" w:hAnsi="宋体" w:eastAsia="黑体"/>
          <w:color w:val="000000"/>
          <w:sz w:val="24"/>
        </w:rPr>
        <w:t>投标人（加盖公章）：</w:t>
      </w:r>
      <w:r>
        <w:rPr>
          <w:rFonts w:hint="eastAsia" w:ascii="黑体" w:hAnsi="宋体" w:eastAsia="黑体"/>
          <w:color w:val="000000"/>
          <w:sz w:val="24"/>
          <w:u w:val="single"/>
        </w:rPr>
        <w:t xml:space="preserve">                           </w:t>
      </w:r>
      <w:r>
        <w:rPr>
          <w:rFonts w:hint="eastAsia" w:ascii="黑体" w:hAnsi="宋体" w:eastAsia="黑体"/>
          <w:color w:val="000000"/>
          <w:sz w:val="24"/>
        </w:rPr>
        <w:t xml:space="preserve">  </w:t>
      </w:r>
    </w:p>
    <w:p>
      <w:pPr>
        <w:spacing w:line="360" w:lineRule="auto"/>
        <w:ind w:firstLine="1980" w:firstLineChars="825"/>
        <w:rPr>
          <w:rFonts w:hint="eastAsia" w:ascii="黑体" w:hAnsi="宋体" w:eastAsia="黑体"/>
          <w:color w:val="000000"/>
          <w:sz w:val="24"/>
        </w:rPr>
      </w:pPr>
      <w:r>
        <w:rPr>
          <w:rFonts w:hint="eastAsia" w:ascii="黑体" w:hAnsi="宋体" w:eastAsia="黑体"/>
          <w:color w:val="000000"/>
          <w:sz w:val="24"/>
        </w:rPr>
        <w:t>投标人代表签名：</w:t>
      </w:r>
      <w:r>
        <w:rPr>
          <w:rFonts w:hint="eastAsia" w:ascii="黑体" w:hAnsi="宋体" w:eastAsia="黑体"/>
          <w:color w:val="000000"/>
          <w:sz w:val="24"/>
          <w:u w:val="single"/>
        </w:rPr>
        <w:t xml:space="preserve">                              </w:t>
      </w:r>
      <w:r>
        <w:rPr>
          <w:rFonts w:hint="eastAsia" w:ascii="黑体" w:hAnsi="宋体" w:eastAsia="黑体"/>
          <w:color w:val="000000"/>
          <w:sz w:val="24"/>
        </w:rPr>
        <w:t xml:space="preserve">       </w:t>
      </w:r>
    </w:p>
    <w:p>
      <w:pPr>
        <w:spacing w:line="360" w:lineRule="auto"/>
        <w:ind w:firstLine="480" w:firstLineChars="200"/>
        <w:jc w:val="center"/>
        <w:rPr>
          <w:rFonts w:hint="eastAsia" w:ascii="黑体" w:hAnsi="宋体" w:eastAsia="黑体"/>
          <w:color w:val="000000"/>
          <w:sz w:val="24"/>
        </w:rPr>
      </w:pPr>
      <w:r>
        <w:rPr>
          <w:rFonts w:hint="eastAsia" w:ascii="黑体" w:hAnsi="宋体" w:eastAsia="黑体"/>
          <w:color w:val="000000"/>
          <w:sz w:val="24"/>
        </w:rPr>
        <w:t>2、报价文件封面</w:t>
      </w:r>
    </w:p>
    <w:p>
      <w:pPr>
        <w:spacing w:line="360" w:lineRule="auto"/>
        <w:ind w:firstLine="480" w:firstLineChars="200"/>
        <w:rPr>
          <w:rFonts w:hint="eastAsia" w:ascii="黑体" w:hAnsi="宋体" w:eastAsia="黑体"/>
          <w:color w:val="000000"/>
          <w:sz w:val="24"/>
        </w:rPr>
      </w:pPr>
      <w:r>
        <w:rPr>
          <w:rFonts w:hint="eastAsia" w:ascii="黑体" w:hAnsi="宋体" w:eastAsia="黑体"/>
          <w:color w:val="000000"/>
          <w:sz w:val="24"/>
        </w:rPr>
        <w:t xml:space="preserve">                                                               正本/副本</w:t>
      </w:r>
    </w:p>
    <w:p>
      <w:pPr>
        <w:spacing w:line="360" w:lineRule="auto"/>
        <w:jc w:val="center"/>
        <w:rPr>
          <w:rFonts w:hint="eastAsia" w:ascii="黑体" w:hAnsi="宋体" w:eastAsia="黑体"/>
          <w:color w:val="000000"/>
          <w:sz w:val="24"/>
        </w:rPr>
      </w:pPr>
      <w:r>
        <w:rPr>
          <w:rFonts w:hint="eastAsia" w:ascii="黑体" w:hAnsi="宋体" w:eastAsia="黑体"/>
          <w:color w:val="000000"/>
          <w:sz w:val="24"/>
        </w:rPr>
        <w:t>报价文件</w:t>
      </w:r>
    </w:p>
    <w:p>
      <w:pPr>
        <w:spacing w:line="360" w:lineRule="auto"/>
        <w:ind w:firstLine="1620" w:firstLineChars="675"/>
        <w:rPr>
          <w:rFonts w:hint="eastAsia" w:ascii="黑体" w:hAnsi="宋体" w:eastAsia="黑体"/>
          <w:color w:val="000000"/>
          <w:sz w:val="24"/>
          <w:u w:val="single"/>
        </w:rPr>
      </w:pPr>
      <w:r>
        <w:rPr>
          <w:rFonts w:hint="eastAsia" w:ascii="黑体" w:hAnsi="宋体" w:eastAsia="黑体"/>
          <w:color w:val="000000"/>
          <w:sz w:val="24"/>
        </w:rPr>
        <w:t>项目名称：</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项目编号：</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标项序号：</w:t>
      </w:r>
      <w:r>
        <w:rPr>
          <w:rFonts w:hint="eastAsia" w:ascii="黑体" w:hAnsi="宋体" w:eastAsia="黑体"/>
          <w:color w:val="000000"/>
          <w:sz w:val="24"/>
          <w:u w:val="single"/>
        </w:rPr>
        <w:t xml:space="preserve">                                             </w:t>
      </w:r>
      <w:r>
        <w:rPr>
          <w:rFonts w:hint="eastAsia" w:ascii="黑体" w:hAnsi="宋体" w:eastAsia="黑体"/>
          <w:color w:val="000000"/>
          <w:sz w:val="24"/>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投标人（加盖公章）：</w:t>
      </w:r>
      <w:r>
        <w:rPr>
          <w:rFonts w:hint="eastAsia" w:ascii="黑体" w:hAnsi="宋体" w:eastAsia="黑体"/>
          <w:color w:val="000000"/>
          <w:sz w:val="24"/>
          <w:u w:val="single"/>
        </w:rPr>
        <w:t xml:space="preserve">                                    </w:t>
      </w:r>
    </w:p>
    <w:p>
      <w:pPr>
        <w:spacing w:line="360" w:lineRule="auto"/>
        <w:ind w:firstLine="1620" w:firstLineChars="675"/>
        <w:rPr>
          <w:rFonts w:hint="eastAsia" w:ascii="黑体" w:hAnsi="宋体" w:eastAsia="黑体"/>
          <w:color w:val="000000"/>
          <w:sz w:val="24"/>
        </w:rPr>
      </w:pPr>
      <w:r>
        <w:rPr>
          <w:rFonts w:hint="eastAsia" w:ascii="黑体" w:hAnsi="宋体" w:eastAsia="黑体"/>
          <w:color w:val="000000"/>
          <w:sz w:val="24"/>
        </w:rPr>
        <w:t>投标人代表签名：</w:t>
      </w:r>
      <w:r>
        <w:rPr>
          <w:rFonts w:hint="eastAsia" w:ascii="黑体" w:hAnsi="宋体" w:eastAsia="黑体"/>
          <w:color w:val="000000"/>
          <w:sz w:val="24"/>
          <w:u w:val="single"/>
        </w:rPr>
        <w:t xml:space="preserve">                                       </w:t>
      </w:r>
    </w:p>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p>
    <w:p>
      <w:pPr>
        <w:numPr>
          <w:ilvl w:val="0"/>
          <w:numId w:val="3"/>
        </w:numPr>
        <w:spacing w:line="360" w:lineRule="auto"/>
        <w:jc w:val="center"/>
        <w:rPr>
          <w:rFonts w:hint="eastAsia" w:ascii="宋体" w:hAnsi="宋体"/>
          <w:color w:val="000000"/>
          <w:sz w:val="24"/>
        </w:rPr>
      </w:pPr>
      <w:r>
        <w:rPr>
          <w:rFonts w:ascii="宋体" w:hAnsi="宋体"/>
          <w:color w:val="000000"/>
          <w:sz w:val="24"/>
        </w:rPr>
        <w:br w:type="page"/>
      </w:r>
      <w:r>
        <w:rPr>
          <w:rFonts w:hint="eastAsia" w:ascii="宋体" w:hAnsi="宋体"/>
          <w:color w:val="000000"/>
          <w:sz w:val="24"/>
        </w:rPr>
        <w:t>中小企业声明函（格式供参考）</w:t>
      </w:r>
    </w:p>
    <w:p>
      <w:pPr>
        <w:spacing w:line="360" w:lineRule="auto"/>
        <w:rPr>
          <w:rFonts w:hint="eastAsia" w:ascii="宋体" w:hAnsi="宋体"/>
          <w:color w:val="000000"/>
          <w:sz w:val="24"/>
        </w:rPr>
      </w:pPr>
    </w:p>
    <w:p>
      <w:pPr>
        <w:widowControl/>
        <w:shd w:val="clear" w:color="auto" w:fill="FAFAFA"/>
        <w:spacing w:before="100" w:beforeAutospacing="1" w:after="100" w:afterAutospacing="1"/>
        <w:jc w:val="center"/>
        <w:outlineLvl w:val="3"/>
        <w:rPr>
          <w:rFonts w:hint="eastAsia" w:ascii="宋体" w:hAnsi="宋体" w:cs="宋体"/>
          <w:b/>
          <w:bCs/>
          <w:color w:val="000000"/>
          <w:kern w:val="0"/>
          <w:sz w:val="44"/>
          <w:szCs w:val="44"/>
        </w:rPr>
      </w:pPr>
      <w:r>
        <w:rPr>
          <w:rFonts w:hint="eastAsia" w:ascii="宋体" w:hAnsi="宋体" w:cs="宋体"/>
          <w:b/>
          <w:bCs/>
          <w:color w:val="000000"/>
          <w:kern w:val="0"/>
          <w:sz w:val="44"/>
          <w:szCs w:val="44"/>
        </w:rPr>
        <w:t>中小企业声明函</w:t>
      </w:r>
    </w:p>
    <w:p>
      <w:pPr>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本公司郑重声明，根据《政府采购促进中小企业发展暂行办法》（财库〔2011〕181号）的规定，本公司为</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（请填写：中型、小型、微型）企业。即，本公司同时满足以下条件：</w:t>
      </w:r>
      <w:r>
        <w:rPr>
          <w:rFonts w:hint="eastAsia" w:ascii="仿宋_GB2312" w:eastAsia="仿宋_GB2312" w:cs="宋体"/>
          <w:color w:val="000000"/>
          <w:kern w:val="0"/>
          <w:sz w:val="32"/>
          <w:szCs w:val="32"/>
        </w:rPr>
        <w:br w:type="textWrapping"/>
      </w:r>
      <w:r>
        <w:rPr>
          <w:rFonts w:hint="eastAsia" w:ascii="仿宋_GB2312" w:hAnsi="宋体" w:eastAsia="仿宋_GB2312" w:cs="宋体"/>
          <w:color w:val="000000"/>
          <w:kern w:val="0"/>
          <w:sz w:val="32"/>
          <w:szCs w:val="32"/>
        </w:rPr>
        <w:t>　　1.根据《工业和信息化部、国家统计局、国家发展和改革委员会、财政部关于印发中小企业划型标准规定的通知》（工信部联企业〔2011〕300号）规定的划分标准，本公司为</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（请填写：中型、小型、微型）企业。</w:t>
      </w:r>
      <w:r>
        <w:rPr>
          <w:rFonts w:hint="eastAsia" w:ascii="仿宋_GB2312" w:eastAsia="仿宋_GB2312" w:cs="宋体"/>
          <w:color w:val="000000"/>
          <w:kern w:val="0"/>
          <w:sz w:val="32"/>
          <w:szCs w:val="32"/>
        </w:rPr>
        <w:br w:type="textWrapping"/>
      </w: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　2.本公司参加</w:t>
      </w:r>
      <w:r>
        <w:rPr>
          <w:rFonts w:hint="eastAsia" w:ascii="仿宋_GB2312" w:hAnsi="宋体" w:eastAsia="仿宋_GB2312" w:cs="宋体"/>
          <w:b/>
          <w:bCs/>
          <w:color w:val="000000"/>
          <w:kern w:val="0"/>
          <w:sz w:val="32"/>
          <w:szCs w:val="32"/>
          <w:u w:val="single"/>
        </w:rPr>
        <w:t xml:space="preserve">        </w:t>
      </w:r>
      <w:r>
        <w:rPr>
          <w:rFonts w:hint="eastAsia" w:ascii="仿宋_GB2312" w:hAnsi="宋体" w:eastAsia="仿宋_GB2312" w:cs="宋体"/>
          <w:b/>
          <w:bCs/>
          <w:color w:val="000000"/>
          <w:kern w:val="0"/>
          <w:sz w:val="32"/>
          <w:szCs w:val="32"/>
        </w:rPr>
        <w:t xml:space="preserve"> 单位的</w:t>
      </w:r>
      <w:r>
        <w:rPr>
          <w:rFonts w:hint="eastAsia" w:ascii="仿宋_GB2312" w:hAnsi="宋体" w:eastAsia="仿宋_GB2312" w:cs="宋体"/>
          <w:b/>
          <w:bCs/>
          <w:color w:val="000000"/>
          <w:kern w:val="0"/>
          <w:sz w:val="32"/>
          <w:szCs w:val="32"/>
          <w:u w:val="single"/>
        </w:rPr>
        <w:t xml:space="preserve">        </w:t>
      </w:r>
      <w:r>
        <w:rPr>
          <w:rFonts w:hint="eastAsia" w:ascii="仿宋_GB2312" w:hAnsi="宋体" w:eastAsia="仿宋_GB2312" w:cs="宋体"/>
          <w:b/>
          <w:bCs/>
          <w:color w:val="000000"/>
          <w:kern w:val="0"/>
          <w:sz w:val="32"/>
          <w:szCs w:val="32"/>
        </w:rPr>
        <w:t xml:space="preserve"> 项目采购活动，由本企业承担货物（提供服务），或者提供其他</w:t>
      </w:r>
      <w:r>
        <w:rPr>
          <w:rFonts w:hint="eastAsia" w:ascii="仿宋_GB2312" w:hAnsi="宋体" w:eastAsia="仿宋_GB2312" w:cs="宋体"/>
          <w:b/>
          <w:bCs/>
          <w:color w:val="000000"/>
          <w:kern w:val="0"/>
          <w:sz w:val="32"/>
          <w:szCs w:val="32"/>
          <w:u w:val="single"/>
        </w:rPr>
        <w:t xml:space="preserve">        </w:t>
      </w:r>
      <w:r>
        <w:rPr>
          <w:rFonts w:hint="eastAsia" w:ascii="仿宋_GB2312" w:hAnsi="宋体" w:eastAsia="仿宋_GB2312" w:cs="宋体"/>
          <w:b/>
          <w:bCs/>
          <w:color w:val="000000"/>
          <w:kern w:val="0"/>
          <w:sz w:val="32"/>
          <w:szCs w:val="32"/>
        </w:rPr>
        <w:t xml:space="preserve"> （请填写：中型、小型、微型）企业制造的货物。本条所称货物不包括使用大型企业注册商标的货物。</w:t>
      </w:r>
      <w:r>
        <w:rPr>
          <w:rFonts w:hint="eastAsia" w:ascii="仿宋_GB2312" w:eastAsia="仿宋_GB2312" w:cs="宋体"/>
          <w:b/>
          <w:bCs/>
          <w:color w:val="000000"/>
          <w:kern w:val="0"/>
          <w:sz w:val="32"/>
          <w:szCs w:val="32"/>
        </w:rPr>
        <w:br w:type="textWrapping"/>
      </w:r>
      <w:r>
        <w:rPr>
          <w:rFonts w:hint="eastAsia" w:ascii="仿宋_GB2312" w:hAnsi="宋体" w:eastAsia="仿宋_GB2312" w:cs="宋体"/>
          <w:color w:val="000000"/>
          <w:kern w:val="0"/>
          <w:sz w:val="32"/>
          <w:szCs w:val="32"/>
        </w:rPr>
        <w:t>　　本公司对上述声明的真实性负责。如有虚假，将依法承担相应责任。</w:t>
      </w:r>
      <w:r>
        <w:rPr>
          <w:rFonts w:hint="eastAsia" w:ascii="仿宋_GB2312" w:eastAsia="仿宋_GB2312" w:cs="宋体"/>
          <w:color w:val="000000"/>
          <w:kern w:val="0"/>
          <w:sz w:val="32"/>
          <w:szCs w:val="32"/>
        </w:rPr>
        <w:br w:type="textWrapping"/>
      </w:r>
      <w:r>
        <w:rPr>
          <w:rFonts w:hint="eastAsia" w:ascii="仿宋_GB2312" w:hAnsi="宋体" w:eastAsia="仿宋_GB2312" w:cs="宋体"/>
          <w:color w:val="000000"/>
          <w:kern w:val="0"/>
          <w:sz w:val="32"/>
          <w:szCs w:val="32"/>
        </w:rPr>
        <w:t>　　</w:t>
      </w:r>
    </w:p>
    <w:p>
      <w:pPr>
        <w:ind w:firstLine="645"/>
        <w:rPr>
          <w:rFonts w:hint="eastAsia" w:ascii="仿宋_GB2312" w:hAnsi="宋体" w:eastAsia="仿宋_GB2312" w:cs="宋体"/>
          <w:color w:val="000000"/>
          <w:kern w:val="0"/>
          <w:sz w:val="32"/>
          <w:szCs w:val="32"/>
        </w:rPr>
      </w:pPr>
    </w:p>
    <w:p>
      <w:pPr>
        <w:ind w:firstLine="3200" w:firstLineChars="1000"/>
        <w:rPr>
          <w:rFonts w:hint="eastAsia" w:ascii="仿宋_GB2312" w:eastAsia="仿宋_GB2312"/>
          <w:color w:val="000000"/>
          <w:sz w:val="32"/>
          <w:szCs w:val="32"/>
        </w:rPr>
      </w:pPr>
      <w:r>
        <w:rPr>
          <w:rFonts w:hint="eastAsia" w:ascii="仿宋_GB2312" w:hAnsi="宋体" w:eastAsia="仿宋_GB2312" w:cs="宋体"/>
          <w:color w:val="000000"/>
          <w:kern w:val="0"/>
          <w:sz w:val="32"/>
          <w:szCs w:val="32"/>
        </w:rPr>
        <w:t>企业名称（盖章）：</w:t>
      </w:r>
      <w:r>
        <w:rPr>
          <w:rFonts w:hint="eastAsia" w:ascii="仿宋_GB2312" w:eastAsia="仿宋_GB2312" w:cs="宋体"/>
          <w:color w:val="000000"/>
          <w:kern w:val="0"/>
          <w:sz w:val="32"/>
          <w:szCs w:val="32"/>
        </w:rPr>
        <w:br w:type="textWrapping"/>
      </w:r>
      <w:r>
        <w:rPr>
          <w:rFonts w:hint="eastAsia" w:ascii="仿宋_GB2312" w:hAnsi="宋体" w:eastAsia="仿宋_GB2312" w:cs="宋体"/>
          <w:color w:val="000000"/>
          <w:kern w:val="0"/>
          <w:sz w:val="32"/>
          <w:szCs w:val="32"/>
        </w:rPr>
        <w:t>　　                日</w:t>
      </w:r>
      <w:r>
        <w:rPr>
          <w:rFonts w:hint="eastAsia" w:ascii="仿宋_GB2312" w:eastAsia="仿宋_GB2312" w:cs="宋体"/>
          <w:color w:val="000000"/>
          <w:kern w:val="0"/>
          <w:sz w:val="32"/>
          <w:szCs w:val="32"/>
        </w:rPr>
        <w:t>  </w:t>
      </w:r>
      <w:r>
        <w:rPr>
          <w:rFonts w:hint="eastAsia" w:ascii="仿宋_GB2312" w:hAnsi="宋体" w:eastAsia="仿宋_GB2312" w:cs="宋体"/>
          <w:color w:val="000000"/>
          <w:kern w:val="0"/>
          <w:sz w:val="32"/>
          <w:szCs w:val="32"/>
        </w:rPr>
        <w:t xml:space="preserve"> 期：　　              </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w:t>
      </w:r>
    </w:p>
    <w:p>
      <w:pPr>
        <w:pStyle w:val="2"/>
        <w:rPr>
          <w:rFonts w:hint="eastAsia"/>
          <w:b w:val="0"/>
          <w:color w:val="000000"/>
        </w:rPr>
      </w:pPr>
      <w:bookmarkStart w:id="65" w:name="_Toc331323743"/>
      <w:r>
        <w:rPr>
          <w:b w:val="0"/>
          <w:color w:val="000000"/>
        </w:rPr>
        <w:br w:type="page"/>
      </w:r>
      <w:bookmarkStart w:id="66" w:name="_Toc23003"/>
      <w:r>
        <w:rPr>
          <w:rFonts w:hint="eastAsia"/>
          <w:b w:val="0"/>
          <w:color w:val="000000"/>
        </w:rPr>
        <w:t>第五部分  杭州市萧山区政府采购合同</w:t>
      </w:r>
      <w:bookmarkEnd w:id="65"/>
      <w:bookmarkEnd w:id="66"/>
    </w:p>
    <w:p>
      <w:pPr>
        <w:spacing w:line="360" w:lineRule="auto"/>
        <w:jc w:val="center"/>
        <w:rPr>
          <w:rFonts w:ascii="宋体" w:hAnsi="宋体"/>
          <w:color w:val="000000"/>
          <w:sz w:val="24"/>
        </w:rPr>
      </w:pPr>
      <w:r>
        <w:rPr>
          <w:rFonts w:hint="eastAsia" w:ascii="宋体" w:hAnsi="宋体"/>
          <w:color w:val="000000"/>
          <w:sz w:val="24"/>
        </w:rPr>
        <w:t>（货物类样本）</w:t>
      </w:r>
    </w:p>
    <w:p>
      <w:pPr>
        <w:spacing w:line="360" w:lineRule="auto"/>
        <w:rPr>
          <w:rFonts w:hint="eastAsia" w:ascii="宋体" w:hAnsi="宋体"/>
          <w:color w:val="000000"/>
          <w:sz w:val="24"/>
        </w:rPr>
      </w:pPr>
      <w:r>
        <w:rPr>
          <w:rFonts w:hint="eastAsia" w:ascii="宋体" w:hAnsi="宋体"/>
          <w:color w:val="000000"/>
          <w:sz w:val="24"/>
        </w:rPr>
        <w:t>合同编号：</w:t>
      </w:r>
    </w:p>
    <w:p>
      <w:pPr>
        <w:spacing w:line="360" w:lineRule="auto"/>
        <w:rPr>
          <w:rFonts w:hint="eastAsia" w:ascii="宋体" w:hAnsi="宋体"/>
          <w:color w:val="000000"/>
          <w:sz w:val="24"/>
        </w:rPr>
      </w:pPr>
      <w:r>
        <w:rPr>
          <w:rFonts w:hint="eastAsia" w:ascii="宋体" w:hAnsi="宋体"/>
          <w:color w:val="000000"/>
          <w:sz w:val="24"/>
        </w:rPr>
        <w:t>签订地点：                                  签订时间：20* 年  月  日</w:t>
      </w:r>
    </w:p>
    <w:p>
      <w:pPr>
        <w:spacing w:line="360" w:lineRule="auto"/>
        <w:rPr>
          <w:rFonts w:hint="eastAsia" w:ascii="宋体" w:hAnsi="宋体"/>
          <w:color w:val="000000"/>
          <w:sz w:val="24"/>
        </w:rPr>
      </w:pPr>
      <w:r>
        <w:rPr>
          <w:rFonts w:hint="eastAsia" w:ascii="宋体" w:hAnsi="宋体"/>
          <w:color w:val="000000"/>
          <w:sz w:val="24"/>
        </w:rPr>
        <w:t>项目名称：</w:t>
      </w:r>
    </w:p>
    <w:p>
      <w:pPr>
        <w:spacing w:line="360" w:lineRule="auto"/>
        <w:rPr>
          <w:rFonts w:hint="eastAsia" w:ascii="宋体" w:hAnsi="宋体"/>
          <w:color w:val="000000"/>
          <w:sz w:val="24"/>
        </w:rPr>
      </w:pPr>
      <w:r>
        <w:rPr>
          <w:rFonts w:hint="eastAsia" w:ascii="宋体" w:hAnsi="宋体"/>
          <w:color w:val="000000"/>
          <w:sz w:val="24"/>
        </w:rPr>
        <w:t xml:space="preserve">甲方（需方）：                                     </w:t>
      </w:r>
    </w:p>
    <w:p>
      <w:pPr>
        <w:spacing w:line="360" w:lineRule="auto"/>
        <w:rPr>
          <w:rFonts w:hint="eastAsia" w:ascii="宋体" w:hAnsi="宋体"/>
          <w:color w:val="000000"/>
          <w:sz w:val="24"/>
        </w:rPr>
      </w:pPr>
      <w:r>
        <w:rPr>
          <w:rFonts w:hint="eastAsia" w:ascii="宋体" w:hAnsi="宋体"/>
          <w:color w:val="000000"/>
          <w:sz w:val="24"/>
        </w:rPr>
        <w:t xml:space="preserve">乙方（供方）：                                     </w:t>
      </w:r>
    </w:p>
    <w:p>
      <w:pPr>
        <w:spacing w:line="360" w:lineRule="auto"/>
        <w:ind w:firstLine="480" w:firstLineChars="200"/>
        <w:rPr>
          <w:rFonts w:hint="eastAsia" w:ascii="宋体" w:hAnsi="宋体"/>
          <w:color w:val="000000"/>
          <w:sz w:val="24"/>
        </w:rPr>
      </w:pPr>
      <w:r>
        <w:rPr>
          <w:rFonts w:hint="eastAsia" w:ascii="宋体" w:hAnsi="宋体"/>
          <w:color w:val="000000"/>
          <w:sz w:val="24"/>
        </w:rPr>
        <w:t>供、需双方根据杭州市萧山区</w:t>
      </w:r>
      <w:r>
        <w:rPr>
          <w:rFonts w:hint="eastAsia" w:ascii="宋体" w:hAnsi="宋体"/>
          <w:color w:val="000000"/>
          <w:sz w:val="24"/>
          <w:u w:val="single"/>
        </w:rPr>
        <w:t xml:space="preserve">                             </w:t>
      </w:r>
      <w:r>
        <w:rPr>
          <w:rFonts w:hint="eastAsia" w:ascii="宋体" w:hAnsi="宋体"/>
          <w:color w:val="000000"/>
          <w:sz w:val="24"/>
        </w:rPr>
        <w:t>项目（招标编号XZCG</w:t>
      </w:r>
    </w:p>
    <w:p>
      <w:pPr>
        <w:spacing w:line="360" w:lineRule="auto"/>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）招标结果和招标文件的要求，并经双方协调一致，订立本采购合同。</w:t>
      </w:r>
    </w:p>
    <w:p>
      <w:pPr>
        <w:spacing w:line="360" w:lineRule="auto"/>
        <w:ind w:firstLine="480" w:firstLineChars="200"/>
        <w:rPr>
          <w:rFonts w:hint="eastAsia" w:ascii="宋体" w:hAnsi="宋体"/>
          <w:color w:val="000000"/>
          <w:sz w:val="24"/>
        </w:rPr>
      </w:pPr>
      <w:r>
        <w:rPr>
          <w:rFonts w:hint="eastAsia" w:ascii="宋体" w:hAnsi="宋体"/>
          <w:color w:val="000000"/>
          <w:sz w:val="24"/>
        </w:rPr>
        <w:t>一、合同文件：</w:t>
      </w:r>
    </w:p>
    <w:p>
      <w:pPr>
        <w:spacing w:line="360" w:lineRule="auto"/>
        <w:ind w:firstLine="480" w:firstLineChars="200"/>
        <w:rPr>
          <w:rFonts w:hint="eastAsia" w:ascii="宋体" w:hAnsi="宋体"/>
          <w:color w:val="000000"/>
          <w:sz w:val="24"/>
        </w:rPr>
      </w:pPr>
      <w:r>
        <w:rPr>
          <w:rFonts w:hint="eastAsia" w:ascii="宋体" w:hAnsi="宋体"/>
          <w:color w:val="000000"/>
          <w:sz w:val="24"/>
        </w:rPr>
        <w:t>1、合同条款。</w:t>
      </w:r>
    </w:p>
    <w:p>
      <w:pPr>
        <w:spacing w:line="360" w:lineRule="auto"/>
        <w:ind w:firstLine="480" w:firstLineChars="200"/>
        <w:rPr>
          <w:rFonts w:hint="eastAsia" w:ascii="宋体" w:hAnsi="宋体"/>
          <w:color w:val="000000"/>
          <w:sz w:val="24"/>
        </w:rPr>
      </w:pPr>
      <w:r>
        <w:rPr>
          <w:rFonts w:hint="eastAsia" w:ascii="宋体" w:hAnsi="宋体"/>
          <w:color w:val="000000"/>
          <w:sz w:val="24"/>
        </w:rPr>
        <w:t>2、中标通知书。</w:t>
      </w:r>
    </w:p>
    <w:p>
      <w:pPr>
        <w:spacing w:line="360" w:lineRule="auto"/>
        <w:ind w:firstLine="480" w:firstLineChars="200"/>
        <w:rPr>
          <w:rFonts w:hint="eastAsia" w:ascii="宋体" w:hAnsi="宋体"/>
          <w:color w:val="000000"/>
          <w:sz w:val="24"/>
        </w:rPr>
      </w:pPr>
      <w:r>
        <w:rPr>
          <w:rFonts w:hint="eastAsia" w:ascii="宋体" w:hAnsi="宋体"/>
          <w:color w:val="000000"/>
          <w:sz w:val="24"/>
        </w:rPr>
        <w:t>3、招标文件。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4、更正公告。</w:t>
      </w:r>
    </w:p>
    <w:p>
      <w:pPr>
        <w:spacing w:line="360" w:lineRule="auto"/>
        <w:ind w:firstLine="480" w:firstLineChars="200"/>
        <w:rPr>
          <w:rFonts w:hint="eastAsia" w:ascii="宋体" w:hAnsi="宋体"/>
          <w:color w:val="000000"/>
          <w:sz w:val="24"/>
        </w:rPr>
      </w:pPr>
      <w:r>
        <w:rPr>
          <w:rFonts w:hint="eastAsia" w:ascii="宋体" w:hAnsi="宋体"/>
          <w:color w:val="000000"/>
          <w:sz w:val="24"/>
        </w:rPr>
        <w:t>5、中标单位投标文件。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6、其他。</w:t>
      </w:r>
    </w:p>
    <w:p>
      <w:pPr>
        <w:spacing w:line="360" w:lineRule="auto"/>
        <w:ind w:firstLine="480" w:firstLineChars="200"/>
        <w:rPr>
          <w:rFonts w:hint="eastAsia" w:ascii="宋体" w:hAnsi="宋体"/>
          <w:color w:val="000000"/>
          <w:sz w:val="24"/>
        </w:rPr>
      </w:pPr>
      <w:r>
        <w:rPr>
          <w:rFonts w:hint="eastAsia" w:ascii="宋体" w:hAnsi="宋体"/>
          <w:color w:val="000000"/>
          <w:sz w:val="24"/>
        </w:rPr>
        <w:t>二、合同金额:合同金额为(大写)_________________元（￥</w:t>
      </w:r>
      <w:r>
        <w:rPr>
          <w:rFonts w:hint="eastAsia" w:ascii="宋体" w:hAnsi="宋体"/>
          <w:color w:val="000000"/>
          <w:sz w:val="24"/>
          <w:u w:val="single"/>
        </w:rPr>
        <w:t>　　　　</w:t>
      </w:r>
      <w:r>
        <w:rPr>
          <w:rFonts w:hint="eastAsia" w:ascii="宋体" w:hAnsi="宋体"/>
          <w:color w:val="000000"/>
          <w:sz w:val="24"/>
        </w:rPr>
        <w:t>元）人民币。</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附《采购项目清单内容》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2"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采购项目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中标内容</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中标单价（元）</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数量</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r>
              <w:rPr>
                <w:rFonts w:hint="eastAsia" w:ascii="宋体" w:hAnsi="宋体"/>
                <w:color w:val="000000"/>
                <w:sz w:val="24"/>
              </w:rPr>
              <w:t>1</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p>
        </w:tc>
        <w:tc>
          <w:tcPr>
            <w:tcW w:w="153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r>
              <w:rPr>
                <w:rFonts w:hint="eastAsia" w:ascii="宋体" w:hAnsi="宋体"/>
                <w:color w:val="000000"/>
                <w:sz w:val="24"/>
              </w:rPr>
              <w:t>2</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p>
        </w:tc>
        <w:tc>
          <w:tcPr>
            <w:tcW w:w="175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olor w:val="000000"/>
                <w:sz w:val="24"/>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color w:val="000000"/>
                <w:sz w:val="24"/>
              </w:rPr>
            </w:pPr>
          </w:p>
        </w:tc>
        <w:tc>
          <w:tcPr>
            <w:tcW w:w="153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olor w:val="000000"/>
                <w:sz w:val="24"/>
              </w:rPr>
            </w:pPr>
          </w:p>
        </w:tc>
      </w:tr>
    </w:tbl>
    <w:p>
      <w:pPr>
        <w:spacing w:line="360" w:lineRule="auto"/>
        <w:ind w:firstLine="480" w:firstLineChars="200"/>
        <w:rPr>
          <w:rFonts w:hint="eastAsia" w:ascii="宋体" w:hAnsi="宋体"/>
          <w:color w:val="000000"/>
          <w:sz w:val="24"/>
        </w:rPr>
      </w:pPr>
      <w:r>
        <w:rPr>
          <w:rFonts w:hint="eastAsia" w:ascii="宋体" w:hAnsi="宋体"/>
          <w:color w:val="000000"/>
          <w:sz w:val="24"/>
        </w:rPr>
        <w:t>三、质量要求及供方对质量负责条件和期限：</w:t>
      </w:r>
    </w:p>
    <w:p>
      <w:pPr>
        <w:spacing w:line="360" w:lineRule="auto"/>
        <w:ind w:firstLine="480" w:firstLineChars="200"/>
        <w:rPr>
          <w:rFonts w:hint="eastAsia" w:ascii="宋体" w:hAnsi="宋体"/>
          <w:color w:val="000000"/>
          <w:sz w:val="24"/>
        </w:rPr>
      </w:pPr>
      <w:r>
        <w:rPr>
          <w:rFonts w:hint="eastAsia" w:ascii="宋体" w:hAnsi="宋体"/>
          <w:color w:val="000000"/>
          <w:sz w:val="24"/>
        </w:rPr>
        <w:t>1、供方提供的货物必须是现货、全新，符合招标要求的规格型号和技术指标。供方对货物提供</w:t>
      </w:r>
      <w:r>
        <w:rPr>
          <w:rFonts w:hint="eastAsia" w:ascii="宋体" w:hAnsi="宋体"/>
          <w:color w:val="000000"/>
          <w:sz w:val="24"/>
          <w:u w:val="single"/>
        </w:rPr>
        <w:t>**</w:t>
      </w:r>
      <w:r>
        <w:rPr>
          <w:rFonts w:hint="eastAsia" w:ascii="宋体" w:hAnsi="宋体"/>
          <w:color w:val="000000"/>
          <w:sz w:val="24"/>
        </w:rPr>
        <w:t>年的免费保修期（货物厂家另有超过此质保期的按原规定执行），保修期内非因需方的人为原因而出现质量问题的，由供方负责包修、包换或者包退，并承担调换或退货的实际费用。</w:t>
      </w:r>
    </w:p>
    <w:p>
      <w:pPr>
        <w:spacing w:line="360" w:lineRule="auto"/>
        <w:ind w:firstLine="480" w:firstLineChars="200"/>
        <w:rPr>
          <w:rFonts w:hint="eastAsia" w:ascii="宋体" w:hAnsi="宋体"/>
          <w:color w:val="000000"/>
          <w:sz w:val="24"/>
        </w:rPr>
      </w:pPr>
      <w:r>
        <w:rPr>
          <w:rFonts w:hint="eastAsia" w:ascii="宋体" w:hAnsi="宋体"/>
          <w:color w:val="000000"/>
          <w:sz w:val="24"/>
        </w:rPr>
        <w:t>2、供方在维保期内接到用户单位的电话后，在**小时内响应，**小时以内到现场，**小时以内解决问题，不能修复的，必须采取无偿提供备品、备件或备机等措施，以保证用户单位的正常使用。</w:t>
      </w:r>
    </w:p>
    <w:p>
      <w:pPr>
        <w:spacing w:line="360" w:lineRule="auto"/>
        <w:ind w:firstLine="480" w:firstLineChars="200"/>
        <w:rPr>
          <w:rFonts w:hint="eastAsia" w:ascii="宋体" w:hAnsi="宋体"/>
          <w:color w:val="000000"/>
          <w:sz w:val="24"/>
        </w:rPr>
      </w:pPr>
      <w:r>
        <w:rPr>
          <w:rFonts w:hint="eastAsia" w:ascii="宋体" w:hAnsi="宋体"/>
          <w:color w:val="000000"/>
          <w:sz w:val="24"/>
        </w:rPr>
        <w:t>四、工期时间__________________________</w:t>
      </w:r>
    </w:p>
    <w:p>
      <w:pPr>
        <w:spacing w:line="360" w:lineRule="auto"/>
        <w:ind w:firstLine="480" w:firstLineChars="200"/>
        <w:rPr>
          <w:rFonts w:hint="eastAsia" w:ascii="宋体" w:hAnsi="宋体"/>
          <w:color w:val="000000"/>
          <w:sz w:val="24"/>
        </w:rPr>
      </w:pPr>
      <w:r>
        <w:rPr>
          <w:rFonts w:hint="eastAsia" w:ascii="宋体" w:hAnsi="宋体"/>
          <w:color w:val="000000"/>
          <w:sz w:val="24"/>
        </w:rPr>
        <w:t>交货地点：</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五、货款支付</w:t>
      </w:r>
    </w:p>
    <w:p>
      <w:pPr>
        <w:spacing w:line="360" w:lineRule="auto"/>
        <w:ind w:firstLine="480" w:firstLineChars="200"/>
        <w:rPr>
          <w:rFonts w:hint="eastAsia" w:ascii="宋体" w:hAnsi="宋体"/>
          <w:color w:val="000000"/>
          <w:sz w:val="24"/>
        </w:rPr>
      </w:pPr>
      <w:r>
        <w:rPr>
          <w:rFonts w:hint="eastAsia" w:ascii="宋体" w:hAnsi="宋体"/>
          <w:color w:val="000000"/>
          <w:sz w:val="24"/>
        </w:rPr>
        <w:t>1、付款方式：</w:t>
      </w:r>
    </w:p>
    <w:p>
      <w:pPr>
        <w:spacing w:line="360" w:lineRule="auto"/>
        <w:ind w:firstLine="480" w:firstLineChars="200"/>
        <w:rPr>
          <w:rFonts w:hint="eastAsia" w:ascii="宋体" w:hAnsi="宋体"/>
          <w:color w:val="000000"/>
          <w:sz w:val="24"/>
        </w:rPr>
      </w:pPr>
      <w:r>
        <w:rPr>
          <w:rFonts w:hint="eastAsia" w:ascii="宋体" w:hAnsi="宋体"/>
          <w:color w:val="000000"/>
          <w:sz w:val="24"/>
        </w:rPr>
        <w:t>2、合同履行完毕，需方根据合同进行验收，验收合格后供应商按财政结算要求办理货款结算手续。</w:t>
      </w:r>
    </w:p>
    <w:p>
      <w:pPr>
        <w:spacing w:line="360" w:lineRule="auto"/>
        <w:ind w:firstLine="480" w:firstLineChars="200"/>
        <w:rPr>
          <w:rFonts w:hint="eastAsia" w:ascii="宋体" w:hAnsi="宋体"/>
          <w:color w:val="000000"/>
          <w:sz w:val="24"/>
        </w:rPr>
      </w:pPr>
      <w:r>
        <w:rPr>
          <w:rFonts w:hint="eastAsia" w:ascii="宋体" w:hAnsi="宋体"/>
          <w:color w:val="000000"/>
          <w:sz w:val="24"/>
        </w:rPr>
        <w:t>六、履约保证金、质量保证金</w:t>
      </w:r>
    </w:p>
    <w:p>
      <w:pPr>
        <w:spacing w:line="360" w:lineRule="auto"/>
        <w:ind w:firstLine="480" w:firstLineChars="200"/>
        <w:rPr>
          <w:rFonts w:hint="eastAsia" w:ascii="宋体" w:hAnsi="宋体"/>
          <w:color w:val="000000"/>
          <w:sz w:val="24"/>
        </w:rPr>
      </w:pPr>
      <w:r>
        <w:rPr>
          <w:rFonts w:hint="eastAsia" w:ascii="宋体" w:hAnsi="宋体"/>
          <w:color w:val="000000"/>
          <w:sz w:val="24"/>
        </w:rPr>
        <w:t>1、履约保证金：为保证政府采购项目合同的顺利执行，供方在本合同签订之前，其中标价的</w:t>
      </w:r>
      <w:r>
        <w:rPr>
          <w:rFonts w:hint="eastAsia" w:ascii="宋体" w:hAnsi="宋体"/>
          <w:color w:val="000000"/>
          <w:sz w:val="24"/>
          <w:u w:val="single"/>
        </w:rPr>
        <w:t xml:space="preserve">    </w:t>
      </w:r>
      <w:r>
        <w:rPr>
          <w:rFonts w:hint="eastAsia" w:ascii="宋体" w:hAnsi="宋体"/>
          <w:color w:val="000000"/>
          <w:sz w:val="24"/>
        </w:rPr>
        <w:t>%作为履约保证金（银行汇票形式）交付采购人。待项目验收合格和供方交纳质量保证金后，由采购人将履约保证金无息退还供方。</w:t>
      </w:r>
    </w:p>
    <w:p>
      <w:pPr>
        <w:spacing w:line="360" w:lineRule="auto"/>
        <w:ind w:firstLine="480" w:firstLineChars="200"/>
        <w:rPr>
          <w:rFonts w:hint="eastAsia" w:ascii="宋体" w:hAnsi="宋体"/>
          <w:color w:val="000000"/>
          <w:sz w:val="24"/>
        </w:rPr>
      </w:pPr>
      <w:r>
        <w:rPr>
          <w:rFonts w:hint="eastAsia" w:ascii="宋体" w:hAnsi="宋体"/>
          <w:color w:val="000000"/>
          <w:sz w:val="24"/>
        </w:rPr>
        <w:t>2、质量保证金：采购项目验收合格后，需方向供方收取质量保证金（中标价的</w:t>
      </w:r>
      <w:r>
        <w:rPr>
          <w:rFonts w:hint="eastAsia" w:ascii="宋体" w:hAnsi="宋体"/>
          <w:color w:val="000000"/>
          <w:sz w:val="24"/>
          <w:u w:val="single"/>
        </w:rPr>
        <w:t xml:space="preserve">  </w:t>
      </w:r>
      <w:r>
        <w:rPr>
          <w:rFonts w:hint="eastAsia" w:ascii="宋体" w:hAnsi="宋体"/>
          <w:color w:val="000000"/>
          <w:sz w:val="24"/>
        </w:rPr>
        <w:t>%）。质保期结束且无质量问题，由需方将质量保证金无息退还供方。</w:t>
      </w:r>
    </w:p>
    <w:p>
      <w:pPr>
        <w:spacing w:line="360" w:lineRule="auto"/>
        <w:ind w:firstLine="480" w:firstLineChars="200"/>
        <w:rPr>
          <w:rFonts w:hint="eastAsia" w:ascii="宋体" w:hAnsi="宋体"/>
          <w:color w:val="000000"/>
          <w:sz w:val="24"/>
        </w:rPr>
      </w:pPr>
      <w:r>
        <w:rPr>
          <w:rFonts w:hint="eastAsia" w:ascii="宋体" w:hAnsi="宋体"/>
          <w:color w:val="000000"/>
          <w:sz w:val="24"/>
        </w:rPr>
        <w:t>七、违约责任</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1、甲方无正当理由拒收货物的，甲方向乙方偿付拒收货款总值的百分之</w:t>
      </w:r>
      <w:r>
        <w:rPr>
          <w:rFonts w:hint="eastAsia" w:ascii="宋体" w:hAnsi="宋体"/>
          <w:color w:val="000000"/>
          <w:sz w:val="24"/>
          <w:u w:val="single"/>
        </w:rPr>
        <w:t xml:space="preserve"> 五 </w:t>
      </w:r>
      <w:r>
        <w:rPr>
          <w:rFonts w:hint="eastAsia" w:ascii="宋体" w:hAnsi="宋体"/>
          <w:color w:val="000000"/>
          <w:sz w:val="24"/>
        </w:rPr>
        <w:t>违约金。</w:t>
      </w:r>
    </w:p>
    <w:p>
      <w:pPr>
        <w:spacing w:line="360" w:lineRule="auto"/>
        <w:ind w:firstLine="480" w:firstLineChars="200"/>
        <w:rPr>
          <w:rFonts w:hint="eastAsia" w:ascii="宋体" w:hAnsi="宋体"/>
          <w:color w:val="000000"/>
          <w:sz w:val="24"/>
        </w:rPr>
      </w:pPr>
      <w:r>
        <w:rPr>
          <w:rFonts w:hint="eastAsia" w:ascii="宋体" w:hAnsi="宋体"/>
          <w:color w:val="000000"/>
          <w:sz w:val="24"/>
        </w:rPr>
        <w:t>2、乙方逾期交付货物的，乙方应按逾期交付货款总额每日千分之</w:t>
      </w:r>
      <w:r>
        <w:rPr>
          <w:rFonts w:hint="eastAsia" w:ascii="宋体" w:hAnsi="宋体"/>
          <w:color w:val="000000"/>
          <w:sz w:val="24"/>
          <w:u w:val="single"/>
        </w:rPr>
        <w:t xml:space="preserve"> 六  </w:t>
      </w:r>
      <w:r>
        <w:rPr>
          <w:rFonts w:hint="eastAsia" w:ascii="宋体" w:hAnsi="宋体"/>
          <w:color w:val="000000"/>
          <w:sz w:val="24"/>
        </w:rPr>
        <w:t>向甲方支付违约金，由甲方从待付货款中扣除。逾期超过约定日期</w:t>
      </w:r>
      <w:r>
        <w:rPr>
          <w:rFonts w:hint="eastAsia" w:ascii="宋体" w:hAnsi="宋体"/>
          <w:color w:val="000000"/>
          <w:sz w:val="24"/>
          <w:u w:val="single"/>
        </w:rPr>
        <w:t xml:space="preserve"> 10 </w:t>
      </w:r>
      <w:r>
        <w:rPr>
          <w:rFonts w:hint="eastAsia" w:ascii="宋体" w:hAnsi="宋体"/>
          <w:color w:val="000000"/>
          <w:sz w:val="24"/>
        </w:rPr>
        <w:t>个工作日不能交货的，甲方可解除本合同，履约保证金不予退还，如造成甲方损失超过履约保证金的，超出部分由乙方继续承担赔偿责任。</w:t>
      </w:r>
    </w:p>
    <w:p>
      <w:pPr>
        <w:spacing w:line="360" w:lineRule="auto"/>
        <w:ind w:firstLine="480" w:firstLineChars="200"/>
        <w:rPr>
          <w:rFonts w:hint="eastAsia" w:ascii="宋体" w:hAnsi="宋体"/>
          <w:color w:val="000000"/>
          <w:sz w:val="24"/>
        </w:rPr>
      </w:pPr>
      <w:r>
        <w:rPr>
          <w:rFonts w:hint="eastAsia" w:ascii="宋体" w:hAnsi="宋体"/>
          <w:color w:val="000000"/>
          <w:sz w:val="24"/>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spacing w:line="360" w:lineRule="auto"/>
        <w:ind w:firstLine="480" w:firstLineChars="200"/>
        <w:rPr>
          <w:rFonts w:hint="eastAsia" w:ascii="宋体" w:hAnsi="宋体"/>
          <w:color w:val="000000"/>
          <w:sz w:val="24"/>
        </w:rPr>
      </w:pPr>
      <w:r>
        <w:rPr>
          <w:rFonts w:hint="eastAsia" w:ascii="宋体" w:hAnsi="宋体"/>
          <w:color w:val="000000"/>
          <w:sz w:val="24"/>
        </w:rPr>
        <w:t>4、因需方原因逾期支付合同款，自逾期之日起，向供方每日偿付合同总价千分之 二的滞纳金；需方无正当理由拒付货款的，应向供方偿付合同总价百分之五的违约金。</w:t>
      </w:r>
    </w:p>
    <w:p>
      <w:pPr>
        <w:spacing w:line="360" w:lineRule="auto"/>
        <w:ind w:firstLine="480" w:firstLineChars="200"/>
        <w:rPr>
          <w:rFonts w:hint="eastAsia" w:ascii="宋体" w:hAnsi="宋体"/>
          <w:color w:val="000000"/>
          <w:sz w:val="24"/>
        </w:rPr>
      </w:pPr>
      <w:r>
        <w:rPr>
          <w:rFonts w:hint="eastAsia" w:ascii="宋体" w:hAnsi="宋体"/>
          <w:color w:val="000000"/>
          <w:sz w:val="24"/>
        </w:rPr>
        <w:t>5、供方在项目验收合格之日起保修期内违反本合同有关承诺保证的，需方将有权不予退还质量保证金，损失赔偿不足部分，按合同第九条处理。</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6、如发现乙方违反招投标文件和合同的有关规定，甲方有权根据约定和《杭州市政府采购供应商合同履行和售后服务考核暂行办法》，对乙方进行处罚，并有权提前终止合同。</w:t>
      </w:r>
    </w:p>
    <w:p>
      <w:pPr>
        <w:spacing w:line="360" w:lineRule="auto"/>
        <w:ind w:firstLine="480" w:firstLineChars="200"/>
        <w:rPr>
          <w:rFonts w:hint="eastAsia" w:ascii="宋体" w:hAnsi="宋体"/>
          <w:color w:val="000000"/>
          <w:sz w:val="24"/>
        </w:rPr>
      </w:pPr>
      <w:r>
        <w:rPr>
          <w:rFonts w:hint="eastAsia" w:ascii="宋体" w:hAnsi="宋体"/>
          <w:color w:val="000000"/>
          <w:sz w:val="24"/>
        </w:rPr>
        <w:t>八、调试和验收</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九、争议的解决</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因本合同引起的或与本合同有关的任何争议，合同双方应首先通过协商解决，达成书面协议，如协商不成，可选择下列第</w:t>
      </w:r>
      <w:r>
        <w:rPr>
          <w:rFonts w:hint="eastAsia" w:ascii="宋体" w:hAnsi="宋体"/>
          <w:color w:val="000000"/>
          <w:sz w:val="24"/>
          <w:u w:val="single"/>
        </w:rPr>
        <w:t xml:space="preserve">      </w:t>
      </w:r>
      <w:r>
        <w:rPr>
          <w:rFonts w:hint="eastAsia" w:ascii="宋体" w:hAnsi="宋体"/>
          <w:color w:val="000000"/>
          <w:sz w:val="24"/>
        </w:rPr>
        <w:t>种方式解决。</w:t>
      </w:r>
    </w:p>
    <w:p>
      <w:pPr>
        <w:spacing w:line="360" w:lineRule="auto"/>
        <w:ind w:firstLine="480" w:firstLineChars="200"/>
        <w:rPr>
          <w:rFonts w:hint="eastAsia" w:ascii="宋体" w:hAnsi="宋体"/>
          <w:color w:val="000000"/>
          <w:sz w:val="24"/>
        </w:rPr>
      </w:pPr>
      <w:r>
        <w:rPr>
          <w:rFonts w:hint="eastAsia" w:ascii="宋体" w:hAnsi="宋体"/>
          <w:color w:val="000000"/>
          <w:sz w:val="24"/>
        </w:rPr>
        <w:t>（1）提请杭州仲裁委员会按照该会仲裁规则进行仲裁，仲裁裁决是终局的，对合同双方均有约束力。</w:t>
      </w:r>
    </w:p>
    <w:p>
      <w:pPr>
        <w:spacing w:line="360" w:lineRule="auto"/>
        <w:ind w:firstLine="480" w:firstLineChars="200"/>
        <w:rPr>
          <w:rFonts w:hint="eastAsia" w:ascii="宋体" w:hAnsi="宋体"/>
          <w:color w:val="000000"/>
          <w:sz w:val="24"/>
        </w:rPr>
      </w:pPr>
      <w:r>
        <w:rPr>
          <w:rFonts w:hint="eastAsia" w:ascii="宋体" w:hAnsi="宋体"/>
          <w:color w:val="000000"/>
          <w:sz w:val="24"/>
        </w:rPr>
        <w:t>（2）向有管辖权的人民法院提起诉讼。</w:t>
      </w:r>
    </w:p>
    <w:p>
      <w:pPr>
        <w:spacing w:line="360" w:lineRule="auto"/>
        <w:ind w:firstLine="480" w:firstLineChars="200"/>
        <w:rPr>
          <w:rFonts w:hint="eastAsia" w:ascii="宋体" w:hAnsi="宋体"/>
          <w:color w:val="000000"/>
          <w:sz w:val="24"/>
        </w:rPr>
      </w:pPr>
      <w:r>
        <w:rPr>
          <w:rFonts w:hint="eastAsia" w:ascii="宋体" w:hAnsi="宋体"/>
          <w:color w:val="000000"/>
          <w:sz w:val="24"/>
        </w:rPr>
        <w:t>十、合同生效</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1、中标方持中标通知书作为与需方签订合同的凭证。</w:t>
      </w:r>
    </w:p>
    <w:p>
      <w:pPr>
        <w:spacing w:line="360" w:lineRule="auto"/>
        <w:ind w:firstLine="480" w:firstLineChars="200"/>
        <w:rPr>
          <w:rFonts w:hint="eastAsia" w:ascii="宋体" w:hAnsi="宋体"/>
          <w:color w:val="000000"/>
          <w:sz w:val="24"/>
        </w:rPr>
      </w:pPr>
      <w:r>
        <w:rPr>
          <w:rFonts w:hint="eastAsia" w:ascii="宋体" w:hAnsi="宋体"/>
          <w:color w:val="000000"/>
          <w:sz w:val="24"/>
        </w:rPr>
        <w:t>2、本合同经需、供双方法定代表人（符合浙财采监【2013】24号第六条规定的为负责人）或其授权委托人签名并加盖单位公章后生效。</w:t>
      </w:r>
    </w:p>
    <w:p>
      <w:pPr>
        <w:spacing w:line="360" w:lineRule="auto"/>
        <w:ind w:firstLine="480" w:firstLineChars="200"/>
        <w:rPr>
          <w:rFonts w:hint="eastAsia" w:ascii="宋体" w:hAnsi="宋体"/>
          <w:color w:val="000000"/>
          <w:sz w:val="24"/>
        </w:rPr>
      </w:pPr>
      <w:r>
        <w:rPr>
          <w:rFonts w:hint="eastAsia" w:ascii="宋体" w:hAnsi="宋体"/>
          <w:color w:val="000000"/>
          <w:sz w:val="24"/>
        </w:rPr>
        <w:t>需方（加盖公章）：                  供方（加盖公章）：</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地址：                             地址：</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法定代表人（或委托代理人）签名：   法定代表人（或委托代理人）签名：</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联系电话：                         联系电话：</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邮政编码：                         邮政编码：</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开户银行：                         开户银行：  </w:t>
      </w:r>
      <w:r>
        <w:rPr>
          <w:rFonts w:hint="eastAsia" w:ascii="宋体" w:hAnsi="宋体" w:cs="宋体"/>
          <w:color w:val="000000"/>
          <w:sz w:val="24"/>
        </w:rPr>
        <w:t></w:t>
      </w:r>
      <w:r>
        <w:rPr>
          <w:rFonts w:hint="eastAsia" w:ascii="宋体" w:hAnsi="宋体"/>
          <w:color w:val="000000"/>
          <w:sz w:val="24"/>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帐号：                             帐号：</w:t>
      </w:r>
    </w:p>
    <w:p>
      <w:pPr>
        <w:spacing w:line="360" w:lineRule="auto"/>
        <w:ind w:firstLine="480" w:firstLineChars="200"/>
        <w:rPr>
          <w:rFonts w:hint="eastAsia" w:ascii="宋体" w:hAnsi="宋体"/>
          <w:color w:val="000000"/>
          <w:sz w:val="24"/>
        </w:rPr>
      </w:pPr>
    </w:p>
    <w:p>
      <w:pPr>
        <w:spacing w:line="360" w:lineRule="auto"/>
        <w:jc w:val="center"/>
        <w:rPr>
          <w:rFonts w:ascii="宋体" w:hAnsi="宋体"/>
          <w:b/>
          <w:bCs/>
          <w:color w:val="000000"/>
          <w:sz w:val="28"/>
          <w:szCs w:val="28"/>
        </w:rPr>
      </w:pPr>
      <w:r>
        <w:rPr>
          <w:rFonts w:ascii="宋体" w:hAnsi="宋体"/>
          <w:b/>
          <w:bCs/>
          <w:color w:val="000000"/>
          <w:sz w:val="28"/>
          <w:szCs w:val="28"/>
        </w:rPr>
        <w:br w:type="page"/>
      </w:r>
      <w:r>
        <w:rPr>
          <w:rFonts w:hint="eastAsia" w:ascii="宋体" w:hAnsi="宋体"/>
          <w:b/>
          <w:bCs/>
          <w:color w:val="000000"/>
          <w:sz w:val="28"/>
          <w:szCs w:val="28"/>
        </w:rPr>
        <w:t>（服务类样本）</w:t>
      </w:r>
    </w:p>
    <w:p>
      <w:pPr>
        <w:spacing w:line="360" w:lineRule="auto"/>
        <w:ind w:firstLine="480" w:firstLineChars="200"/>
        <w:rPr>
          <w:rFonts w:hint="eastAsia" w:ascii="宋体" w:hAnsi="宋体"/>
          <w:color w:val="000000"/>
          <w:sz w:val="24"/>
        </w:rPr>
      </w:pPr>
      <w:r>
        <w:rPr>
          <w:rFonts w:hint="eastAsia" w:ascii="宋体" w:hAnsi="宋体"/>
          <w:color w:val="000000"/>
          <w:sz w:val="24"/>
        </w:rPr>
        <w:t>合同编号：</w:t>
      </w:r>
    </w:p>
    <w:p>
      <w:pPr>
        <w:spacing w:line="360" w:lineRule="auto"/>
        <w:ind w:firstLine="480" w:firstLineChars="200"/>
        <w:rPr>
          <w:rFonts w:hint="eastAsia" w:ascii="宋体" w:hAnsi="宋体"/>
          <w:color w:val="000000"/>
          <w:sz w:val="24"/>
        </w:rPr>
      </w:pPr>
      <w:r>
        <w:rPr>
          <w:rFonts w:hint="eastAsia" w:ascii="宋体" w:hAnsi="宋体"/>
          <w:color w:val="000000"/>
          <w:sz w:val="24"/>
        </w:rPr>
        <w:t>签订地点：                                 签订时间：20</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hint="eastAsia" w:ascii="宋体" w:hAnsi="宋体"/>
          <w:color w:val="000000"/>
          <w:sz w:val="24"/>
        </w:rPr>
      </w:pPr>
      <w:r>
        <w:rPr>
          <w:rFonts w:hint="eastAsia" w:ascii="宋体" w:hAnsi="宋体"/>
          <w:color w:val="000000"/>
          <w:sz w:val="24"/>
        </w:rPr>
        <w:t>项目名称：</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甲方（需方）：                                     </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乙方（供方）：                                     </w:t>
      </w:r>
    </w:p>
    <w:p>
      <w:pPr>
        <w:spacing w:line="360" w:lineRule="auto"/>
        <w:ind w:firstLine="480" w:firstLineChars="200"/>
        <w:rPr>
          <w:rFonts w:hint="eastAsia" w:ascii="宋体" w:hAnsi="宋体"/>
          <w:color w:val="000000"/>
          <w:sz w:val="24"/>
        </w:rPr>
      </w:pPr>
      <w:r>
        <w:rPr>
          <w:rFonts w:hint="eastAsia" w:ascii="宋体" w:hAnsi="宋体"/>
          <w:color w:val="000000"/>
          <w:sz w:val="24"/>
        </w:rPr>
        <w:t>供、需双方根据杭州市萧山区</w:t>
      </w:r>
      <w:r>
        <w:rPr>
          <w:rFonts w:hint="eastAsia" w:ascii="宋体" w:hAnsi="宋体"/>
          <w:color w:val="000000"/>
          <w:sz w:val="24"/>
          <w:u w:val="single"/>
        </w:rPr>
        <w:t xml:space="preserve">                             </w:t>
      </w:r>
      <w:r>
        <w:rPr>
          <w:rFonts w:hint="eastAsia" w:ascii="宋体" w:hAnsi="宋体"/>
          <w:color w:val="000000"/>
          <w:sz w:val="24"/>
        </w:rPr>
        <w:t>项目（招标编号XZCG</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）招标结果和招标文件的要求，并经双方协调一致，订立本采购合同。</w:t>
      </w:r>
    </w:p>
    <w:p>
      <w:pPr>
        <w:spacing w:line="360" w:lineRule="auto"/>
        <w:ind w:firstLine="480" w:firstLineChars="200"/>
        <w:rPr>
          <w:rFonts w:hint="eastAsia" w:ascii="宋体" w:hAnsi="宋体"/>
          <w:color w:val="000000"/>
          <w:sz w:val="24"/>
        </w:rPr>
      </w:pPr>
      <w:r>
        <w:rPr>
          <w:rFonts w:hint="eastAsia" w:ascii="宋体" w:hAnsi="宋体"/>
          <w:color w:val="000000"/>
          <w:sz w:val="24"/>
        </w:rPr>
        <w:t>一、合同文件：</w:t>
      </w:r>
    </w:p>
    <w:p>
      <w:pPr>
        <w:spacing w:line="360" w:lineRule="auto"/>
        <w:ind w:firstLine="480" w:firstLineChars="200"/>
        <w:rPr>
          <w:rFonts w:hint="eastAsia" w:ascii="宋体" w:hAnsi="宋体"/>
          <w:color w:val="000000"/>
          <w:sz w:val="24"/>
        </w:rPr>
      </w:pPr>
      <w:r>
        <w:rPr>
          <w:rFonts w:hint="eastAsia" w:ascii="宋体" w:hAnsi="宋体"/>
          <w:color w:val="000000"/>
          <w:sz w:val="24"/>
        </w:rPr>
        <w:t>1、合同条款。</w:t>
      </w:r>
    </w:p>
    <w:p>
      <w:pPr>
        <w:spacing w:line="360" w:lineRule="auto"/>
        <w:ind w:firstLine="480" w:firstLineChars="200"/>
        <w:rPr>
          <w:rFonts w:hint="eastAsia" w:ascii="宋体" w:hAnsi="宋体"/>
          <w:color w:val="000000"/>
          <w:sz w:val="24"/>
        </w:rPr>
      </w:pPr>
      <w:r>
        <w:rPr>
          <w:rFonts w:hint="eastAsia" w:ascii="宋体" w:hAnsi="宋体"/>
          <w:color w:val="000000"/>
          <w:sz w:val="24"/>
        </w:rPr>
        <w:t>2、中标通知书。</w:t>
      </w:r>
    </w:p>
    <w:p>
      <w:pPr>
        <w:spacing w:line="360" w:lineRule="auto"/>
        <w:ind w:firstLine="480" w:firstLineChars="200"/>
        <w:rPr>
          <w:rFonts w:hint="eastAsia" w:ascii="宋体" w:hAnsi="宋体"/>
          <w:color w:val="000000"/>
          <w:sz w:val="24"/>
        </w:rPr>
      </w:pPr>
      <w:r>
        <w:rPr>
          <w:rFonts w:hint="eastAsia" w:ascii="宋体" w:hAnsi="宋体"/>
          <w:color w:val="000000"/>
          <w:sz w:val="24"/>
        </w:rPr>
        <w:t>3、招标文件。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4、更正公告。</w:t>
      </w:r>
    </w:p>
    <w:p>
      <w:pPr>
        <w:spacing w:line="360" w:lineRule="auto"/>
        <w:ind w:firstLine="480" w:firstLineChars="200"/>
        <w:rPr>
          <w:rFonts w:hint="eastAsia" w:ascii="宋体" w:hAnsi="宋体"/>
          <w:color w:val="000000"/>
          <w:sz w:val="24"/>
        </w:rPr>
      </w:pPr>
      <w:r>
        <w:rPr>
          <w:rFonts w:hint="eastAsia" w:ascii="宋体" w:hAnsi="宋体"/>
          <w:color w:val="000000"/>
          <w:sz w:val="24"/>
        </w:rPr>
        <w:t>5、中标单位投标文件。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6、其他。</w:t>
      </w:r>
    </w:p>
    <w:p>
      <w:pPr>
        <w:spacing w:line="360" w:lineRule="auto"/>
        <w:ind w:left="479" w:leftChars="228"/>
        <w:rPr>
          <w:rFonts w:hint="eastAsia" w:ascii="宋体" w:hAnsi="宋体"/>
          <w:color w:val="000000"/>
          <w:sz w:val="24"/>
        </w:rPr>
      </w:pPr>
      <w:r>
        <w:rPr>
          <w:rFonts w:hint="eastAsia" w:ascii="宋体" w:hAnsi="宋体"/>
          <w:color w:val="000000"/>
          <w:sz w:val="24"/>
        </w:rPr>
        <w:t>二、合同金额: 本合同金额为(大写)_________________元（￥</w:t>
      </w:r>
      <w:r>
        <w:rPr>
          <w:rFonts w:hint="eastAsia" w:ascii="宋体" w:hAnsi="宋体"/>
          <w:color w:val="000000"/>
          <w:sz w:val="24"/>
          <w:u w:val="single"/>
        </w:rPr>
        <w:t>　　　　</w:t>
      </w:r>
      <w:r>
        <w:rPr>
          <w:rFonts w:hint="eastAsia" w:ascii="宋体" w:hAnsi="宋体"/>
          <w:color w:val="000000"/>
          <w:sz w:val="24"/>
        </w:rPr>
        <w:t>元）人民币附：</w:t>
      </w:r>
    </w:p>
    <w:p>
      <w:pPr>
        <w:spacing w:line="360" w:lineRule="auto"/>
        <w:jc w:val="center"/>
        <w:rPr>
          <w:rFonts w:hint="eastAsia" w:ascii="宋体" w:hAnsi="宋体"/>
          <w:color w:val="000000"/>
          <w:sz w:val="24"/>
        </w:rPr>
      </w:pPr>
      <w:r>
        <w:rPr>
          <w:rFonts w:hint="eastAsia" w:ascii="宋体" w:hAnsi="宋体"/>
          <w:color w:val="000000"/>
          <w:sz w:val="24"/>
        </w:rPr>
        <w:t>《采购项目清单内容》</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采购项目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中标内容</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中标单价（元）</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数量</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1</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r>
              <w:rPr>
                <w:rFonts w:hint="eastAsia"/>
                <w:color w:val="000000"/>
                <w:sz w:val="24"/>
              </w:rPr>
              <w:t>2</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rPr>
            </w:pPr>
          </w:p>
        </w:tc>
      </w:tr>
    </w:tbl>
    <w:p>
      <w:pPr>
        <w:spacing w:line="360" w:lineRule="auto"/>
        <w:ind w:firstLine="480" w:firstLineChars="200"/>
        <w:rPr>
          <w:rFonts w:ascii="宋体" w:hAnsi="宋体"/>
          <w:color w:val="000000"/>
          <w:sz w:val="24"/>
        </w:rPr>
      </w:pPr>
      <w:r>
        <w:rPr>
          <w:rFonts w:ascii="宋体" w:hAnsi="宋体"/>
          <w:color w:val="000000"/>
          <w:sz w:val="24"/>
        </w:rPr>
        <w:t>三、技术资料</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乙方应按招标文件规定的时间向甲方提供有关技术资料。</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rPr>
          <w:rFonts w:ascii="宋体" w:hAnsi="宋体"/>
          <w:color w:val="000000"/>
          <w:sz w:val="24"/>
        </w:rPr>
      </w:pPr>
      <w:r>
        <w:rPr>
          <w:rFonts w:ascii="宋体" w:hAnsi="宋体"/>
          <w:color w:val="000000"/>
          <w:sz w:val="24"/>
        </w:rPr>
        <w:t>四、知识产权</w:t>
      </w:r>
    </w:p>
    <w:p>
      <w:pPr>
        <w:spacing w:line="360" w:lineRule="auto"/>
        <w:ind w:firstLine="480" w:firstLineChars="200"/>
        <w:rPr>
          <w:rFonts w:ascii="宋体" w:hAnsi="宋体"/>
          <w:color w:val="000000"/>
          <w:sz w:val="24"/>
        </w:rPr>
      </w:pPr>
      <w:r>
        <w:rPr>
          <w:rFonts w:ascii="宋体" w:hAnsi="宋体"/>
          <w:color w:val="000000"/>
          <w:sz w:val="24"/>
        </w:rPr>
        <w:t>乙方应保证提供服务过程中不会侵犯任何第三方的知识产权。</w:t>
      </w:r>
    </w:p>
    <w:p>
      <w:pPr>
        <w:spacing w:line="360" w:lineRule="auto"/>
        <w:ind w:firstLine="480" w:firstLineChars="200"/>
        <w:rPr>
          <w:rFonts w:ascii="宋体" w:hAnsi="宋体"/>
          <w:color w:val="000000"/>
          <w:sz w:val="24"/>
        </w:rPr>
      </w:pPr>
      <w:r>
        <w:rPr>
          <w:rFonts w:hint="eastAsia" w:ascii="宋体" w:hAnsi="宋体"/>
          <w:color w:val="000000"/>
          <w:sz w:val="24"/>
        </w:rPr>
        <w:t>五</w:t>
      </w:r>
      <w:r>
        <w:rPr>
          <w:rFonts w:ascii="宋体" w:hAnsi="宋体"/>
          <w:color w:val="000000"/>
          <w:sz w:val="24"/>
        </w:rPr>
        <w:t>、履约保证金</w:t>
      </w:r>
    </w:p>
    <w:p>
      <w:pPr>
        <w:spacing w:line="360" w:lineRule="auto"/>
        <w:ind w:firstLine="480" w:firstLineChars="200"/>
        <w:rPr>
          <w:rFonts w:ascii="宋体" w:hAnsi="宋体"/>
          <w:color w:val="000000"/>
          <w:sz w:val="24"/>
        </w:rPr>
      </w:pPr>
      <w:r>
        <w:rPr>
          <w:rFonts w:ascii="宋体" w:hAnsi="宋体"/>
          <w:color w:val="000000"/>
          <w:sz w:val="24"/>
        </w:rPr>
        <w:t>乙方交纳人民币</w:t>
      </w:r>
      <w:r>
        <w:rPr>
          <w:rFonts w:hint="eastAsia" w:ascii="宋体" w:hAnsi="宋体"/>
          <w:color w:val="000000"/>
          <w:sz w:val="24"/>
          <w:u w:val="single"/>
        </w:rPr>
        <w:t xml:space="preserve">        </w:t>
      </w:r>
      <w:r>
        <w:rPr>
          <w:rFonts w:ascii="宋体" w:hAnsi="宋体"/>
          <w:color w:val="000000"/>
          <w:sz w:val="24"/>
        </w:rPr>
        <w:t>元作为本合同的履约保证金。</w:t>
      </w:r>
    </w:p>
    <w:p>
      <w:pPr>
        <w:spacing w:line="360" w:lineRule="auto"/>
        <w:ind w:firstLine="480" w:firstLineChars="200"/>
        <w:rPr>
          <w:rFonts w:ascii="宋体" w:hAnsi="宋体"/>
          <w:color w:val="000000"/>
          <w:sz w:val="24"/>
        </w:rPr>
      </w:pPr>
      <w:r>
        <w:rPr>
          <w:rFonts w:hint="eastAsia" w:ascii="宋体" w:hAnsi="宋体"/>
          <w:color w:val="000000"/>
          <w:sz w:val="24"/>
        </w:rPr>
        <w:t>六、转包或分包</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.本合同范围的服务，应由</w:t>
      </w:r>
      <w:r>
        <w:rPr>
          <w:rFonts w:ascii="宋体" w:hAnsi="宋体"/>
          <w:color w:val="000000"/>
          <w:sz w:val="24"/>
        </w:rPr>
        <w:t>乙</w:t>
      </w:r>
      <w:r>
        <w:rPr>
          <w:rFonts w:hint="eastAsia" w:ascii="宋体" w:hAnsi="宋体"/>
          <w:color w:val="000000"/>
          <w:sz w:val="24"/>
        </w:rPr>
        <w:t>方直接供应，不得转让他人供应；</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.除非得到甲方的书面同意，</w:t>
      </w:r>
      <w:r>
        <w:rPr>
          <w:rFonts w:ascii="宋体" w:hAnsi="宋体"/>
          <w:color w:val="000000"/>
          <w:sz w:val="24"/>
        </w:rPr>
        <w:t>乙</w:t>
      </w:r>
      <w:r>
        <w:rPr>
          <w:rFonts w:hint="eastAsia" w:ascii="宋体" w:hAnsi="宋体"/>
          <w:color w:val="000000"/>
          <w:sz w:val="24"/>
        </w:rPr>
        <w:t>方不得将本合同范围的服务全部或部分分包给他人供应；</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.如有转让和未经甲方同意的分包行为，甲方有权解除合同，没收履约保证金并追究乙方的违约责任。</w:t>
      </w:r>
    </w:p>
    <w:p>
      <w:pPr>
        <w:spacing w:line="360" w:lineRule="auto"/>
        <w:ind w:firstLine="480" w:firstLineChars="200"/>
        <w:rPr>
          <w:rFonts w:ascii="宋体" w:hAnsi="宋体"/>
          <w:color w:val="000000"/>
          <w:sz w:val="24"/>
        </w:rPr>
      </w:pPr>
      <w:r>
        <w:rPr>
          <w:rFonts w:hint="eastAsia" w:ascii="宋体" w:hAnsi="宋体"/>
          <w:color w:val="000000"/>
          <w:sz w:val="24"/>
        </w:rPr>
        <w:t>七</w:t>
      </w:r>
      <w:r>
        <w:rPr>
          <w:rFonts w:ascii="宋体" w:hAnsi="宋体"/>
          <w:color w:val="000000"/>
          <w:sz w:val="24"/>
        </w:rPr>
        <w:t>、服务质量保证期和服务质量保证金(选用)</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 xml:space="preserve"> 服务质量保证期</w:t>
      </w:r>
      <w:r>
        <w:rPr>
          <w:rFonts w:ascii="宋体" w:hAnsi="宋体"/>
          <w:color w:val="000000"/>
          <w:sz w:val="24"/>
          <w:u w:val="single"/>
        </w:rPr>
        <w:t xml:space="preserve">      </w:t>
      </w:r>
      <w:r>
        <w:rPr>
          <w:rFonts w:ascii="宋体" w:hAnsi="宋体"/>
          <w:color w:val="000000"/>
          <w:sz w:val="24"/>
        </w:rPr>
        <w:t>年。（自验收合格之日起计）</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 xml:space="preserve"> 服务质量保证金</w:t>
      </w:r>
      <w:r>
        <w:rPr>
          <w:rFonts w:ascii="宋体" w:hAnsi="宋体"/>
          <w:color w:val="000000"/>
          <w:sz w:val="24"/>
          <w:u w:val="single"/>
        </w:rPr>
        <w:t xml:space="preserve">            </w:t>
      </w:r>
      <w:r>
        <w:rPr>
          <w:rFonts w:ascii="宋体" w:hAnsi="宋体"/>
          <w:color w:val="000000"/>
          <w:sz w:val="24"/>
        </w:rPr>
        <w:t>元。</w:t>
      </w:r>
    </w:p>
    <w:p>
      <w:pPr>
        <w:spacing w:line="360" w:lineRule="auto"/>
        <w:ind w:firstLine="480" w:firstLineChars="200"/>
        <w:rPr>
          <w:rFonts w:ascii="宋体" w:hAnsi="宋体"/>
          <w:color w:val="000000"/>
          <w:sz w:val="24"/>
        </w:rPr>
      </w:pPr>
      <w:r>
        <w:rPr>
          <w:rFonts w:hint="eastAsia" w:ascii="宋体" w:hAnsi="宋体"/>
          <w:color w:val="000000"/>
          <w:sz w:val="24"/>
        </w:rPr>
        <w:t>八</w:t>
      </w:r>
      <w:r>
        <w:rPr>
          <w:rFonts w:ascii="宋体" w:hAnsi="宋体"/>
          <w:color w:val="000000"/>
          <w:sz w:val="24"/>
        </w:rPr>
        <w:t>、合同履行时间、履行方式及履行地点</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 xml:space="preserve"> 履行时间：</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 xml:space="preserve"> 履行方式：</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r>
        <w:rPr>
          <w:rFonts w:ascii="宋体" w:hAnsi="宋体"/>
          <w:color w:val="000000"/>
          <w:sz w:val="24"/>
        </w:rPr>
        <w:t xml:space="preserve"> 履行地点：</w:t>
      </w:r>
    </w:p>
    <w:p>
      <w:pPr>
        <w:spacing w:line="360" w:lineRule="auto"/>
        <w:ind w:firstLine="480" w:firstLineChars="200"/>
        <w:rPr>
          <w:rFonts w:hint="eastAsia" w:ascii="宋体" w:hAnsi="宋体"/>
          <w:color w:val="000000"/>
          <w:sz w:val="24"/>
        </w:rPr>
      </w:pPr>
      <w:r>
        <w:rPr>
          <w:rFonts w:hint="eastAsia" w:ascii="宋体" w:hAnsi="宋体"/>
          <w:color w:val="000000"/>
          <w:sz w:val="24"/>
        </w:rPr>
        <w:t>九、款项支付</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付款方式：</w:t>
      </w:r>
    </w:p>
    <w:p>
      <w:pPr>
        <w:spacing w:line="360" w:lineRule="auto"/>
        <w:ind w:firstLine="480" w:firstLineChars="200"/>
        <w:rPr>
          <w:rFonts w:hint="eastAsia" w:ascii="宋体" w:hAnsi="宋体"/>
          <w:color w:val="000000"/>
          <w:sz w:val="24"/>
        </w:rPr>
      </w:pPr>
      <w:r>
        <w:rPr>
          <w:rFonts w:hint="eastAsia" w:ascii="宋体" w:hAnsi="宋体"/>
          <w:color w:val="000000"/>
          <w:sz w:val="24"/>
        </w:rPr>
        <w:t>2.合同履行完毕，需方根据合同进行验收，验收合格后供应商按财政结算要求办理货款结算手续。</w:t>
      </w:r>
    </w:p>
    <w:p>
      <w:pPr>
        <w:spacing w:line="360" w:lineRule="auto"/>
        <w:ind w:firstLine="480" w:firstLineChars="200"/>
        <w:rPr>
          <w:rFonts w:ascii="宋体" w:hAnsi="宋体"/>
          <w:color w:val="000000"/>
          <w:sz w:val="24"/>
        </w:rPr>
      </w:pPr>
      <w:r>
        <w:rPr>
          <w:rFonts w:hint="eastAsia" w:ascii="宋体" w:hAnsi="宋体"/>
          <w:color w:val="000000"/>
          <w:sz w:val="24"/>
        </w:rPr>
        <w:t>十、税费</w:t>
      </w:r>
    </w:p>
    <w:p>
      <w:pPr>
        <w:spacing w:line="360" w:lineRule="auto"/>
        <w:ind w:firstLine="480" w:firstLineChars="200"/>
        <w:rPr>
          <w:rFonts w:ascii="宋体" w:hAnsi="宋体"/>
          <w:color w:val="000000"/>
          <w:sz w:val="24"/>
        </w:rPr>
      </w:pPr>
      <w:r>
        <w:rPr>
          <w:rFonts w:hint="eastAsia" w:ascii="宋体" w:hAnsi="宋体"/>
          <w:color w:val="000000"/>
          <w:sz w:val="24"/>
        </w:rPr>
        <w:t>本合同执行中相关的一切税费均由</w:t>
      </w:r>
      <w:r>
        <w:rPr>
          <w:rFonts w:ascii="宋体" w:hAnsi="宋体"/>
          <w:color w:val="000000"/>
          <w:sz w:val="24"/>
        </w:rPr>
        <w:t>乙</w:t>
      </w:r>
      <w:r>
        <w:rPr>
          <w:rFonts w:hint="eastAsia" w:ascii="宋体" w:hAnsi="宋体"/>
          <w:color w:val="000000"/>
          <w:sz w:val="24"/>
        </w:rPr>
        <w:t>方负担。</w:t>
      </w:r>
    </w:p>
    <w:p>
      <w:pPr>
        <w:spacing w:line="360" w:lineRule="auto"/>
        <w:ind w:firstLine="480" w:firstLineChars="200"/>
        <w:rPr>
          <w:rFonts w:ascii="宋体" w:hAnsi="宋体"/>
          <w:color w:val="000000"/>
          <w:sz w:val="24"/>
        </w:rPr>
      </w:pPr>
      <w:r>
        <w:rPr>
          <w:rFonts w:ascii="宋体" w:hAnsi="宋体"/>
          <w:color w:val="000000"/>
          <w:sz w:val="24"/>
        </w:rPr>
        <w:t>十</w:t>
      </w:r>
      <w:r>
        <w:rPr>
          <w:rFonts w:hint="eastAsia" w:ascii="宋体" w:hAnsi="宋体"/>
          <w:color w:val="000000"/>
          <w:sz w:val="24"/>
        </w:rPr>
        <w:t>一</w:t>
      </w:r>
      <w:r>
        <w:rPr>
          <w:rFonts w:ascii="宋体" w:hAnsi="宋体"/>
          <w:color w:val="000000"/>
          <w:sz w:val="24"/>
        </w:rPr>
        <w:t>、质量保证及后续服务</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 xml:space="preserve"> 乙方应按招标文件规定向甲方提供服务。</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 xml:space="preserve"> 乙方提供的服务成果在服务质量保证期内发生故障，乙方应负责免费提供后续服务。对达不到要求者，根据实际情况，经双方协商，可按以下办法处理：</w:t>
      </w:r>
    </w:p>
    <w:p>
      <w:pPr>
        <w:spacing w:line="360" w:lineRule="auto"/>
        <w:ind w:firstLine="480" w:firstLineChars="200"/>
        <w:rPr>
          <w:rFonts w:ascii="宋体" w:hAnsi="宋体"/>
          <w:color w:val="000000"/>
          <w:sz w:val="24"/>
        </w:rPr>
      </w:pPr>
      <w:r>
        <w:rPr>
          <w:rFonts w:hint="eastAsia" w:ascii="宋体" w:hAnsi="宋体"/>
          <w:color w:val="000000"/>
          <w:sz w:val="24"/>
        </w:rPr>
        <w:t>⑴</w:t>
      </w:r>
      <w:r>
        <w:rPr>
          <w:rFonts w:ascii="宋体" w:hAnsi="宋体"/>
          <w:color w:val="000000"/>
          <w:sz w:val="24"/>
        </w:rPr>
        <w:t>重做：由乙方承担所发生的全部费用。</w:t>
      </w:r>
    </w:p>
    <w:p>
      <w:pPr>
        <w:spacing w:line="360" w:lineRule="auto"/>
        <w:ind w:firstLine="480" w:firstLineChars="200"/>
        <w:rPr>
          <w:rFonts w:ascii="宋体" w:hAnsi="宋体"/>
          <w:color w:val="000000"/>
          <w:sz w:val="24"/>
        </w:rPr>
      </w:pPr>
      <w:r>
        <w:rPr>
          <w:rFonts w:hint="eastAsia" w:ascii="宋体" w:hAnsi="宋体"/>
          <w:color w:val="000000"/>
          <w:sz w:val="24"/>
        </w:rPr>
        <w:t>⑵</w:t>
      </w:r>
      <w:r>
        <w:rPr>
          <w:rFonts w:ascii="宋体" w:hAnsi="宋体"/>
          <w:color w:val="000000"/>
          <w:sz w:val="24"/>
        </w:rPr>
        <w:t>贬值处理：由甲乙双方合议定价。</w:t>
      </w:r>
    </w:p>
    <w:p>
      <w:pPr>
        <w:spacing w:line="360" w:lineRule="auto"/>
        <w:ind w:firstLine="480" w:firstLineChars="200"/>
        <w:rPr>
          <w:rFonts w:ascii="宋体" w:hAnsi="宋体"/>
          <w:color w:val="000000"/>
          <w:sz w:val="24"/>
        </w:rPr>
      </w:pPr>
      <w:r>
        <w:rPr>
          <w:rFonts w:hint="eastAsia" w:ascii="宋体" w:hAnsi="宋体"/>
          <w:color w:val="000000"/>
          <w:sz w:val="24"/>
        </w:rPr>
        <w:t>⑶</w:t>
      </w:r>
      <w:r>
        <w:rPr>
          <w:rFonts w:ascii="宋体" w:hAnsi="宋体"/>
          <w:color w:val="000000"/>
          <w:sz w:val="24"/>
        </w:rPr>
        <w:t>解除合同。</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r>
        <w:rPr>
          <w:rFonts w:ascii="宋体" w:hAnsi="宋体"/>
          <w:color w:val="000000"/>
          <w:sz w:val="24"/>
        </w:rPr>
        <w:t xml:space="preserve"> 如在使用过程中发生问题，乙方在接到甲方通知后在</w:t>
      </w:r>
      <w:r>
        <w:rPr>
          <w:rFonts w:hint="eastAsia" w:ascii="宋体" w:hAnsi="宋体"/>
          <w:color w:val="000000"/>
          <w:sz w:val="24"/>
          <w:u w:val="single"/>
        </w:rPr>
        <w:t xml:space="preserve">   </w:t>
      </w:r>
      <w:r>
        <w:rPr>
          <w:rFonts w:ascii="宋体" w:hAnsi="宋体"/>
          <w:color w:val="000000"/>
          <w:sz w:val="24"/>
        </w:rPr>
        <w:t>小时内到达甲方现场。</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ascii="宋体" w:hAnsi="宋体"/>
          <w:color w:val="000000"/>
          <w:sz w:val="24"/>
        </w:rPr>
        <w:t>在服务质量保证期内，乙方应对出现的质量及安全问题负责处理解决并承担一切费用。</w:t>
      </w:r>
    </w:p>
    <w:p>
      <w:pPr>
        <w:spacing w:line="360" w:lineRule="auto"/>
        <w:ind w:firstLine="480" w:firstLineChars="200"/>
        <w:rPr>
          <w:rFonts w:hint="eastAsia" w:ascii="宋体" w:hAnsi="宋体"/>
          <w:color w:val="000000"/>
          <w:sz w:val="24"/>
        </w:rPr>
      </w:pPr>
      <w:r>
        <w:rPr>
          <w:rFonts w:ascii="宋体" w:hAnsi="宋体"/>
          <w:color w:val="000000"/>
          <w:sz w:val="24"/>
        </w:rPr>
        <w:t>十</w:t>
      </w:r>
      <w:r>
        <w:rPr>
          <w:rFonts w:hint="eastAsia" w:ascii="宋体" w:hAnsi="宋体"/>
          <w:color w:val="000000"/>
          <w:sz w:val="24"/>
        </w:rPr>
        <w:t>二</w:t>
      </w:r>
      <w:r>
        <w:rPr>
          <w:rFonts w:ascii="宋体" w:hAnsi="宋体"/>
          <w:color w:val="000000"/>
          <w:sz w:val="24"/>
        </w:rPr>
        <w:t>、</w:t>
      </w:r>
      <w:r>
        <w:rPr>
          <w:rFonts w:hint="eastAsia" w:ascii="宋体" w:hAnsi="宋体"/>
          <w:color w:val="000000"/>
          <w:sz w:val="24"/>
        </w:rPr>
        <w:t>违约责任</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1.甲方无正当理由拒绝接收服务的，甲方向乙方偿付合同款项百分之</w:t>
      </w:r>
      <w:r>
        <w:rPr>
          <w:rFonts w:hint="eastAsia" w:ascii="宋体" w:hAnsi="宋体"/>
          <w:color w:val="000000"/>
          <w:sz w:val="24"/>
          <w:u w:val="single"/>
        </w:rPr>
        <w:t xml:space="preserve"> 五 </w:t>
      </w:r>
      <w:r>
        <w:rPr>
          <w:rFonts w:hint="eastAsia" w:ascii="宋体" w:hAnsi="宋体"/>
          <w:color w:val="000000"/>
          <w:sz w:val="24"/>
        </w:rPr>
        <w:t>作为违约金。</w:t>
      </w:r>
    </w:p>
    <w:p>
      <w:pPr>
        <w:spacing w:line="360" w:lineRule="auto"/>
        <w:ind w:firstLine="480" w:firstLineChars="200"/>
        <w:rPr>
          <w:rFonts w:hint="eastAsia" w:ascii="宋体" w:hAnsi="宋体"/>
          <w:color w:val="000000"/>
          <w:sz w:val="24"/>
        </w:rPr>
      </w:pPr>
      <w:r>
        <w:rPr>
          <w:rFonts w:hint="eastAsia" w:ascii="宋体" w:hAnsi="宋体"/>
          <w:color w:val="000000"/>
          <w:sz w:val="24"/>
        </w:rPr>
        <w:t>2.甲方无故逾期验收和办理款项支付手续的，甲方应按逾期付款总额每日万分之</w:t>
      </w:r>
      <w:r>
        <w:rPr>
          <w:rFonts w:hint="eastAsia" w:ascii="宋体" w:hAnsi="宋体"/>
          <w:color w:val="000000"/>
          <w:sz w:val="24"/>
          <w:u w:val="single"/>
        </w:rPr>
        <w:t xml:space="preserve"> 五</w:t>
      </w:r>
      <w:r>
        <w:rPr>
          <w:rFonts w:hint="eastAsia" w:ascii="宋体" w:hAnsi="宋体"/>
          <w:color w:val="000000"/>
          <w:sz w:val="24"/>
        </w:rPr>
        <w:t>向乙方支付违约金。</w:t>
      </w:r>
    </w:p>
    <w:p>
      <w:pPr>
        <w:spacing w:line="360" w:lineRule="auto"/>
        <w:ind w:firstLine="480" w:firstLineChars="200"/>
        <w:rPr>
          <w:rFonts w:hint="eastAsia" w:ascii="宋体" w:hAnsi="宋体"/>
          <w:color w:val="000000"/>
          <w:sz w:val="24"/>
        </w:rPr>
      </w:pPr>
      <w:r>
        <w:rPr>
          <w:rFonts w:hint="eastAsia" w:ascii="宋体" w:hAnsi="宋体"/>
          <w:color w:val="000000"/>
          <w:sz w:val="24"/>
        </w:rPr>
        <w:t>3.乙方未能如期提供服务的，每日向甲方支付合同款项的千分之</w:t>
      </w:r>
      <w:r>
        <w:rPr>
          <w:rFonts w:hint="eastAsia" w:ascii="宋体" w:hAnsi="宋体"/>
          <w:color w:val="000000"/>
          <w:sz w:val="24"/>
          <w:u w:val="single"/>
        </w:rPr>
        <w:t xml:space="preserve"> 六 </w:t>
      </w:r>
      <w:r>
        <w:rPr>
          <w:rFonts w:hint="eastAsia" w:ascii="宋体" w:hAnsi="宋体"/>
          <w:color w:val="000000"/>
          <w:sz w:val="24"/>
        </w:rPr>
        <w:t>作为违约金。乙方超过约定日期10个工作日仍不能提供服务的，甲方可解除本合同，不予退还履约保证金，如造成甲方损失超过履约保证金的，超出部分由乙方继续承担赔偿责任。</w:t>
      </w:r>
    </w:p>
    <w:p>
      <w:pPr>
        <w:spacing w:line="360" w:lineRule="auto"/>
        <w:ind w:firstLine="480" w:firstLineChars="200"/>
        <w:rPr>
          <w:rFonts w:hint="eastAsia" w:ascii="宋体" w:hAnsi="宋体"/>
          <w:color w:val="000000"/>
          <w:sz w:val="24"/>
        </w:rPr>
      </w:pPr>
      <w:r>
        <w:rPr>
          <w:rFonts w:hint="eastAsia" w:ascii="宋体" w:hAnsi="宋体"/>
          <w:color w:val="000000"/>
          <w:sz w:val="24"/>
        </w:rPr>
        <w:t>4.供方在服务项目验收合格之日起保修期内违反本合同有关承诺保证的，需方将有权不予退还质量保证金，损失赔偿不足部分，由乙方承担赔偿。</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5.如发现乙方违反招投标文件和合同的有关规定，甲方有权根据约定和《杭州市政府采购供应商合同履行和售后服务考核暂行办法》，对乙方进行处罚，并有权提前终止合同。</w:t>
      </w:r>
    </w:p>
    <w:p>
      <w:pPr>
        <w:spacing w:line="360" w:lineRule="auto"/>
        <w:ind w:firstLine="480" w:firstLineChars="200"/>
        <w:rPr>
          <w:rFonts w:hint="eastAsia" w:ascii="宋体" w:hAnsi="宋体"/>
          <w:color w:val="000000"/>
          <w:sz w:val="24"/>
        </w:rPr>
      </w:pPr>
      <w:r>
        <w:rPr>
          <w:rFonts w:hint="eastAsia" w:ascii="宋体" w:hAnsi="宋体"/>
          <w:color w:val="000000"/>
          <w:sz w:val="24"/>
        </w:rPr>
        <w:t>十三、争议的解决</w:t>
      </w:r>
      <w:r>
        <w:rPr>
          <w:rFonts w:hint="eastAsia" w:ascii="宋体" w:hAnsi="宋体" w:cs="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因本合同引起的或与本合同有关的任何争议，合同双方应首先通过协商解决，达成书面协议，如协商不成，可选择下列第</w:t>
      </w:r>
      <w:r>
        <w:rPr>
          <w:rFonts w:hint="eastAsia" w:ascii="宋体" w:hAnsi="宋体"/>
          <w:color w:val="000000"/>
          <w:sz w:val="24"/>
          <w:u w:val="single"/>
        </w:rPr>
        <w:t xml:space="preserve">      </w:t>
      </w:r>
      <w:r>
        <w:rPr>
          <w:rFonts w:hint="eastAsia" w:ascii="宋体" w:hAnsi="宋体"/>
          <w:color w:val="000000"/>
          <w:sz w:val="24"/>
        </w:rPr>
        <w:t>种方式解决。</w:t>
      </w:r>
    </w:p>
    <w:p>
      <w:pPr>
        <w:spacing w:line="360" w:lineRule="auto"/>
        <w:ind w:firstLine="480" w:firstLineChars="200"/>
        <w:rPr>
          <w:rFonts w:hint="eastAsia" w:ascii="宋体" w:hAnsi="宋体"/>
          <w:color w:val="000000"/>
          <w:sz w:val="24"/>
        </w:rPr>
      </w:pPr>
      <w:r>
        <w:rPr>
          <w:rFonts w:hint="eastAsia" w:ascii="宋体" w:hAnsi="宋体"/>
          <w:color w:val="000000"/>
          <w:sz w:val="24"/>
        </w:rPr>
        <w:t>（1）提请杭州仲裁委员会按照该会仲裁规则进行仲裁，仲裁裁决是终局的，对合同双方均有约束力。</w:t>
      </w:r>
    </w:p>
    <w:p>
      <w:pPr>
        <w:spacing w:line="360" w:lineRule="auto"/>
        <w:ind w:firstLine="480" w:firstLineChars="200"/>
        <w:rPr>
          <w:rFonts w:hint="eastAsia" w:ascii="宋体" w:hAnsi="宋体"/>
          <w:color w:val="000000"/>
          <w:sz w:val="24"/>
        </w:rPr>
      </w:pPr>
      <w:r>
        <w:rPr>
          <w:rFonts w:hint="eastAsia" w:ascii="宋体" w:hAnsi="宋体"/>
          <w:color w:val="000000"/>
          <w:sz w:val="24"/>
        </w:rPr>
        <w:t>（2）向有管辖权的人民法院提起诉讼。</w:t>
      </w:r>
    </w:p>
    <w:p>
      <w:pPr>
        <w:spacing w:line="360" w:lineRule="auto"/>
        <w:ind w:firstLine="480" w:firstLineChars="200"/>
        <w:rPr>
          <w:rFonts w:hint="eastAsia" w:ascii="宋体" w:hAnsi="宋体"/>
          <w:color w:val="000000"/>
          <w:sz w:val="24"/>
        </w:rPr>
      </w:pPr>
      <w:r>
        <w:rPr>
          <w:rFonts w:hint="eastAsia" w:ascii="宋体" w:hAnsi="宋体"/>
          <w:color w:val="000000"/>
          <w:sz w:val="24"/>
        </w:rPr>
        <w:t>十四、合同生效</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1.中标方持中标通知书作为与需方签订合同的凭证。</w:t>
      </w:r>
    </w:p>
    <w:p>
      <w:pPr>
        <w:spacing w:line="360" w:lineRule="auto"/>
        <w:ind w:firstLine="480" w:firstLineChars="200"/>
        <w:rPr>
          <w:rFonts w:hint="eastAsia" w:ascii="宋体" w:hAnsi="宋体"/>
          <w:color w:val="000000"/>
          <w:sz w:val="24"/>
        </w:rPr>
      </w:pPr>
      <w:r>
        <w:rPr>
          <w:rFonts w:hint="eastAsia" w:ascii="宋体" w:hAnsi="宋体"/>
          <w:color w:val="000000"/>
          <w:sz w:val="24"/>
        </w:rPr>
        <w:t>2.本合同经需、供双方法定代表人（符合浙财采监【2013】24号第六条规定的为负责人）或其授权委托人签字并加盖单位公章后生效。</w:t>
      </w:r>
    </w:p>
    <w:p>
      <w:pPr>
        <w:spacing w:line="360" w:lineRule="auto"/>
        <w:ind w:firstLine="480" w:firstLineChars="200"/>
        <w:rPr>
          <w:rFonts w:hint="eastAsia" w:ascii="宋体" w:hAnsi="宋体" w:cs="宋体"/>
          <w:color w:val="000000"/>
          <w:sz w:val="24"/>
        </w:rPr>
      </w:pPr>
      <w:r>
        <w:rPr>
          <w:rFonts w:hint="eastAsia" w:ascii="宋体" w:hAnsi="宋体"/>
          <w:color w:val="000000"/>
          <w:sz w:val="24"/>
        </w:rPr>
        <w:t>需方（盖章）：                      供方（盖章）：</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地址：                             地址：</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法定代表人（或委托代理人）签名：   法定代表人（或委托代理人）签名：</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联系电话：                         联系电话：</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邮政编码：                         邮政编码：</w:t>
      </w:r>
      <w:r>
        <w:rPr>
          <w:rFonts w:hint="eastAsia" w:ascii="宋体" w:hAnsi="宋体" w:cs="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开户银行：                         开户银行：  </w:t>
      </w:r>
      <w:r>
        <w:rPr>
          <w:rFonts w:hint="eastAsia" w:ascii="宋体" w:hAnsi="宋体" w:cs="宋体"/>
          <w:color w:val="000000"/>
          <w:sz w:val="24"/>
        </w:rPr>
        <w:t></w:t>
      </w:r>
      <w:r>
        <w:rPr>
          <w:rFonts w:hint="eastAsia" w:ascii="宋体" w:hAnsi="宋体"/>
          <w:color w:val="000000"/>
          <w:sz w:val="24"/>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帐号：                             帐号：</w:t>
      </w:r>
    </w:p>
    <w:bookmarkEnd w:id="64"/>
    <w:p>
      <w:pPr>
        <w:spacing w:line="360" w:lineRule="auto"/>
        <w:jc w:val="center"/>
        <w:rPr>
          <w:rFonts w:hint="eastAsia" w:ascii="宋体" w:hAnsi="宋体"/>
          <w:b/>
          <w:bCs/>
          <w:color w:val="000000"/>
          <w:sz w:val="24"/>
        </w:rPr>
      </w:pPr>
      <w:r>
        <w:rPr>
          <w:rFonts w:ascii="宋体" w:hAnsi="宋体"/>
          <w:color w:val="000000"/>
          <w:sz w:val="24"/>
        </w:rPr>
        <w:br w:type="page"/>
      </w:r>
      <w:r>
        <w:rPr>
          <w:rFonts w:hint="eastAsia" w:ascii="宋体" w:hAnsi="宋体"/>
          <w:b/>
          <w:bCs/>
          <w:color w:val="000000"/>
          <w:sz w:val="24"/>
        </w:rPr>
        <w:t>公开招标（综合评分法）投标文件初审表（样表）</w:t>
      </w:r>
    </w:p>
    <w:p>
      <w:pPr>
        <w:spacing w:line="360" w:lineRule="auto"/>
        <w:jc w:val="center"/>
        <w:rPr>
          <w:rFonts w:hint="eastAsia" w:ascii="宋体" w:hAnsi="宋体"/>
          <w:color w:val="000000"/>
          <w:sz w:val="24"/>
        </w:rPr>
      </w:pPr>
      <w:r>
        <w:rPr>
          <w:rFonts w:hint="eastAsia" w:ascii="宋体" w:hAnsi="宋体"/>
          <w:color w:val="000000"/>
          <w:sz w:val="24"/>
        </w:rPr>
        <w:t>（不列入招标文件，作为评标资料格式）</w:t>
      </w:r>
    </w:p>
    <w:p>
      <w:pPr>
        <w:spacing w:line="360" w:lineRule="auto"/>
        <w:ind w:firstLine="480" w:firstLineChars="200"/>
        <w:rPr>
          <w:rFonts w:hint="eastAsia" w:ascii="宋体" w:hAnsi="宋体"/>
          <w:color w:val="000000"/>
          <w:sz w:val="24"/>
        </w:rPr>
      </w:pPr>
      <w:r>
        <w:rPr>
          <w:rFonts w:hint="eastAsia" w:ascii="宋体" w:hAnsi="宋体"/>
          <w:color w:val="000000"/>
          <w:sz w:val="24"/>
        </w:rPr>
        <w:t>项目名称：                              项目编号：XZCG  20**－GK－</w:t>
      </w:r>
    </w:p>
    <w:p>
      <w:pPr>
        <w:spacing w:line="360" w:lineRule="auto"/>
        <w:ind w:firstLine="480" w:firstLineChars="200"/>
        <w:rPr>
          <w:rFonts w:hint="eastAsia" w:ascii="宋体" w:hAnsi="宋体"/>
          <w:color w:val="000000"/>
          <w:sz w:val="24"/>
        </w:rPr>
      </w:pPr>
      <w:r>
        <w:rPr>
          <w:rFonts w:hint="eastAsia" w:ascii="宋体" w:hAnsi="宋体"/>
          <w:color w:val="000000"/>
          <w:sz w:val="24"/>
        </w:rPr>
        <w:t>开标时间：20**年**月**日**时</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549"/>
        <w:gridCol w:w="1121"/>
        <w:gridCol w:w="2525"/>
        <w:gridCol w:w="509"/>
        <w:gridCol w:w="478"/>
        <w:gridCol w:w="6"/>
        <w:gridCol w:w="474"/>
        <w:gridCol w:w="442"/>
        <w:gridCol w:w="447"/>
        <w:gridCol w:w="7"/>
        <w:gridCol w:w="478"/>
        <w:gridCol w:w="47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2" w:hRule="atLeast"/>
          <w:jc w:val="center"/>
        </w:trPr>
        <w:tc>
          <w:tcPr>
            <w:tcW w:w="4788" w:type="dxa"/>
            <w:gridSpan w:val="4"/>
            <w:tcBorders>
              <w:top w:val="single" w:color="auto" w:sz="8" w:space="0"/>
              <w:left w:val="single" w:color="auto" w:sz="8" w:space="0"/>
              <w:bottom w:val="single" w:color="auto" w:sz="8" w:space="0"/>
              <w:tl2br w:val="single" w:color="auto" w:sz="4" w:space="0"/>
            </w:tcBorders>
            <w:noWrap w:val="0"/>
            <w:vAlign w:val="center"/>
          </w:tcPr>
          <w:p>
            <w:pPr>
              <w:ind w:firstLine="3480" w:firstLineChars="1450"/>
              <w:rPr>
                <w:rFonts w:hint="eastAsia"/>
                <w:color w:val="000000"/>
                <w:sz w:val="24"/>
              </w:rPr>
            </w:pPr>
            <w:r>
              <w:rPr>
                <w:rFonts w:hint="eastAsia"/>
                <w:color w:val="000000"/>
                <w:sz w:val="24"/>
              </w:rPr>
              <w:t>投标人</w:t>
            </w:r>
          </w:p>
          <w:p>
            <w:pPr>
              <w:ind w:firstLine="480" w:firstLineChars="200"/>
              <w:rPr>
                <w:rFonts w:hint="eastAsia"/>
                <w:color w:val="000000"/>
              </w:rPr>
            </w:pPr>
            <w:r>
              <w:rPr>
                <w:rFonts w:hint="eastAsia"/>
                <w:color w:val="000000"/>
                <w:sz w:val="24"/>
              </w:rPr>
              <w:t>评议内容</w:t>
            </w:r>
          </w:p>
        </w:tc>
        <w:tc>
          <w:tcPr>
            <w:tcW w:w="509" w:type="dxa"/>
            <w:tcBorders>
              <w:top w:val="single" w:color="auto" w:sz="8" w:space="0"/>
              <w:bottom w:val="single" w:color="auto" w:sz="8" w:space="0"/>
            </w:tcBorders>
            <w:noWrap w:val="0"/>
            <w:vAlign w:val="center"/>
          </w:tcPr>
          <w:p>
            <w:pPr>
              <w:rPr>
                <w:rFonts w:hint="eastAsia"/>
                <w:color w:val="000000"/>
              </w:rPr>
            </w:pPr>
          </w:p>
        </w:tc>
        <w:tc>
          <w:tcPr>
            <w:tcW w:w="484" w:type="dxa"/>
            <w:gridSpan w:val="2"/>
            <w:tcBorders>
              <w:top w:val="single" w:color="auto" w:sz="8" w:space="0"/>
              <w:bottom w:val="single" w:color="auto" w:sz="8" w:space="0"/>
            </w:tcBorders>
            <w:noWrap w:val="0"/>
            <w:vAlign w:val="center"/>
          </w:tcPr>
          <w:p>
            <w:pPr>
              <w:rPr>
                <w:rFonts w:hint="eastAsia"/>
                <w:color w:val="000000"/>
              </w:rPr>
            </w:pPr>
          </w:p>
        </w:tc>
        <w:tc>
          <w:tcPr>
            <w:tcW w:w="474" w:type="dxa"/>
            <w:tcBorders>
              <w:top w:val="single" w:color="auto" w:sz="8" w:space="0"/>
              <w:bottom w:val="single" w:color="auto" w:sz="8" w:space="0"/>
            </w:tcBorders>
            <w:noWrap w:val="0"/>
            <w:vAlign w:val="center"/>
          </w:tcPr>
          <w:p>
            <w:pPr>
              <w:rPr>
                <w:rFonts w:hint="eastAsia"/>
                <w:color w:val="000000"/>
              </w:rPr>
            </w:pPr>
          </w:p>
        </w:tc>
        <w:tc>
          <w:tcPr>
            <w:tcW w:w="442" w:type="dxa"/>
            <w:tcBorders>
              <w:top w:val="single" w:color="auto" w:sz="8" w:space="0"/>
              <w:bottom w:val="single" w:color="auto" w:sz="8" w:space="0"/>
            </w:tcBorders>
            <w:noWrap w:val="0"/>
            <w:vAlign w:val="center"/>
          </w:tcPr>
          <w:p>
            <w:pPr>
              <w:rPr>
                <w:rFonts w:hint="eastAsia"/>
                <w:color w:val="000000"/>
              </w:rPr>
            </w:pPr>
          </w:p>
        </w:tc>
        <w:tc>
          <w:tcPr>
            <w:tcW w:w="447" w:type="dxa"/>
            <w:tcBorders>
              <w:top w:val="single" w:color="auto" w:sz="8" w:space="0"/>
              <w:bottom w:val="single" w:color="auto" w:sz="8" w:space="0"/>
            </w:tcBorders>
            <w:noWrap w:val="0"/>
            <w:vAlign w:val="center"/>
          </w:tcPr>
          <w:p>
            <w:pPr>
              <w:rPr>
                <w:rFonts w:hint="eastAsia"/>
                <w:color w:val="000000"/>
              </w:rPr>
            </w:pPr>
          </w:p>
        </w:tc>
        <w:tc>
          <w:tcPr>
            <w:tcW w:w="485" w:type="dxa"/>
            <w:gridSpan w:val="2"/>
            <w:tcBorders>
              <w:top w:val="single" w:color="auto" w:sz="8" w:space="0"/>
              <w:bottom w:val="single" w:color="auto" w:sz="8" w:space="0"/>
            </w:tcBorders>
            <w:noWrap w:val="0"/>
            <w:vAlign w:val="center"/>
          </w:tcPr>
          <w:p>
            <w:pPr>
              <w:rPr>
                <w:rFonts w:hint="eastAsia"/>
                <w:color w:val="000000"/>
              </w:rPr>
            </w:pPr>
          </w:p>
        </w:tc>
        <w:tc>
          <w:tcPr>
            <w:tcW w:w="478" w:type="dxa"/>
            <w:tcBorders>
              <w:top w:val="single" w:color="auto" w:sz="8" w:space="0"/>
              <w:bottom w:val="single" w:color="auto" w:sz="8" w:space="0"/>
            </w:tcBorders>
            <w:noWrap w:val="0"/>
            <w:vAlign w:val="center"/>
          </w:tcPr>
          <w:p>
            <w:pPr>
              <w:rPr>
                <w:rFonts w:hint="eastAsia"/>
                <w:color w:val="000000"/>
              </w:rPr>
            </w:pPr>
          </w:p>
        </w:tc>
        <w:tc>
          <w:tcPr>
            <w:tcW w:w="417" w:type="dxa"/>
            <w:tcBorders>
              <w:top w:val="single" w:color="auto" w:sz="8" w:space="0"/>
              <w:bottom w:val="single" w:color="auto" w:sz="8"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52" w:hRule="atLeast"/>
          <w:jc w:val="center"/>
        </w:trPr>
        <w:tc>
          <w:tcPr>
            <w:tcW w:w="593" w:type="dxa"/>
            <w:vMerge w:val="restart"/>
            <w:tcBorders>
              <w:top w:val="single" w:color="auto" w:sz="8" w:space="0"/>
              <w:left w:val="single" w:color="auto" w:sz="8" w:space="0"/>
            </w:tcBorders>
            <w:noWrap w:val="0"/>
            <w:textDirection w:val="tbRlV"/>
            <w:vAlign w:val="center"/>
          </w:tcPr>
          <w:p>
            <w:pPr>
              <w:jc w:val="center"/>
              <w:rPr>
                <w:rFonts w:hint="eastAsia" w:ascii="宋体" w:hAnsi="宋体"/>
                <w:color w:val="000000"/>
                <w:sz w:val="24"/>
              </w:rPr>
            </w:pPr>
            <w:r>
              <w:rPr>
                <w:rFonts w:hint="eastAsia" w:ascii="宋体" w:hAnsi="宋体"/>
                <w:color w:val="000000"/>
                <w:sz w:val="24"/>
              </w:rPr>
              <w:t>资格性检查</w:t>
            </w:r>
          </w:p>
        </w:tc>
        <w:tc>
          <w:tcPr>
            <w:tcW w:w="549" w:type="dxa"/>
            <w:tcBorders>
              <w:top w:val="single" w:color="auto" w:sz="8" w:space="0"/>
            </w:tcBorders>
            <w:noWrap w:val="0"/>
            <w:vAlign w:val="center"/>
          </w:tcPr>
          <w:p>
            <w:pPr>
              <w:jc w:val="center"/>
              <w:rPr>
                <w:rFonts w:hint="eastAsia"/>
                <w:color w:val="000000"/>
                <w:sz w:val="24"/>
              </w:rPr>
            </w:pPr>
            <w:r>
              <w:rPr>
                <w:rFonts w:hint="eastAsia"/>
                <w:color w:val="000000"/>
                <w:sz w:val="24"/>
              </w:rPr>
              <w:t>1</w:t>
            </w:r>
          </w:p>
        </w:tc>
        <w:tc>
          <w:tcPr>
            <w:tcW w:w="3646" w:type="dxa"/>
            <w:gridSpan w:val="2"/>
            <w:tcBorders>
              <w:top w:val="single" w:color="auto" w:sz="8" w:space="0"/>
            </w:tcBorders>
            <w:noWrap w:val="0"/>
            <w:vAlign w:val="center"/>
          </w:tcPr>
          <w:p>
            <w:pPr>
              <w:rPr>
                <w:rFonts w:hint="eastAsia"/>
                <w:color w:val="000000"/>
                <w:sz w:val="24"/>
              </w:rPr>
            </w:pPr>
            <w:r>
              <w:rPr>
                <w:rFonts w:hint="eastAsia"/>
                <w:color w:val="000000"/>
                <w:sz w:val="24"/>
              </w:rPr>
              <w:t>是否涉及无效投标24.1.1条款</w:t>
            </w:r>
          </w:p>
        </w:tc>
        <w:tc>
          <w:tcPr>
            <w:tcW w:w="509" w:type="dxa"/>
            <w:tcBorders>
              <w:top w:val="single" w:color="auto" w:sz="8" w:space="0"/>
            </w:tcBorders>
            <w:noWrap w:val="0"/>
            <w:vAlign w:val="center"/>
          </w:tcPr>
          <w:p>
            <w:pPr>
              <w:rPr>
                <w:rFonts w:hint="eastAsia"/>
                <w:color w:val="000000"/>
              </w:rPr>
            </w:pPr>
          </w:p>
        </w:tc>
        <w:tc>
          <w:tcPr>
            <w:tcW w:w="484" w:type="dxa"/>
            <w:gridSpan w:val="2"/>
            <w:tcBorders>
              <w:top w:val="single" w:color="auto" w:sz="8" w:space="0"/>
            </w:tcBorders>
            <w:noWrap w:val="0"/>
            <w:vAlign w:val="center"/>
          </w:tcPr>
          <w:p>
            <w:pPr>
              <w:rPr>
                <w:rFonts w:hint="eastAsia"/>
                <w:color w:val="000000"/>
              </w:rPr>
            </w:pPr>
          </w:p>
        </w:tc>
        <w:tc>
          <w:tcPr>
            <w:tcW w:w="474" w:type="dxa"/>
            <w:tcBorders>
              <w:top w:val="single" w:color="auto" w:sz="8" w:space="0"/>
            </w:tcBorders>
            <w:noWrap w:val="0"/>
            <w:vAlign w:val="center"/>
          </w:tcPr>
          <w:p>
            <w:pPr>
              <w:rPr>
                <w:rFonts w:hint="eastAsia"/>
                <w:color w:val="000000"/>
              </w:rPr>
            </w:pPr>
          </w:p>
        </w:tc>
        <w:tc>
          <w:tcPr>
            <w:tcW w:w="442" w:type="dxa"/>
            <w:tcBorders>
              <w:top w:val="single" w:color="auto" w:sz="8" w:space="0"/>
            </w:tcBorders>
            <w:noWrap w:val="0"/>
            <w:vAlign w:val="center"/>
          </w:tcPr>
          <w:p>
            <w:pPr>
              <w:rPr>
                <w:rFonts w:hint="eastAsia"/>
                <w:color w:val="000000"/>
              </w:rPr>
            </w:pPr>
          </w:p>
        </w:tc>
        <w:tc>
          <w:tcPr>
            <w:tcW w:w="447" w:type="dxa"/>
            <w:tcBorders>
              <w:top w:val="single" w:color="auto" w:sz="8" w:space="0"/>
            </w:tcBorders>
            <w:noWrap w:val="0"/>
            <w:vAlign w:val="center"/>
          </w:tcPr>
          <w:p>
            <w:pPr>
              <w:rPr>
                <w:rFonts w:hint="eastAsia"/>
                <w:color w:val="000000"/>
              </w:rPr>
            </w:pPr>
          </w:p>
        </w:tc>
        <w:tc>
          <w:tcPr>
            <w:tcW w:w="485" w:type="dxa"/>
            <w:gridSpan w:val="2"/>
            <w:tcBorders>
              <w:top w:val="single" w:color="auto" w:sz="8" w:space="0"/>
            </w:tcBorders>
            <w:noWrap w:val="0"/>
            <w:vAlign w:val="center"/>
          </w:tcPr>
          <w:p>
            <w:pPr>
              <w:rPr>
                <w:rFonts w:hint="eastAsia"/>
                <w:color w:val="000000"/>
              </w:rPr>
            </w:pPr>
          </w:p>
        </w:tc>
        <w:tc>
          <w:tcPr>
            <w:tcW w:w="478" w:type="dxa"/>
            <w:tcBorders>
              <w:top w:val="single" w:color="auto" w:sz="8" w:space="0"/>
            </w:tcBorders>
            <w:noWrap w:val="0"/>
            <w:vAlign w:val="center"/>
          </w:tcPr>
          <w:p>
            <w:pPr>
              <w:rPr>
                <w:rFonts w:hint="eastAsia"/>
                <w:color w:val="000000"/>
              </w:rPr>
            </w:pPr>
          </w:p>
        </w:tc>
        <w:tc>
          <w:tcPr>
            <w:tcW w:w="417" w:type="dxa"/>
            <w:tcBorders>
              <w:top w:val="single" w:color="auto" w:sz="8"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9" w:hRule="atLeast"/>
          <w:jc w:val="center"/>
        </w:trPr>
        <w:tc>
          <w:tcPr>
            <w:tcW w:w="593" w:type="dxa"/>
            <w:vMerge w:val="continue"/>
            <w:tcBorders>
              <w:left w:val="single" w:color="auto" w:sz="8" w:space="0"/>
            </w:tcBorders>
            <w:noWrap w:val="0"/>
            <w:textDirection w:val="tbRlV"/>
            <w:vAlign w:val="center"/>
          </w:tcPr>
          <w:p>
            <w:pPr>
              <w:jc w:val="center"/>
              <w:rPr>
                <w:rFonts w:hint="eastAsia" w:ascii="宋体" w:hAnsi="宋体"/>
                <w:color w:val="000000"/>
                <w:sz w:val="24"/>
              </w:rPr>
            </w:pPr>
          </w:p>
        </w:tc>
        <w:tc>
          <w:tcPr>
            <w:tcW w:w="549" w:type="dxa"/>
            <w:noWrap w:val="0"/>
            <w:vAlign w:val="center"/>
          </w:tcPr>
          <w:p>
            <w:pPr>
              <w:jc w:val="center"/>
              <w:rPr>
                <w:rFonts w:hint="eastAsia"/>
                <w:color w:val="000000"/>
                <w:sz w:val="24"/>
              </w:rPr>
            </w:pPr>
            <w:r>
              <w:rPr>
                <w:rFonts w:hint="eastAsia"/>
                <w:color w:val="000000"/>
                <w:sz w:val="24"/>
              </w:rPr>
              <w:t>2</w:t>
            </w:r>
          </w:p>
        </w:tc>
        <w:tc>
          <w:tcPr>
            <w:tcW w:w="3646" w:type="dxa"/>
            <w:gridSpan w:val="2"/>
            <w:noWrap w:val="0"/>
            <w:vAlign w:val="center"/>
          </w:tcPr>
          <w:p>
            <w:pPr>
              <w:rPr>
                <w:rFonts w:hint="eastAsia"/>
                <w:color w:val="000000"/>
                <w:sz w:val="24"/>
              </w:rPr>
            </w:pPr>
            <w:r>
              <w:rPr>
                <w:rFonts w:hint="eastAsia"/>
                <w:color w:val="000000"/>
                <w:sz w:val="24"/>
              </w:rPr>
              <w:t>是否涉及无效投标24.1.3条款</w:t>
            </w:r>
          </w:p>
        </w:tc>
        <w:tc>
          <w:tcPr>
            <w:tcW w:w="509" w:type="dxa"/>
            <w:noWrap w:val="0"/>
            <w:vAlign w:val="center"/>
          </w:tcPr>
          <w:p>
            <w:pPr>
              <w:rPr>
                <w:rFonts w:hint="eastAsia"/>
                <w:color w:val="000000"/>
              </w:rPr>
            </w:pPr>
          </w:p>
        </w:tc>
        <w:tc>
          <w:tcPr>
            <w:tcW w:w="484" w:type="dxa"/>
            <w:gridSpan w:val="2"/>
            <w:noWrap w:val="0"/>
            <w:vAlign w:val="center"/>
          </w:tcPr>
          <w:p>
            <w:pPr>
              <w:rPr>
                <w:rFonts w:hint="eastAsia"/>
                <w:color w:val="000000"/>
              </w:rPr>
            </w:pPr>
          </w:p>
        </w:tc>
        <w:tc>
          <w:tcPr>
            <w:tcW w:w="474" w:type="dxa"/>
            <w:noWrap w:val="0"/>
            <w:vAlign w:val="center"/>
          </w:tcPr>
          <w:p>
            <w:pPr>
              <w:rPr>
                <w:rFonts w:hint="eastAsia"/>
                <w:color w:val="000000"/>
              </w:rPr>
            </w:pPr>
          </w:p>
        </w:tc>
        <w:tc>
          <w:tcPr>
            <w:tcW w:w="442" w:type="dxa"/>
            <w:noWrap w:val="0"/>
            <w:vAlign w:val="center"/>
          </w:tcPr>
          <w:p>
            <w:pPr>
              <w:rPr>
                <w:rFonts w:hint="eastAsia"/>
                <w:color w:val="000000"/>
              </w:rPr>
            </w:pPr>
          </w:p>
        </w:tc>
        <w:tc>
          <w:tcPr>
            <w:tcW w:w="447" w:type="dxa"/>
            <w:noWrap w:val="0"/>
            <w:vAlign w:val="center"/>
          </w:tcPr>
          <w:p>
            <w:pPr>
              <w:rPr>
                <w:rFonts w:hint="eastAsia"/>
                <w:color w:val="000000"/>
              </w:rPr>
            </w:pPr>
          </w:p>
        </w:tc>
        <w:tc>
          <w:tcPr>
            <w:tcW w:w="485" w:type="dxa"/>
            <w:gridSpan w:val="2"/>
            <w:noWrap w:val="0"/>
            <w:vAlign w:val="center"/>
          </w:tcPr>
          <w:p>
            <w:pPr>
              <w:rPr>
                <w:rFonts w:hint="eastAsia"/>
                <w:color w:val="000000"/>
              </w:rPr>
            </w:pPr>
          </w:p>
        </w:tc>
        <w:tc>
          <w:tcPr>
            <w:tcW w:w="478" w:type="dxa"/>
            <w:noWrap w:val="0"/>
            <w:vAlign w:val="center"/>
          </w:tcPr>
          <w:p>
            <w:pPr>
              <w:rPr>
                <w:rFonts w:hint="eastAsia"/>
                <w:color w:val="000000"/>
              </w:rPr>
            </w:pPr>
          </w:p>
        </w:tc>
        <w:tc>
          <w:tcPr>
            <w:tcW w:w="417" w:type="dxa"/>
            <w:tcBorders>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5" w:hRule="atLeast"/>
          <w:jc w:val="center"/>
        </w:trPr>
        <w:tc>
          <w:tcPr>
            <w:tcW w:w="593" w:type="dxa"/>
            <w:vMerge w:val="continue"/>
            <w:tcBorders>
              <w:left w:val="single" w:color="auto" w:sz="8" w:space="0"/>
            </w:tcBorders>
            <w:noWrap w:val="0"/>
            <w:textDirection w:val="tbRlV"/>
            <w:vAlign w:val="center"/>
          </w:tcPr>
          <w:p>
            <w:pPr>
              <w:jc w:val="center"/>
              <w:rPr>
                <w:rFonts w:hint="eastAsia" w:ascii="宋体" w:hAnsi="宋体"/>
                <w:color w:val="000000"/>
                <w:sz w:val="24"/>
              </w:rPr>
            </w:pPr>
          </w:p>
        </w:tc>
        <w:tc>
          <w:tcPr>
            <w:tcW w:w="549" w:type="dxa"/>
            <w:noWrap w:val="0"/>
            <w:vAlign w:val="center"/>
          </w:tcPr>
          <w:p>
            <w:pPr>
              <w:jc w:val="center"/>
              <w:rPr>
                <w:rFonts w:hint="eastAsia"/>
                <w:color w:val="000000"/>
                <w:sz w:val="24"/>
              </w:rPr>
            </w:pPr>
            <w:r>
              <w:rPr>
                <w:rFonts w:hint="eastAsia"/>
                <w:color w:val="000000"/>
                <w:sz w:val="24"/>
              </w:rPr>
              <w:t>3</w:t>
            </w:r>
          </w:p>
        </w:tc>
        <w:tc>
          <w:tcPr>
            <w:tcW w:w="3646" w:type="dxa"/>
            <w:gridSpan w:val="2"/>
            <w:noWrap w:val="0"/>
            <w:vAlign w:val="center"/>
          </w:tcPr>
          <w:p>
            <w:pPr>
              <w:rPr>
                <w:rFonts w:hint="eastAsia"/>
                <w:color w:val="000000"/>
                <w:sz w:val="24"/>
              </w:rPr>
            </w:pPr>
            <w:r>
              <w:rPr>
                <w:rFonts w:hint="eastAsia"/>
                <w:color w:val="000000"/>
                <w:sz w:val="24"/>
              </w:rPr>
              <w:t>是否涉及无效投标24.1.8条款</w:t>
            </w:r>
          </w:p>
        </w:tc>
        <w:tc>
          <w:tcPr>
            <w:tcW w:w="509" w:type="dxa"/>
            <w:noWrap w:val="0"/>
            <w:vAlign w:val="center"/>
          </w:tcPr>
          <w:p>
            <w:pPr>
              <w:rPr>
                <w:rFonts w:hint="eastAsia"/>
                <w:color w:val="000000"/>
              </w:rPr>
            </w:pPr>
          </w:p>
        </w:tc>
        <w:tc>
          <w:tcPr>
            <w:tcW w:w="484" w:type="dxa"/>
            <w:gridSpan w:val="2"/>
            <w:noWrap w:val="0"/>
            <w:vAlign w:val="center"/>
          </w:tcPr>
          <w:p>
            <w:pPr>
              <w:rPr>
                <w:rFonts w:hint="eastAsia"/>
                <w:color w:val="000000"/>
              </w:rPr>
            </w:pPr>
          </w:p>
        </w:tc>
        <w:tc>
          <w:tcPr>
            <w:tcW w:w="474" w:type="dxa"/>
            <w:noWrap w:val="0"/>
            <w:vAlign w:val="center"/>
          </w:tcPr>
          <w:p>
            <w:pPr>
              <w:rPr>
                <w:rFonts w:hint="eastAsia"/>
                <w:color w:val="000000"/>
              </w:rPr>
            </w:pPr>
          </w:p>
        </w:tc>
        <w:tc>
          <w:tcPr>
            <w:tcW w:w="442" w:type="dxa"/>
            <w:noWrap w:val="0"/>
            <w:vAlign w:val="center"/>
          </w:tcPr>
          <w:p>
            <w:pPr>
              <w:rPr>
                <w:rFonts w:hint="eastAsia"/>
                <w:color w:val="000000"/>
              </w:rPr>
            </w:pPr>
          </w:p>
        </w:tc>
        <w:tc>
          <w:tcPr>
            <w:tcW w:w="447" w:type="dxa"/>
            <w:noWrap w:val="0"/>
            <w:vAlign w:val="center"/>
          </w:tcPr>
          <w:p>
            <w:pPr>
              <w:rPr>
                <w:rFonts w:hint="eastAsia"/>
                <w:color w:val="000000"/>
              </w:rPr>
            </w:pPr>
          </w:p>
        </w:tc>
        <w:tc>
          <w:tcPr>
            <w:tcW w:w="485" w:type="dxa"/>
            <w:gridSpan w:val="2"/>
            <w:noWrap w:val="0"/>
            <w:vAlign w:val="center"/>
          </w:tcPr>
          <w:p>
            <w:pPr>
              <w:rPr>
                <w:rFonts w:hint="eastAsia"/>
                <w:color w:val="000000"/>
              </w:rPr>
            </w:pPr>
          </w:p>
        </w:tc>
        <w:tc>
          <w:tcPr>
            <w:tcW w:w="478" w:type="dxa"/>
            <w:noWrap w:val="0"/>
            <w:vAlign w:val="center"/>
          </w:tcPr>
          <w:p>
            <w:pPr>
              <w:rPr>
                <w:rFonts w:hint="eastAsia"/>
                <w:color w:val="000000"/>
              </w:rPr>
            </w:pPr>
          </w:p>
        </w:tc>
        <w:tc>
          <w:tcPr>
            <w:tcW w:w="417" w:type="dxa"/>
            <w:tcBorders>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8" w:hRule="atLeast"/>
          <w:jc w:val="center"/>
        </w:trPr>
        <w:tc>
          <w:tcPr>
            <w:tcW w:w="593" w:type="dxa"/>
            <w:vMerge w:val="continue"/>
            <w:tcBorders>
              <w:left w:val="single" w:color="auto" w:sz="8" w:space="0"/>
              <w:bottom w:val="single" w:color="auto" w:sz="8" w:space="0"/>
            </w:tcBorders>
            <w:noWrap w:val="0"/>
            <w:textDirection w:val="tbRlV"/>
            <w:vAlign w:val="center"/>
          </w:tcPr>
          <w:p>
            <w:pPr>
              <w:jc w:val="center"/>
              <w:rPr>
                <w:rFonts w:hint="eastAsia" w:ascii="宋体" w:hAnsi="宋体"/>
                <w:color w:val="000000"/>
                <w:sz w:val="24"/>
              </w:rPr>
            </w:pPr>
          </w:p>
        </w:tc>
        <w:tc>
          <w:tcPr>
            <w:tcW w:w="4195" w:type="dxa"/>
            <w:gridSpan w:val="3"/>
            <w:tcBorders>
              <w:bottom w:val="single" w:color="auto" w:sz="8" w:space="0"/>
            </w:tcBorders>
            <w:noWrap w:val="0"/>
            <w:vAlign w:val="center"/>
          </w:tcPr>
          <w:p>
            <w:pPr>
              <w:rPr>
                <w:rFonts w:hint="eastAsia"/>
                <w:color w:val="000000"/>
                <w:sz w:val="24"/>
              </w:rPr>
            </w:pPr>
            <w:r>
              <w:rPr>
                <w:rFonts w:hint="eastAsia"/>
                <w:color w:val="000000"/>
                <w:sz w:val="24"/>
              </w:rPr>
              <w:t>资格性检查总评[合格或不合格]</w:t>
            </w:r>
          </w:p>
        </w:tc>
        <w:tc>
          <w:tcPr>
            <w:tcW w:w="509" w:type="dxa"/>
            <w:tcBorders>
              <w:bottom w:val="single" w:color="auto" w:sz="8" w:space="0"/>
            </w:tcBorders>
            <w:noWrap w:val="0"/>
            <w:vAlign w:val="center"/>
          </w:tcPr>
          <w:p>
            <w:pPr>
              <w:rPr>
                <w:rFonts w:hint="eastAsia"/>
                <w:color w:val="000000"/>
              </w:rPr>
            </w:pPr>
          </w:p>
        </w:tc>
        <w:tc>
          <w:tcPr>
            <w:tcW w:w="484" w:type="dxa"/>
            <w:gridSpan w:val="2"/>
            <w:tcBorders>
              <w:bottom w:val="single" w:color="auto" w:sz="8" w:space="0"/>
            </w:tcBorders>
            <w:noWrap w:val="0"/>
            <w:vAlign w:val="center"/>
          </w:tcPr>
          <w:p>
            <w:pPr>
              <w:rPr>
                <w:rFonts w:hint="eastAsia"/>
                <w:color w:val="000000"/>
              </w:rPr>
            </w:pPr>
          </w:p>
        </w:tc>
        <w:tc>
          <w:tcPr>
            <w:tcW w:w="474" w:type="dxa"/>
            <w:tcBorders>
              <w:bottom w:val="single" w:color="auto" w:sz="8" w:space="0"/>
            </w:tcBorders>
            <w:noWrap w:val="0"/>
            <w:vAlign w:val="center"/>
          </w:tcPr>
          <w:p>
            <w:pPr>
              <w:rPr>
                <w:rFonts w:hint="eastAsia"/>
                <w:color w:val="000000"/>
              </w:rPr>
            </w:pPr>
          </w:p>
        </w:tc>
        <w:tc>
          <w:tcPr>
            <w:tcW w:w="442" w:type="dxa"/>
            <w:tcBorders>
              <w:bottom w:val="single" w:color="auto" w:sz="8" w:space="0"/>
            </w:tcBorders>
            <w:noWrap w:val="0"/>
            <w:vAlign w:val="center"/>
          </w:tcPr>
          <w:p>
            <w:pPr>
              <w:rPr>
                <w:rFonts w:hint="eastAsia"/>
                <w:color w:val="000000"/>
              </w:rPr>
            </w:pPr>
          </w:p>
        </w:tc>
        <w:tc>
          <w:tcPr>
            <w:tcW w:w="447" w:type="dxa"/>
            <w:tcBorders>
              <w:bottom w:val="single" w:color="auto" w:sz="8" w:space="0"/>
            </w:tcBorders>
            <w:noWrap w:val="0"/>
            <w:vAlign w:val="center"/>
          </w:tcPr>
          <w:p>
            <w:pPr>
              <w:rPr>
                <w:rFonts w:hint="eastAsia"/>
                <w:color w:val="000000"/>
              </w:rPr>
            </w:pPr>
          </w:p>
        </w:tc>
        <w:tc>
          <w:tcPr>
            <w:tcW w:w="485" w:type="dxa"/>
            <w:gridSpan w:val="2"/>
            <w:tcBorders>
              <w:bottom w:val="single" w:color="auto" w:sz="8" w:space="0"/>
            </w:tcBorders>
            <w:noWrap w:val="0"/>
            <w:vAlign w:val="center"/>
          </w:tcPr>
          <w:p>
            <w:pPr>
              <w:rPr>
                <w:rFonts w:hint="eastAsia"/>
                <w:color w:val="000000"/>
              </w:rPr>
            </w:pPr>
          </w:p>
        </w:tc>
        <w:tc>
          <w:tcPr>
            <w:tcW w:w="478" w:type="dxa"/>
            <w:tcBorders>
              <w:bottom w:val="single" w:color="auto" w:sz="8" w:space="0"/>
            </w:tcBorders>
            <w:noWrap w:val="0"/>
            <w:vAlign w:val="center"/>
          </w:tcPr>
          <w:p>
            <w:pPr>
              <w:rPr>
                <w:rFonts w:hint="eastAsia"/>
                <w:color w:val="000000"/>
              </w:rPr>
            </w:pPr>
          </w:p>
        </w:tc>
        <w:tc>
          <w:tcPr>
            <w:tcW w:w="417" w:type="dxa"/>
            <w:tcBorders>
              <w:bottom w:val="single" w:color="auto" w:sz="8"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1" w:hRule="atLeast"/>
          <w:jc w:val="center"/>
        </w:trPr>
        <w:tc>
          <w:tcPr>
            <w:tcW w:w="593" w:type="dxa"/>
            <w:vMerge w:val="restart"/>
            <w:tcBorders>
              <w:left w:val="single" w:color="auto" w:sz="8" w:space="0"/>
            </w:tcBorders>
            <w:noWrap w:val="0"/>
            <w:textDirection w:val="tbRlV"/>
            <w:vAlign w:val="center"/>
          </w:tcPr>
          <w:p>
            <w:pPr>
              <w:jc w:val="center"/>
              <w:rPr>
                <w:rFonts w:hint="eastAsia" w:ascii="宋体" w:hAnsi="宋体"/>
                <w:color w:val="000000"/>
                <w:sz w:val="24"/>
              </w:rPr>
            </w:pPr>
            <w:r>
              <w:rPr>
                <w:rFonts w:hint="eastAsia" w:ascii="宋体" w:hAnsi="宋体"/>
                <w:color w:val="000000"/>
                <w:sz w:val="24"/>
              </w:rPr>
              <w:t>符合性检查</w:t>
            </w:r>
          </w:p>
        </w:tc>
        <w:tc>
          <w:tcPr>
            <w:tcW w:w="549" w:type="dxa"/>
            <w:tcBorders>
              <w:bottom w:val="single" w:color="auto" w:sz="4" w:space="0"/>
              <w:right w:val="single" w:color="auto" w:sz="8" w:space="0"/>
            </w:tcBorders>
            <w:noWrap w:val="0"/>
            <w:vAlign w:val="center"/>
          </w:tcPr>
          <w:p>
            <w:pPr>
              <w:jc w:val="center"/>
              <w:rPr>
                <w:color w:val="000000"/>
                <w:sz w:val="24"/>
              </w:rPr>
            </w:pPr>
            <w:r>
              <w:rPr>
                <w:rFonts w:hint="eastAsia"/>
                <w:color w:val="000000"/>
                <w:sz w:val="24"/>
              </w:rPr>
              <w:t>1</w:t>
            </w:r>
          </w:p>
        </w:tc>
        <w:tc>
          <w:tcPr>
            <w:tcW w:w="3646" w:type="dxa"/>
            <w:gridSpan w:val="2"/>
            <w:tcBorders>
              <w:bottom w:val="single" w:color="auto" w:sz="4" w:space="0"/>
              <w:right w:val="single" w:color="auto" w:sz="8" w:space="0"/>
            </w:tcBorders>
            <w:noWrap w:val="0"/>
            <w:vAlign w:val="center"/>
          </w:tcPr>
          <w:p>
            <w:pPr>
              <w:rPr>
                <w:rFonts w:hint="eastAsia"/>
                <w:color w:val="000000"/>
                <w:sz w:val="24"/>
              </w:rPr>
            </w:pPr>
            <w:r>
              <w:rPr>
                <w:rFonts w:hint="eastAsia"/>
                <w:color w:val="000000"/>
                <w:sz w:val="24"/>
              </w:rPr>
              <w:t>是否涉及无效标24.1.2条款</w:t>
            </w:r>
          </w:p>
        </w:tc>
        <w:tc>
          <w:tcPr>
            <w:tcW w:w="509" w:type="dxa"/>
            <w:tcBorders>
              <w:bottom w:val="single" w:color="auto" w:sz="4" w:space="0"/>
              <w:right w:val="single" w:color="auto" w:sz="8" w:space="0"/>
            </w:tcBorders>
            <w:noWrap w:val="0"/>
            <w:vAlign w:val="center"/>
          </w:tcPr>
          <w:p>
            <w:pPr>
              <w:rPr>
                <w:rFonts w:hint="eastAsia"/>
                <w:color w:val="000000"/>
              </w:rPr>
            </w:pPr>
          </w:p>
        </w:tc>
        <w:tc>
          <w:tcPr>
            <w:tcW w:w="484" w:type="dxa"/>
            <w:gridSpan w:val="2"/>
            <w:tcBorders>
              <w:bottom w:val="single" w:color="auto" w:sz="4" w:space="0"/>
              <w:right w:val="single" w:color="auto" w:sz="8" w:space="0"/>
            </w:tcBorders>
            <w:noWrap w:val="0"/>
            <w:vAlign w:val="center"/>
          </w:tcPr>
          <w:p>
            <w:pPr>
              <w:rPr>
                <w:rFonts w:hint="eastAsia"/>
                <w:color w:val="000000"/>
              </w:rPr>
            </w:pPr>
          </w:p>
        </w:tc>
        <w:tc>
          <w:tcPr>
            <w:tcW w:w="474" w:type="dxa"/>
            <w:tcBorders>
              <w:bottom w:val="single" w:color="auto" w:sz="4" w:space="0"/>
              <w:right w:val="single" w:color="auto" w:sz="8" w:space="0"/>
            </w:tcBorders>
            <w:noWrap w:val="0"/>
            <w:vAlign w:val="center"/>
          </w:tcPr>
          <w:p>
            <w:pPr>
              <w:rPr>
                <w:rFonts w:hint="eastAsia"/>
                <w:color w:val="000000"/>
              </w:rPr>
            </w:pPr>
          </w:p>
        </w:tc>
        <w:tc>
          <w:tcPr>
            <w:tcW w:w="442" w:type="dxa"/>
            <w:tcBorders>
              <w:bottom w:val="single" w:color="auto" w:sz="4" w:space="0"/>
              <w:right w:val="single" w:color="auto" w:sz="8" w:space="0"/>
            </w:tcBorders>
            <w:noWrap w:val="0"/>
            <w:vAlign w:val="center"/>
          </w:tcPr>
          <w:p>
            <w:pPr>
              <w:rPr>
                <w:rFonts w:hint="eastAsia"/>
                <w:color w:val="000000"/>
              </w:rPr>
            </w:pPr>
          </w:p>
        </w:tc>
        <w:tc>
          <w:tcPr>
            <w:tcW w:w="447" w:type="dxa"/>
            <w:tcBorders>
              <w:bottom w:val="single" w:color="auto" w:sz="4" w:space="0"/>
              <w:right w:val="single" w:color="auto" w:sz="8" w:space="0"/>
            </w:tcBorders>
            <w:noWrap w:val="0"/>
            <w:vAlign w:val="center"/>
          </w:tcPr>
          <w:p>
            <w:pPr>
              <w:rPr>
                <w:rFonts w:hint="eastAsia"/>
                <w:color w:val="000000"/>
              </w:rPr>
            </w:pPr>
          </w:p>
        </w:tc>
        <w:tc>
          <w:tcPr>
            <w:tcW w:w="485" w:type="dxa"/>
            <w:gridSpan w:val="2"/>
            <w:tcBorders>
              <w:bottom w:val="single" w:color="auto" w:sz="4" w:space="0"/>
              <w:right w:val="single" w:color="auto" w:sz="8" w:space="0"/>
            </w:tcBorders>
            <w:noWrap w:val="0"/>
            <w:vAlign w:val="center"/>
          </w:tcPr>
          <w:p>
            <w:pPr>
              <w:rPr>
                <w:rFonts w:hint="eastAsia"/>
                <w:color w:val="000000"/>
              </w:rPr>
            </w:pPr>
          </w:p>
        </w:tc>
        <w:tc>
          <w:tcPr>
            <w:tcW w:w="478" w:type="dxa"/>
            <w:tcBorders>
              <w:bottom w:val="single" w:color="auto" w:sz="4" w:space="0"/>
              <w:right w:val="single" w:color="auto" w:sz="8" w:space="0"/>
            </w:tcBorders>
            <w:noWrap w:val="0"/>
            <w:vAlign w:val="center"/>
          </w:tcPr>
          <w:p>
            <w:pPr>
              <w:rPr>
                <w:rFonts w:hint="eastAsia"/>
                <w:color w:val="000000"/>
              </w:rPr>
            </w:pPr>
          </w:p>
        </w:tc>
        <w:tc>
          <w:tcPr>
            <w:tcW w:w="417" w:type="dxa"/>
            <w:tcBorders>
              <w:bottom w:val="single" w:color="auto" w:sz="4"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9" w:hRule="atLeast"/>
          <w:jc w:val="center"/>
        </w:trPr>
        <w:tc>
          <w:tcPr>
            <w:tcW w:w="593" w:type="dxa"/>
            <w:vMerge w:val="continue"/>
            <w:tcBorders>
              <w:left w:val="single" w:color="auto" w:sz="8" w:space="0"/>
            </w:tcBorders>
            <w:noWrap w:val="0"/>
            <w:vAlign w:val="center"/>
          </w:tcPr>
          <w:p>
            <w:pPr>
              <w:spacing w:line="360" w:lineRule="auto"/>
              <w:ind w:firstLine="480" w:firstLineChars="200"/>
              <w:rPr>
                <w:rFonts w:hint="eastAsia" w:ascii="宋体" w:hAnsi="宋体"/>
                <w:color w:val="000000"/>
                <w:sz w:val="24"/>
              </w:rPr>
            </w:pPr>
          </w:p>
        </w:tc>
        <w:tc>
          <w:tcPr>
            <w:tcW w:w="549" w:type="dxa"/>
            <w:tcBorders>
              <w:bottom w:val="single" w:color="auto" w:sz="4" w:space="0"/>
              <w:right w:val="single" w:color="auto" w:sz="8" w:space="0"/>
            </w:tcBorders>
            <w:noWrap w:val="0"/>
            <w:vAlign w:val="center"/>
          </w:tcPr>
          <w:p>
            <w:pPr>
              <w:jc w:val="center"/>
              <w:rPr>
                <w:rFonts w:hint="eastAsia"/>
                <w:color w:val="000000"/>
                <w:sz w:val="24"/>
              </w:rPr>
            </w:pPr>
            <w:r>
              <w:rPr>
                <w:rFonts w:hint="eastAsia"/>
                <w:color w:val="000000"/>
                <w:sz w:val="24"/>
              </w:rPr>
              <w:t>2</w:t>
            </w:r>
          </w:p>
        </w:tc>
        <w:tc>
          <w:tcPr>
            <w:tcW w:w="3646" w:type="dxa"/>
            <w:gridSpan w:val="2"/>
            <w:tcBorders>
              <w:bottom w:val="single" w:color="auto" w:sz="4" w:space="0"/>
              <w:right w:val="single" w:color="auto" w:sz="8" w:space="0"/>
            </w:tcBorders>
            <w:noWrap w:val="0"/>
            <w:vAlign w:val="center"/>
          </w:tcPr>
          <w:p>
            <w:pPr>
              <w:rPr>
                <w:rFonts w:hint="eastAsia"/>
                <w:color w:val="000000"/>
                <w:sz w:val="24"/>
              </w:rPr>
            </w:pPr>
            <w:r>
              <w:rPr>
                <w:rFonts w:hint="eastAsia"/>
                <w:color w:val="000000"/>
                <w:sz w:val="24"/>
              </w:rPr>
              <w:t>是否涉及无效标24.1.4条款</w:t>
            </w:r>
          </w:p>
        </w:tc>
        <w:tc>
          <w:tcPr>
            <w:tcW w:w="509" w:type="dxa"/>
            <w:tcBorders>
              <w:bottom w:val="single" w:color="auto" w:sz="4" w:space="0"/>
              <w:right w:val="single" w:color="auto" w:sz="8" w:space="0"/>
            </w:tcBorders>
            <w:noWrap w:val="0"/>
            <w:vAlign w:val="center"/>
          </w:tcPr>
          <w:p>
            <w:pPr>
              <w:rPr>
                <w:rFonts w:hint="eastAsia"/>
                <w:color w:val="000000"/>
              </w:rPr>
            </w:pPr>
          </w:p>
        </w:tc>
        <w:tc>
          <w:tcPr>
            <w:tcW w:w="484" w:type="dxa"/>
            <w:gridSpan w:val="2"/>
            <w:tcBorders>
              <w:bottom w:val="single" w:color="auto" w:sz="4" w:space="0"/>
              <w:right w:val="single" w:color="auto" w:sz="8" w:space="0"/>
            </w:tcBorders>
            <w:noWrap w:val="0"/>
            <w:vAlign w:val="center"/>
          </w:tcPr>
          <w:p>
            <w:pPr>
              <w:rPr>
                <w:rFonts w:hint="eastAsia"/>
                <w:color w:val="000000"/>
              </w:rPr>
            </w:pPr>
          </w:p>
        </w:tc>
        <w:tc>
          <w:tcPr>
            <w:tcW w:w="474" w:type="dxa"/>
            <w:tcBorders>
              <w:bottom w:val="single" w:color="auto" w:sz="4" w:space="0"/>
              <w:right w:val="single" w:color="auto" w:sz="8" w:space="0"/>
            </w:tcBorders>
            <w:noWrap w:val="0"/>
            <w:vAlign w:val="center"/>
          </w:tcPr>
          <w:p>
            <w:pPr>
              <w:rPr>
                <w:rFonts w:hint="eastAsia"/>
                <w:color w:val="000000"/>
              </w:rPr>
            </w:pPr>
          </w:p>
        </w:tc>
        <w:tc>
          <w:tcPr>
            <w:tcW w:w="442" w:type="dxa"/>
            <w:tcBorders>
              <w:bottom w:val="single" w:color="auto" w:sz="4" w:space="0"/>
              <w:right w:val="single" w:color="auto" w:sz="8" w:space="0"/>
            </w:tcBorders>
            <w:noWrap w:val="0"/>
            <w:vAlign w:val="center"/>
          </w:tcPr>
          <w:p>
            <w:pPr>
              <w:rPr>
                <w:rFonts w:hint="eastAsia"/>
                <w:color w:val="000000"/>
              </w:rPr>
            </w:pPr>
          </w:p>
        </w:tc>
        <w:tc>
          <w:tcPr>
            <w:tcW w:w="447" w:type="dxa"/>
            <w:tcBorders>
              <w:bottom w:val="single" w:color="auto" w:sz="4" w:space="0"/>
              <w:right w:val="single" w:color="auto" w:sz="8" w:space="0"/>
            </w:tcBorders>
            <w:noWrap w:val="0"/>
            <w:vAlign w:val="center"/>
          </w:tcPr>
          <w:p>
            <w:pPr>
              <w:rPr>
                <w:rFonts w:hint="eastAsia"/>
                <w:color w:val="000000"/>
              </w:rPr>
            </w:pPr>
          </w:p>
        </w:tc>
        <w:tc>
          <w:tcPr>
            <w:tcW w:w="485" w:type="dxa"/>
            <w:gridSpan w:val="2"/>
            <w:tcBorders>
              <w:bottom w:val="single" w:color="auto" w:sz="4" w:space="0"/>
              <w:right w:val="single" w:color="auto" w:sz="8" w:space="0"/>
            </w:tcBorders>
            <w:noWrap w:val="0"/>
            <w:vAlign w:val="center"/>
          </w:tcPr>
          <w:p>
            <w:pPr>
              <w:rPr>
                <w:rFonts w:hint="eastAsia"/>
                <w:color w:val="000000"/>
              </w:rPr>
            </w:pPr>
          </w:p>
        </w:tc>
        <w:tc>
          <w:tcPr>
            <w:tcW w:w="478" w:type="dxa"/>
            <w:tcBorders>
              <w:bottom w:val="single" w:color="auto" w:sz="4" w:space="0"/>
              <w:right w:val="single" w:color="auto" w:sz="8" w:space="0"/>
            </w:tcBorders>
            <w:noWrap w:val="0"/>
            <w:vAlign w:val="center"/>
          </w:tcPr>
          <w:p>
            <w:pPr>
              <w:rPr>
                <w:rFonts w:hint="eastAsia"/>
                <w:color w:val="000000"/>
              </w:rPr>
            </w:pPr>
          </w:p>
        </w:tc>
        <w:tc>
          <w:tcPr>
            <w:tcW w:w="417" w:type="dxa"/>
            <w:tcBorders>
              <w:bottom w:val="single" w:color="auto" w:sz="4"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1" w:hRule="atLeast"/>
          <w:jc w:val="center"/>
        </w:trPr>
        <w:tc>
          <w:tcPr>
            <w:tcW w:w="593" w:type="dxa"/>
            <w:vMerge w:val="continue"/>
            <w:tcBorders>
              <w:left w:val="single" w:color="auto" w:sz="8" w:space="0"/>
            </w:tcBorders>
            <w:noWrap w:val="0"/>
            <w:vAlign w:val="center"/>
          </w:tcPr>
          <w:p>
            <w:pPr>
              <w:spacing w:line="360" w:lineRule="auto"/>
              <w:ind w:firstLine="480" w:firstLineChars="200"/>
              <w:rPr>
                <w:rFonts w:hint="eastAsia" w:ascii="宋体" w:hAnsi="宋体"/>
                <w:color w:val="000000"/>
                <w:sz w:val="24"/>
              </w:rPr>
            </w:pPr>
          </w:p>
        </w:tc>
        <w:tc>
          <w:tcPr>
            <w:tcW w:w="549" w:type="dxa"/>
            <w:tcBorders>
              <w:bottom w:val="single" w:color="auto" w:sz="4" w:space="0"/>
              <w:right w:val="single" w:color="auto" w:sz="8" w:space="0"/>
            </w:tcBorders>
            <w:noWrap w:val="0"/>
            <w:vAlign w:val="center"/>
          </w:tcPr>
          <w:p>
            <w:pPr>
              <w:jc w:val="center"/>
              <w:rPr>
                <w:rFonts w:hint="eastAsia"/>
                <w:color w:val="000000"/>
                <w:sz w:val="24"/>
              </w:rPr>
            </w:pPr>
            <w:r>
              <w:rPr>
                <w:rFonts w:hint="eastAsia"/>
                <w:color w:val="000000"/>
                <w:sz w:val="24"/>
              </w:rPr>
              <w:t>3</w:t>
            </w:r>
          </w:p>
        </w:tc>
        <w:tc>
          <w:tcPr>
            <w:tcW w:w="3646" w:type="dxa"/>
            <w:gridSpan w:val="2"/>
            <w:tcBorders>
              <w:bottom w:val="single" w:color="auto" w:sz="4" w:space="0"/>
              <w:right w:val="single" w:color="auto" w:sz="8" w:space="0"/>
            </w:tcBorders>
            <w:noWrap w:val="0"/>
            <w:vAlign w:val="center"/>
          </w:tcPr>
          <w:p>
            <w:pPr>
              <w:rPr>
                <w:rFonts w:hint="eastAsia"/>
                <w:color w:val="000000"/>
                <w:sz w:val="24"/>
              </w:rPr>
            </w:pPr>
            <w:r>
              <w:rPr>
                <w:rFonts w:hint="eastAsia"/>
                <w:color w:val="000000"/>
                <w:sz w:val="24"/>
              </w:rPr>
              <w:t>是否涉及无效标24.1.5条款</w:t>
            </w:r>
          </w:p>
        </w:tc>
        <w:tc>
          <w:tcPr>
            <w:tcW w:w="509" w:type="dxa"/>
            <w:tcBorders>
              <w:bottom w:val="single" w:color="auto" w:sz="4" w:space="0"/>
              <w:right w:val="single" w:color="auto" w:sz="8" w:space="0"/>
            </w:tcBorders>
            <w:noWrap w:val="0"/>
            <w:vAlign w:val="center"/>
          </w:tcPr>
          <w:p>
            <w:pPr>
              <w:rPr>
                <w:rFonts w:hint="eastAsia"/>
                <w:color w:val="000000"/>
              </w:rPr>
            </w:pPr>
          </w:p>
        </w:tc>
        <w:tc>
          <w:tcPr>
            <w:tcW w:w="484" w:type="dxa"/>
            <w:gridSpan w:val="2"/>
            <w:tcBorders>
              <w:bottom w:val="single" w:color="auto" w:sz="4" w:space="0"/>
              <w:right w:val="single" w:color="auto" w:sz="8" w:space="0"/>
            </w:tcBorders>
            <w:noWrap w:val="0"/>
            <w:vAlign w:val="center"/>
          </w:tcPr>
          <w:p>
            <w:pPr>
              <w:rPr>
                <w:rFonts w:hint="eastAsia"/>
                <w:color w:val="000000"/>
              </w:rPr>
            </w:pPr>
          </w:p>
        </w:tc>
        <w:tc>
          <w:tcPr>
            <w:tcW w:w="474" w:type="dxa"/>
            <w:tcBorders>
              <w:bottom w:val="single" w:color="auto" w:sz="4" w:space="0"/>
              <w:right w:val="single" w:color="auto" w:sz="8" w:space="0"/>
            </w:tcBorders>
            <w:noWrap w:val="0"/>
            <w:vAlign w:val="center"/>
          </w:tcPr>
          <w:p>
            <w:pPr>
              <w:rPr>
                <w:rFonts w:hint="eastAsia"/>
                <w:color w:val="000000"/>
              </w:rPr>
            </w:pPr>
          </w:p>
        </w:tc>
        <w:tc>
          <w:tcPr>
            <w:tcW w:w="442" w:type="dxa"/>
            <w:tcBorders>
              <w:bottom w:val="single" w:color="auto" w:sz="4" w:space="0"/>
              <w:right w:val="single" w:color="auto" w:sz="8" w:space="0"/>
            </w:tcBorders>
            <w:noWrap w:val="0"/>
            <w:vAlign w:val="center"/>
          </w:tcPr>
          <w:p>
            <w:pPr>
              <w:rPr>
                <w:rFonts w:hint="eastAsia"/>
                <w:color w:val="000000"/>
              </w:rPr>
            </w:pPr>
          </w:p>
        </w:tc>
        <w:tc>
          <w:tcPr>
            <w:tcW w:w="447" w:type="dxa"/>
            <w:tcBorders>
              <w:bottom w:val="single" w:color="auto" w:sz="4" w:space="0"/>
              <w:right w:val="single" w:color="auto" w:sz="8" w:space="0"/>
            </w:tcBorders>
            <w:noWrap w:val="0"/>
            <w:vAlign w:val="center"/>
          </w:tcPr>
          <w:p>
            <w:pPr>
              <w:rPr>
                <w:rFonts w:hint="eastAsia"/>
                <w:color w:val="000000"/>
              </w:rPr>
            </w:pPr>
          </w:p>
        </w:tc>
        <w:tc>
          <w:tcPr>
            <w:tcW w:w="485" w:type="dxa"/>
            <w:gridSpan w:val="2"/>
            <w:tcBorders>
              <w:bottom w:val="single" w:color="auto" w:sz="4" w:space="0"/>
              <w:right w:val="single" w:color="auto" w:sz="8" w:space="0"/>
            </w:tcBorders>
            <w:noWrap w:val="0"/>
            <w:vAlign w:val="center"/>
          </w:tcPr>
          <w:p>
            <w:pPr>
              <w:rPr>
                <w:rFonts w:hint="eastAsia"/>
                <w:color w:val="000000"/>
              </w:rPr>
            </w:pPr>
          </w:p>
        </w:tc>
        <w:tc>
          <w:tcPr>
            <w:tcW w:w="478" w:type="dxa"/>
            <w:tcBorders>
              <w:bottom w:val="single" w:color="auto" w:sz="4" w:space="0"/>
              <w:right w:val="single" w:color="auto" w:sz="8" w:space="0"/>
            </w:tcBorders>
            <w:noWrap w:val="0"/>
            <w:vAlign w:val="center"/>
          </w:tcPr>
          <w:p>
            <w:pPr>
              <w:rPr>
                <w:rFonts w:hint="eastAsia"/>
                <w:color w:val="000000"/>
              </w:rPr>
            </w:pPr>
          </w:p>
        </w:tc>
        <w:tc>
          <w:tcPr>
            <w:tcW w:w="417" w:type="dxa"/>
            <w:tcBorders>
              <w:bottom w:val="single" w:color="auto" w:sz="4"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6" w:hRule="atLeast"/>
          <w:jc w:val="center"/>
        </w:trPr>
        <w:tc>
          <w:tcPr>
            <w:tcW w:w="593" w:type="dxa"/>
            <w:vMerge w:val="continue"/>
            <w:tcBorders>
              <w:left w:val="single" w:color="auto" w:sz="8" w:space="0"/>
            </w:tcBorders>
            <w:noWrap w:val="0"/>
            <w:vAlign w:val="center"/>
          </w:tcPr>
          <w:p>
            <w:pPr>
              <w:spacing w:line="360" w:lineRule="auto"/>
              <w:ind w:firstLine="480" w:firstLineChars="200"/>
              <w:rPr>
                <w:rFonts w:hint="eastAsia" w:ascii="宋体" w:hAnsi="宋体"/>
                <w:color w:val="000000"/>
                <w:sz w:val="24"/>
              </w:rPr>
            </w:pPr>
          </w:p>
        </w:tc>
        <w:tc>
          <w:tcPr>
            <w:tcW w:w="549" w:type="dxa"/>
            <w:tcBorders>
              <w:bottom w:val="single" w:color="auto" w:sz="4" w:space="0"/>
              <w:right w:val="single" w:color="auto" w:sz="8" w:space="0"/>
            </w:tcBorders>
            <w:noWrap w:val="0"/>
            <w:vAlign w:val="center"/>
          </w:tcPr>
          <w:p>
            <w:pPr>
              <w:jc w:val="center"/>
              <w:rPr>
                <w:rFonts w:hint="eastAsia"/>
                <w:color w:val="000000"/>
                <w:sz w:val="24"/>
              </w:rPr>
            </w:pPr>
            <w:r>
              <w:rPr>
                <w:rFonts w:hint="eastAsia"/>
                <w:color w:val="000000"/>
                <w:sz w:val="24"/>
              </w:rPr>
              <w:t>4</w:t>
            </w:r>
          </w:p>
        </w:tc>
        <w:tc>
          <w:tcPr>
            <w:tcW w:w="3646" w:type="dxa"/>
            <w:gridSpan w:val="2"/>
            <w:tcBorders>
              <w:bottom w:val="single" w:color="auto" w:sz="4" w:space="0"/>
              <w:right w:val="single" w:color="auto" w:sz="8" w:space="0"/>
            </w:tcBorders>
            <w:noWrap w:val="0"/>
            <w:vAlign w:val="center"/>
          </w:tcPr>
          <w:p>
            <w:pPr>
              <w:rPr>
                <w:rFonts w:hint="eastAsia"/>
                <w:color w:val="000000"/>
                <w:sz w:val="24"/>
              </w:rPr>
            </w:pPr>
            <w:r>
              <w:rPr>
                <w:rFonts w:hint="eastAsia"/>
                <w:color w:val="000000"/>
                <w:sz w:val="24"/>
              </w:rPr>
              <w:t>是否涉及无效标24.1.6条款</w:t>
            </w:r>
          </w:p>
        </w:tc>
        <w:tc>
          <w:tcPr>
            <w:tcW w:w="509" w:type="dxa"/>
            <w:tcBorders>
              <w:bottom w:val="single" w:color="auto" w:sz="4" w:space="0"/>
              <w:right w:val="single" w:color="auto" w:sz="8" w:space="0"/>
            </w:tcBorders>
            <w:noWrap w:val="0"/>
            <w:vAlign w:val="center"/>
          </w:tcPr>
          <w:p>
            <w:pPr>
              <w:rPr>
                <w:rFonts w:hint="eastAsia"/>
                <w:color w:val="000000"/>
              </w:rPr>
            </w:pPr>
          </w:p>
        </w:tc>
        <w:tc>
          <w:tcPr>
            <w:tcW w:w="484" w:type="dxa"/>
            <w:gridSpan w:val="2"/>
            <w:tcBorders>
              <w:bottom w:val="single" w:color="auto" w:sz="4" w:space="0"/>
              <w:right w:val="single" w:color="auto" w:sz="8" w:space="0"/>
            </w:tcBorders>
            <w:noWrap w:val="0"/>
            <w:vAlign w:val="center"/>
          </w:tcPr>
          <w:p>
            <w:pPr>
              <w:rPr>
                <w:rFonts w:hint="eastAsia"/>
                <w:color w:val="000000"/>
              </w:rPr>
            </w:pPr>
          </w:p>
        </w:tc>
        <w:tc>
          <w:tcPr>
            <w:tcW w:w="474" w:type="dxa"/>
            <w:tcBorders>
              <w:bottom w:val="single" w:color="auto" w:sz="4" w:space="0"/>
              <w:right w:val="single" w:color="auto" w:sz="8" w:space="0"/>
            </w:tcBorders>
            <w:noWrap w:val="0"/>
            <w:vAlign w:val="center"/>
          </w:tcPr>
          <w:p>
            <w:pPr>
              <w:rPr>
                <w:rFonts w:hint="eastAsia"/>
                <w:color w:val="000000"/>
              </w:rPr>
            </w:pPr>
          </w:p>
        </w:tc>
        <w:tc>
          <w:tcPr>
            <w:tcW w:w="442" w:type="dxa"/>
            <w:tcBorders>
              <w:bottom w:val="single" w:color="auto" w:sz="4" w:space="0"/>
              <w:right w:val="single" w:color="auto" w:sz="8" w:space="0"/>
            </w:tcBorders>
            <w:noWrap w:val="0"/>
            <w:vAlign w:val="center"/>
          </w:tcPr>
          <w:p>
            <w:pPr>
              <w:rPr>
                <w:rFonts w:hint="eastAsia"/>
                <w:color w:val="000000"/>
              </w:rPr>
            </w:pPr>
          </w:p>
        </w:tc>
        <w:tc>
          <w:tcPr>
            <w:tcW w:w="447" w:type="dxa"/>
            <w:tcBorders>
              <w:bottom w:val="single" w:color="auto" w:sz="4" w:space="0"/>
              <w:right w:val="single" w:color="auto" w:sz="8" w:space="0"/>
            </w:tcBorders>
            <w:noWrap w:val="0"/>
            <w:vAlign w:val="center"/>
          </w:tcPr>
          <w:p>
            <w:pPr>
              <w:rPr>
                <w:rFonts w:hint="eastAsia"/>
                <w:color w:val="000000"/>
              </w:rPr>
            </w:pPr>
          </w:p>
        </w:tc>
        <w:tc>
          <w:tcPr>
            <w:tcW w:w="485" w:type="dxa"/>
            <w:gridSpan w:val="2"/>
            <w:tcBorders>
              <w:bottom w:val="single" w:color="auto" w:sz="4" w:space="0"/>
              <w:right w:val="single" w:color="auto" w:sz="8" w:space="0"/>
            </w:tcBorders>
            <w:noWrap w:val="0"/>
            <w:vAlign w:val="center"/>
          </w:tcPr>
          <w:p>
            <w:pPr>
              <w:rPr>
                <w:rFonts w:hint="eastAsia"/>
                <w:color w:val="000000"/>
              </w:rPr>
            </w:pPr>
          </w:p>
        </w:tc>
        <w:tc>
          <w:tcPr>
            <w:tcW w:w="478" w:type="dxa"/>
            <w:tcBorders>
              <w:bottom w:val="single" w:color="auto" w:sz="4" w:space="0"/>
              <w:right w:val="single" w:color="auto" w:sz="8" w:space="0"/>
            </w:tcBorders>
            <w:noWrap w:val="0"/>
            <w:vAlign w:val="center"/>
          </w:tcPr>
          <w:p>
            <w:pPr>
              <w:rPr>
                <w:rFonts w:hint="eastAsia"/>
                <w:color w:val="000000"/>
              </w:rPr>
            </w:pPr>
          </w:p>
        </w:tc>
        <w:tc>
          <w:tcPr>
            <w:tcW w:w="417" w:type="dxa"/>
            <w:tcBorders>
              <w:bottom w:val="single" w:color="auto" w:sz="4"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13" w:hRule="atLeast"/>
          <w:jc w:val="center"/>
        </w:trPr>
        <w:tc>
          <w:tcPr>
            <w:tcW w:w="593" w:type="dxa"/>
            <w:vMerge w:val="continue"/>
            <w:tcBorders>
              <w:left w:val="single" w:color="auto" w:sz="8" w:space="0"/>
            </w:tcBorders>
            <w:noWrap w:val="0"/>
            <w:vAlign w:val="center"/>
          </w:tcPr>
          <w:p>
            <w:pPr>
              <w:spacing w:line="360" w:lineRule="auto"/>
              <w:ind w:firstLine="480" w:firstLineChars="200"/>
              <w:rPr>
                <w:rFonts w:hint="eastAsia" w:ascii="宋体" w:hAnsi="宋体"/>
                <w:color w:val="000000"/>
                <w:sz w:val="24"/>
              </w:rPr>
            </w:pPr>
          </w:p>
        </w:tc>
        <w:tc>
          <w:tcPr>
            <w:tcW w:w="549" w:type="dxa"/>
            <w:tcBorders>
              <w:right w:val="single" w:color="auto" w:sz="8" w:space="0"/>
            </w:tcBorders>
            <w:noWrap w:val="0"/>
            <w:vAlign w:val="center"/>
          </w:tcPr>
          <w:p>
            <w:pPr>
              <w:jc w:val="center"/>
              <w:rPr>
                <w:color w:val="000000"/>
                <w:sz w:val="24"/>
              </w:rPr>
            </w:pPr>
            <w:r>
              <w:rPr>
                <w:rFonts w:hint="eastAsia"/>
                <w:color w:val="000000"/>
                <w:sz w:val="24"/>
              </w:rPr>
              <w:t>5</w:t>
            </w:r>
          </w:p>
        </w:tc>
        <w:tc>
          <w:tcPr>
            <w:tcW w:w="3646" w:type="dxa"/>
            <w:gridSpan w:val="2"/>
            <w:tcBorders>
              <w:right w:val="single" w:color="auto" w:sz="8" w:space="0"/>
            </w:tcBorders>
            <w:noWrap w:val="0"/>
            <w:vAlign w:val="center"/>
          </w:tcPr>
          <w:p>
            <w:pPr>
              <w:rPr>
                <w:rFonts w:hint="eastAsia"/>
                <w:color w:val="000000"/>
                <w:sz w:val="24"/>
              </w:rPr>
            </w:pPr>
            <w:r>
              <w:rPr>
                <w:rFonts w:hint="eastAsia"/>
                <w:color w:val="000000"/>
                <w:sz w:val="24"/>
              </w:rPr>
              <w:t>是否涉及无效标24.1.7条款</w:t>
            </w:r>
          </w:p>
        </w:tc>
        <w:tc>
          <w:tcPr>
            <w:tcW w:w="509" w:type="dxa"/>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80" w:type="dxa"/>
            <w:gridSpan w:val="2"/>
            <w:tcBorders>
              <w:right w:val="single" w:color="auto" w:sz="8" w:space="0"/>
            </w:tcBorders>
            <w:noWrap w:val="0"/>
            <w:vAlign w:val="center"/>
          </w:tcPr>
          <w:p>
            <w:pPr>
              <w:rPr>
                <w:rFonts w:hint="eastAsia"/>
                <w:color w:val="000000"/>
              </w:rPr>
            </w:pPr>
          </w:p>
        </w:tc>
        <w:tc>
          <w:tcPr>
            <w:tcW w:w="442" w:type="dxa"/>
            <w:tcBorders>
              <w:right w:val="single" w:color="auto" w:sz="8" w:space="0"/>
            </w:tcBorders>
            <w:noWrap w:val="0"/>
            <w:vAlign w:val="center"/>
          </w:tcPr>
          <w:p>
            <w:pPr>
              <w:rPr>
                <w:rFonts w:hint="eastAsia"/>
                <w:color w:val="000000"/>
              </w:rPr>
            </w:pPr>
          </w:p>
        </w:tc>
        <w:tc>
          <w:tcPr>
            <w:tcW w:w="454" w:type="dxa"/>
            <w:gridSpan w:val="2"/>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17" w:type="dxa"/>
            <w:tcBorders>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1" w:hRule="atLeast"/>
          <w:jc w:val="center"/>
        </w:trPr>
        <w:tc>
          <w:tcPr>
            <w:tcW w:w="593" w:type="dxa"/>
            <w:vMerge w:val="continue"/>
            <w:tcBorders>
              <w:left w:val="single" w:color="auto" w:sz="8" w:space="0"/>
            </w:tcBorders>
            <w:noWrap w:val="0"/>
            <w:vAlign w:val="center"/>
          </w:tcPr>
          <w:p>
            <w:pPr>
              <w:spacing w:line="360" w:lineRule="auto"/>
              <w:ind w:firstLine="480" w:firstLineChars="200"/>
              <w:rPr>
                <w:rFonts w:hint="eastAsia" w:ascii="宋体" w:hAnsi="宋体"/>
                <w:color w:val="000000"/>
                <w:sz w:val="24"/>
              </w:rPr>
            </w:pPr>
          </w:p>
        </w:tc>
        <w:tc>
          <w:tcPr>
            <w:tcW w:w="549" w:type="dxa"/>
            <w:tcBorders>
              <w:right w:val="single" w:color="auto" w:sz="8" w:space="0"/>
            </w:tcBorders>
            <w:noWrap w:val="0"/>
            <w:vAlign w:val="center"/>
          </w:tcPr>
          <w:p>
            <w:pPr>
              <w:jc w:val="center"/>
              <w:rPr>
                <w:rFonts w:hint="eastAsia"/>
                <w:color w:val="000000"/>
                <w:sz w:val="24"/>
              </w:rPr>
            </w:pPr>
            <w:r>
              <w:rPr>
                <w:rFonts w:hint="eastAsia"/>
                <w:color w:val="000000"/>
                <w:sz w:val="24"/>
              </w:rPr>
              <w:t>6</w:t>
            </w:r>
          </w:p>
        </w:tc>
        <w:tc>
          <w:tcPr>
            <w:tcW w:w="3646" w:type="dxa"/>
            <w:gridSpan w:val="2"/>
            <w:tcBorders>
              <w:right w:val="single" w:color="auto" w:sz="8" w:space="0"/>
            </w:tcBorders>
            <w:noWrap w:val="0"/>
            <w:vAlign w:val="center"/>
          </w:tcPr>
          <w:p>
            <w:pPr>
              <w:rPr>
                <w:rFonts w:hint="eastAsia"/>
                <w:color w:val="000000"/>
                <w:sz w:val="24"/>
              </w:rPr>
            </w:pPr>
            <w:r>
              <w:rPr>
                <w:rFonts w:hint="eastAsia"/>
                <w:color w:val="000000"/>
                <w:sz w:val="24"/>
              </w:rPr>
              <w:t>是否涉及无效标24.1.8条款</w:t>
            </w:r>
          </w:p>
        </w:tc>
        <w:tc>
          <w:tcPr>
            <w:tcW w:w="509" w:type="dxa"/>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80" w:type="dxa"/>
            <w:gridSpan w:val="2"/>
            <w:tcBorders>
              <w:right w:val="single" w:color="auto" w:sz="8" w:space="0"/>
            </w:tcBorders>
            <w:noWrap w:val="0"/>
            <w:vAlign w:val="center"/>
          </w:tcPr>
          <w:p>
            <w:pPr>
              <w:rPr>
                <w:rFonts w:hint="eastAsia"/>
                <w:color w:val="000000"/>
              </w:rPr>
            </w:pPr>
          </w:p>
        </w:tc>
        <w:tc>
          <w:tcPr>
            <w:tcW w:w="442" w:type="dxa"/>
            <w:tcBorders>
              <w:right w:val="single" w:color="auto" w:sz="8" w:space="0"/>
            </w:tcBorders>
            <w:noWrap w:val="0"/>
            <w:vAlign w:val="center"/>
          </w:tcPr>
          <w:p>
            <w:pPr>
              <w:rPr>
                <w:rFonts w:hint="eastAsia"/>
                <w:color w:val="000000"/>
              </w:rPr>
            </w:pPr>
          </w:p>
        </w:tc>
        <w:tc>
          <w:tcPr>
            <w:tcW w:w="454" w:type="dxa"/>
            <w:gridSpan w:val="2"/>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17" w:type="dxa"/>
            <w:tcBorders>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1" w:hRule="atLeast"/>
          <w:jc w:val="center"/>
        </w:trPr>
        <w:tc>
          <w:tcPr>
            <w:tcW w:w="593" w:type="dxa"/>
            <w:vMerge w:val="continue"/>
            <w:tcBorders>
              <w:left w:val="single" w:color="auto" w:sz="8" w:space="0"/>
            </w:tcBorders>
            <w:noWrap w:val="0"/>
            <w:vAlign w:val="center"/>
          </w:tcPr>
          <w:p>
            <w:pPr>
              <w:spacing w:line="360" w:lineRule="auto"/>
              <w:ind w:firstLine="480" w:firstLineChars="200"/>
              <w:rPr>
                <w:rFonts w:hint="eastAsia" w:ascii="宋体" w:hAnsi="宋体"/>
                <w:color w:val="000000"/>
                <w:sz w:val="24"/>
              </w:rPr>
            </w:pPr>
          </w:p>
        </w:tc>
        <w:tc>
          <w:tcPr>
            <w:tcW w:w="549" w:type="dxa"/>
            <w:tcBorders>
              <w:right w:val="single" w:color="auto" w:sz="8" w:space="0"/>
            </w:tcBorders>
            <w:noWrap w:val="0"/>
            <w:vAlign w:val="center"/>
          </w:tcPr>
          <w:p>
            <w:pPr>
              <w:jc w:val="center"/>
              <w:rPr>
                <w:rFonts w:hint="eastAsia"/>
                <w:color w:val="000000"/>
                <w:sz w:val="24"/>
              </w:rPr>
            </w:pPr>
            <w:r>
              <w:rPr>
                <w:rFonts w:hint="eastAsia"/>
                <w:color w:val="000000"/>
                <w:sz w:val="24"/>
              </w:rPr>
              <w:t>7</w:t>
            </w:r>
          </w:p>
        </w:tc>
        <w:tc>
          <w:tcPr>
            <w:tcW w:w="3646" w:type="dxa"/>
            <w:gridSpan w:val="2"/>
            <w:tcBorders>
              <w:right w:val="single" w:color="auto" w:sz="8" w:space="0"/>
            </w:tcBorders>
            <w:noWrap w:val="0"/>
            <w:vAlign w:val="center"/>
          </w:tcPr>
          <w:p>
            <w:pPr>
              <w:rPr>
                <w:rFonts w:hint="eastAsia"/>
                <w:color w:val="000000"/>
                <w:sz w:val="24"/>
              </w:rPr>
            </w:pPr>
            <w:r>
              <w:rPr>
                <w:rFonts w:hint="eastAsia"/>
                <w:color w:val="000000"/>
                <w:sz w:val="24"/>
              </w:rPr>
              <w:t>是否涉及无效标24.1.9</w:t>
            </w:r>
            <w:r>
              <w:rPr>
                <w:rFonts w:hint="eastAsia" w:ascii="宋体" w:hAnsi="宋体"/>
                <w:color w:val="000000"/>
                <w:sz w:val="24"/>
              </w:rPr>
              <w:t>条款</w:t>
            </w:r>
          </w:p>
        </w:tc>
        <w:tc>
          <w:tcPr>
            <w:tcW w:w="509" w:type="dxa"/>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80" w:type="dxa"/>
            <w:gridSpan w:val="2"/>
            <w:tcBorders>
              <w:right w:val="single" w:color="auto" w:sz="8" w:space="0"/>
            </w:tcBorders>
            <w:noWrap w:val="0"/>
            <w:vAlign w:val="center"/>
          </w:tcPr>
          <w:p>
            <w:pPr>
              <w:rPr>
                <w:rFonts w:hint="eastAsia"/>
                <w:color w:val="000000"/>
              </w:rPr>
            </w:pPr>
          </w:p>
        </w:tc>
        <w:tc>
          <w:tcPr>
            <w:tcW w:w="442" w:type="dxa"/>
            <w:tcBorders>
              <w:right w:val="single" w:color="auto" w:sz="8" w:space="0"/>
            </w:tcBorders>
            <w:noWrap w:val="0"/>
            <w:vAlign w:val="center"/>
          </w:tcPr>
          <w:p>
            <w:pPr>
              <w:rPr>
                <w:rFonts w:hint="eastAsia"/>
                <w:color w:val="000000"/>
              </w:rPr>
            </w:pPr>
          </w:p>
        </w:tc>
        <w:tc>
          <w:tcPr>
            <w:tcW w:w="454" w:type="dxa"/>
            <w:gridSpan w:val="2"/>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78" w:type="dxa"/>
            <w:tcBorders>
              <w:right w:val="single" w:color="auto" w:sz="8" w:space="0"/>
            </w:tcBorders>
            <w:noWrap w:val="0"/>
            <w:vAlign w:val="center"/>
          </w:tcPr>
          <w:p>
            <w:pPr>
              <w:rPr>
                <w:rFonts w:hint="eastAsia"/>
                <w:color w:val="000000"/>
              </w:rPr>
            </w:pPr>
          </w:p>
        </w:tc>
        <w:tc>
          <w:tcPr>
            <w:tcW w:w="417" w:type="dxa"/>
            <w:tcBorders>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3" w:hRule="atLeast"/>
          <w:jc w:val="center"/>
        </w:trPr>
        <w:tc>
          <w:tcPr>
            <w:tcW w:w="593" w:type="dxa"/>
            <w:vMerge w:val="continue"/>
            <w:tcBorders>
              <w:left w:val="single" w:color="auto" w:sz="8" w:space="0"/>
              <w:bottom w:val="single" w:color="auto" w:sz="8" w:space="0"/>
            </w:tcBorders>
            <w:noWrap w:val="0"/>
            <w:vAlign w:val="center"/>
          </w:tcPr>
          <w:p>
            <w:pPr>
              <w:spacing w:line="360" w:lineRule="auto"/>
              <w:ind w:firstLine="480" w:firstLineChars="200"/>
              <w:rPr>
                <w:rFonts w:hint="eastAsia" w:ascii="宋体" w:hAnsi="宋体"/>
                <w:color w:val="000000"/>
                <w:sz w:val="24"/>
              </w:rPr>
            </w:pPr>
          </w:p>
        </w:tc>
        <w:tc>
          <w:tcPr>
            <w:tcW w:w="4195" w:type="dxa"/>
            <w:gridSpan w:val="3"/>
            <w:tcBorders>
              <w:bottom w:val="single" w:color="auto" w:sz="8" w:space="0"/>
            </w:tcBorders>
            <w:noWrap w:val="0"/>
            <w:vAlign w:val="center"/>
          </w:tcPr>
          <w:p>
            <w:pPr>
              <w:rPr>
                <w:rFonts w:hint="eastAsia"/>
                <w:color w:val="000000"/>
                <w:sz w:val="24"/>
              </w:rPr>
            </w:pPr>
            <w:r>
              <w:rPr>
                <w:rFonts w:hint="eastAsia"/>
                <w:color w:val="000000"/>
                <w:sz w:val="24"/>
              </w:rPr>
              <w:t>符合性检查总评[合格或不合格]</w:t>
            </w:r>
          </w:p>
        </w:tc>
        <w:tc>
          <w:tcPr>
            <w:tcW w:w="509" w:type="dxa"/>
            <w:tcBorders>
              <w:bottom w:val="single" w:color="auto" w:sz="8" w:space="0"/>
            </w:tcBorders>
            <w:noWrap w:val="0"/>
            <w:vAlign w:val="center"/>
          </w:tcPr>
          <w:p>
            <w:pPr>
              <w:rPr>
                <w:rFonts w:hint="eastAsia"/>
                <w:color w:val="000000"/>
              </w:rPr>
            </w:pPr>
          </w:p>
        </w:tc>
        <w:tc>
          <w:tcPr>
            <w:tcW w:w="484" w:type="dxa"/>
            <w:gridSpan w:val="2"/>
            <w:tcBorders>
              <w:bottom w:val="single" w:color="auto" w:sz="8" w:space="0"/>
            </w:tcBorders>
            <w:noWrap w:val="0"/>
            <w:vAlign w:val="center"/>
          </w:tcPr>
          <w:p>
            <w:pPr>
              <w:rPr>
                <w:rFonts w:hint="eastAsia"/>
                <w:color w:val="000000"/>
              </w:rPr>
            </w:pPr>
          </w:p>
        </w:tc>
        <w:tc>
          <w:tcPr>
            <w:tcW w:w="474" w:type="dxa"/>
            <w:tcBorders>
              <w:bottom w:val="single" w:color="auto" w:sz="8" w:space="0"/>
            </w:tcBorders>
            <w:noWrap w:val="0"/>
            <w:vAlign w:val="center"/>
          </w:tcPr>
          <w:p>
            <w:pPr>
              <w:rPr>
                <w:rFonts w:hint="eastAsia"/>
                <w:color w:val="000000"/>
              </w:rPr>
            </w:pPr>
          </w:p>
        </w:tc>
        <w:tc>
          <w:tcPr>
            <w:tcW w:w="442" w:type="dxa"/>
            <w:tcBorders>
              <w:bottom w:val="single" w:color="auto" w:sz="8" w:space="0"/>
            </w:tcBorders>
            <w:noWrap w:val="0"/>
            <w:vAlign w:val="center"/>
          </w:tcPr>
          <w:p>
            <w:pPr>
              <w:rPr>
                <w:rFonts w:hint="eastAsia"/>
                <w:color w:val="000000"/>
              </w:rPr>
            </w:pPr>
          </w:p>
        </w:tc>
        <w:tc>
          <w:tcPr>
            <w:tcW w:w="447" w:type="dxa"/>
            <w:tcBorders>
              <w:bottom w:val="single" w:color="auto" w:sz="8" w:space="0"/>
            </w:tcBorders>
            <w:noWrap w:val="0"/>
            <w:vAlign w:val="center"/>
          </w:tcPr>
          <w:p>
            <w:pPr>
              <w:rPr>
                <w:rFonts w:hint="eastAsia"/>
                <w:color w:val="000000"/>
              </w:rPr>
            </w:pPr>
          </w:p>
        </w:tc>
        <w:tc>
          <w:tcPr>
            <w:tcW w:w="485" w:type="dxa"/>
            <w:gridSpan w:val="2"/>
            <w:tcBorders>
              <w:bottom w:val="single" w:color="auto" w:sz="8" w:space="0"/>
            </w:tcBorders>
            <w:noWrap w:val="0"/>
            <w:vAlign w:val="center"/>
          </w:tcPr>
          <w:p>
            <w:pPr>
              <w:rPr>
                <w:rFonts w:hint="eastAsia"/>
                <w:color w:val="000000"/>
              </w:rPr>
            </w:pPr>
          </w:p>
        </w:tc>
        <w:tc>
          <w:tcPr>
            <w:tcW w:w="478" w:type="dxa"/>
            <w:tcBorders>
              <w:bottom w:val="single" w:color="auto" w:sz="8" w:space="0"/>
            </w:tcBorders>
            <w:noWrap w:val="0"/>
            <w:vAlign w:val="center"/>
          </w:tcPr>
          <w:p>
            <w:pPr>
              <w:rPr>
                <w:rFonts w:hint="eastAsia"/>
                <w:color w:val="000000"/>
              </w:rPr>
            </w:pPr>
          </w:p>
        </w:tc>
        <w:tc>
          <w:tcPr>
            <w:tcW w:w="417" w:type="dxa"/>
            <w:tcBorders>
              <w:bottom w:val="single" w:color="auto" w:sz="8"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93" w:hRule="atLeast"/>
          <w:jc w:val="center"/>
        </w:trPr>
        <w:tc>
          <w:tcPr>
            <w:tcW w:w="4788" w:type="dxa"/>
            <w:gridSpan w:val="4"/>
            <w:tcBorders>
              <w:top w:val="single" w:color="auto" w:sz="8" w:space="0"/>
              <w:left w:val="single" w:color="auto" w:sz="8" w:space="0"/>
              <w:bottom w:val="single" w:color="auto" w:sz="8" w:space="0"/>
            </w:tcBorders>
            <w:noWrap w:val="0"/>
            <w:vAlign w:val="center"/>
          </w:tcPr>
          <w:p>
            <w:pPr>
              <w:rPr>
                <w:rFonts w:hint="eastAsia"/>
                <w:color w:val="000000"/>
                <w:sz w:val="24"/>
              </w:rPr>
            </w:pPr>
            <w:r>
              <w:rPr>
                <w:rFonts w:hint="eastAsia"/>
                <w:color w:val="000000"/>
                <w:sz w:val="24"/>
              </w:rPr>
              <w:t>投标文件初审结论[合格或不合格]</w:t>
            </w:r>
          </w:p>
        </w:tc>
        <w:tc>
          <w:tcPr>
            <w:tcW w:w="509" w:type="dxa"/>
            <w:tcBorders>
              <w:top w:val="single" w:color="auto" w:sz="8" w:space="0"/>
              <w:bottom w:val="single" w:color="auto" w:sz="8" w:space="0"/>
            </w:tcBorders>
            <w:noWrap w:val="0"/>
            <w:vAlign w:val="center"/>
          </w:tcPr>
          <w:p>
            <w:pPr>
              <w:rPr>
                <w:rFonts w:hint="eastAsia"/>
                <w:color w:val="000000"/>
              </w:rPr>
            </w:pPr>
          </w:p>
        </w:tc>
        <w:tc>
          <w:tcPr>
            <w:tcW w:w="484" w:type="dxa"/>
            <w:gridSpan w:val="2"/>
            <w:tcBorders>
              <w:top w:val="single" w:color="auto" w:sz="8" w:space="0"/>
              <w:bottom w:val="single" w:color="auto" w:sz="8" w:space="0"/>
            </w:tcBorders>
            <w:noWrap w:val="0"/>
            <w:vAlign w:val="center"/>
          </w:tcPr>
          <w:p>
            <w:pPr>
              <w:rPr>
                <w:rFonts w:hint="eastAsia"/>
                <w:color w:val="000000"/>
              </w:rPr>
            </w:pPr>
          </w:p>
        </w:tc>
        <w:tc>
          <w:tcPr>
            <w:tcW w:w="474" w:type="dxa"/>
            <w:tcBorders>
              <w:top w:val="single" w:color="auto" w:sz="8" w:space="0"/>
              <w:bottom w:val="single" w:color="auto" w:sz="8" w:space="0"/>
            </w:tcBorders>
            <w:noWrap w:val="0"/>
            <w:vAlign w:val="center"/>
          </w:tcPr>
          <w:p>
            <w:pPr>
              <w:rPr>
                <w:rFonts w:hint="eastAsia"/>
                <w:color w:val="000000"/>
              </w:rPr>
            </w:pPr>
          </w:p>
        </w:tc>
        <w:tc>
          <w:tcPr>
            <w:tcW w:w="442" w:type="dxa"/>
            <w:tcBorders>
              <w:top w:val="single" w:color="auto" w:sz="8" w:space="0"/>
              <w:bottom w:val="single" w:color="auto" w:sz="8" w:space="0"/>
            </w:tcBorders>
            <w:noWrap w:val="0"/>
            <w:vAlign w:val="center"/>
          </w:tcPr>
          <w:p>
            <w:pPr>
              <w:rPr>
                <w:rFonts w:hint="eastAsia"/>
                <w:color w:val="000000"/>
              </w:rPr>
            </w:pPr>
          </w:p>
        </w:tc>
        <w:tc>
          <w:tcPr>
            <w:tcW w:w="447" w:type="dxa"/>
            <w:tcBorders>
              <w:top w:val="single" w:color="auto" w:sz="8" w:space="0"/>
              <w:bottom w:val="single" w:color="auto" w:sz="8" w:space="0"/>
            </w:tcBorders>
            <w:noWrap w:val="0"/>
            <w:vAlign w:val="center"/>
          </w:tcPr>
          <w:p>
            <w:pPr>
              <w:rPr>
                <w:rFonts w:hint="eastAsia"/>
                <w:color w:val="000000"/>
              </w:rPr>
            </w:pPr>
          </w:p>
        </w:tc>
        <w:tc>
          <w:tcPr>
            <w:tcW w:w="485" w:type="dxa"/>
            <w:gridSpan w:val="2"/>
            <w:tcBorders>
              <w:top w:val="single" w:color="auto" w:sz="8" w:space="0"/>
              <w:bottom w:val="single" w:color="auto" w:sz="8" w:space="0"/>
            </w:tcBorders>
            <w:noWrap w:val="0"/>
            <w:vAlign w:val="center"/>
          </w:tcPr>
          <w:p>
            <w:pPr>
              <w:rPr>
                <w:rFonts w:hint="eastAsia"/>
                <w:color w:val="000000"/>
              </w:rPr>
            </w:pPr>
          </w:p>
        </w:tc>
        <w:tc>
          <w:tcPr>
            <w:tcW w:w="478" w:type="dxa"/>
            <w:tcBorders>
              <w:top w:val="single" w:color="auto" w:sz="8" w:space="0"/>
              <w:bottom w:val="single" w:color="auto" w:sz="8" w:space="0"/>
            </w:tcBorders>
            <w:noWrap w:val="0"/>
            <w:vAlign w:val="center"/>
          </w:tcPr>
          <w:p>
            <w:pPr>
              <w:rPr>
                <w:rFonts w:hint="eastAsia"/>
                <w:color w:val="000000"/>
              </w:rPr>
            </w:pPr>
          </w:p>
        </w:tc>
        <w:tc>
          <w:tcPr>
            <w:tcW w:w="417" w:type="dxa"/>
            <w:tcBorders>
              <w:top w:val="single" w:color="auto" w:sz="8" w:space="0"/>
              <w:bottom w:val="single" w:color="auto" w:sz="8" w:space="0"/>
              <w:right w:val="single" w:color="auto" w:sz="8" w:space="0"/>
            </w:tcBorders>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918" w:hRule="atLeast"/>
          <w:jc w:val="center"/>
        </w:trPr>
        <w:tc>
          <w:tcPr>
            <w:tcW w:w="2263" w:type="dxa"/>
            <w:gridSpan w:val="3"/>
            <w:tcBorders>
              <w:top w:val="single" w:color="auto" w:sz="8" w:space="0"/>
              <w:left w:val="single" w:color="auto" w:sz="8" w:space="0"/>
              <w:bottom w:val="single" w:color="auto" w:sz="8" w:space="0"/>
            </w:tcBorders>
            <w:noWrap w:val="0"/>
            <w:vAlign w:val="center"/>
          </w:tcPr>
          <w:p>
            <w:pPr>
              <w:jc w:val="center"/>
              <w:rPr>
                <w:rFonts w:hint="eastAsia"/>
                <w:color w:val="000000"/>
                <w:sz w:val="24"/>
              </w:rPr>
            </w:pPr>
            <w:r>
              <w:rPr>
                <w:rFonts w:hint="eastAsia"/>
                <w:color w:val="000000"/>
                <w:sz w:val="24"/>
              </w:rPr>
              <w:t>投标文件</w:t>
            </w:r>
          </w:p>
          <w:p>
            <w:pPr>
              <w:jc w:val="center"/>
              <w:rPr>
                <w:rFonts w:hint="eastAsia"/>
                <w:color w:val="000000"/>
                <w:sz w:val="24"/>
              </w:rPr>
            </w:pPr>
            <w:r>
              <w:rPr>
                <w:rFonts w:hint="eastAsia"/>
                <w:color w:val="000000"/>
                <w:sz w:val="24"/>
              </w:rPr>
              <w:t>初审情况说明</w:t>
            </w:r>
          </w:p>
        </w:tc>
        <w:tc>
          <w:tcPr>
            <w:tcW w:w="6261" w:type="dxa"/>
            <w:gridSpan w:val="11"/>
            <w:tcBorders>
              <w:top w:val="single" w:color="auto" w:sz="8" w:space="0"/>
              <w:bottom w:val="single" w:color="auto" w:sz="8" w:space="0"/>
              <w:right w:val="single" w:color="auto" w:sz="8" w:space="0"/>
            </w:tcBorders>
            <w:noWrap w:val="0"/>
            <w:vAlign w:val="center"/>
          </w:tcPr>
          <w:p>
            <w:pPr>
              <w:spacing w:line="360" w:lineRule="auto"/>
              <w:ind w:firstLine="480" w:firstLineChars="20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59" w:hRule="atLeast"/>
          <w:jc w:val="center"/>
        </w:trPr>
        <w:tc>
          <w:tcPr>
            <w:tcW w:w="2263" w:type="dxa"/>
            <w:gridSpan w:val="3"/>
            <w:tcBorders>
              <w:top w:val="single" w:color="auto" w:sz="8" w:space="0"/>
              <w:left w:val="single" w:color="auto" w:sz="8" w:space="0"/>
              <w:bottom w:val="single" w:color="auto" w:sz="8" w:space="0"/>
            </w:tcBorders>
            <w:noWrap w:val="0"/>
            <w:vAlign w:val="center"/>
          </w:tcPr>
          <w:p>
            <w:pPr>
              <w:jc w:val="center"/>
              <w:rPr>
                <w:rFonts w:hint="eastAsia"/>
                <w:color w:val="000000"/>
                <w:sz w:val="24"/>
              </w:rPr>
            </w:pPr>
            <w:r>
              <w:rPr>
                <w:color w:val="000000"/>
                <w:sz w:val="24"/>
              </w:rPr>
              <w:t>评标委员会成员</w:t>
            </w:r>
          </w:p>
          <w:p>
            <w:pPr>
              <w:jc w:val="center"/>
              <w:rPr>
                <w:rFonts w:hint="eastAsia"/>
                <w:color w:val="000000"/>
                <w:sz w:val="24"/>
              </w:rPr>
            </w:pPr>
            <w:r>
              <w:rPr>
                <w:color w:val="000000"/>
                <w:sz w:val="24"/>
              </w:rPr>
              <w:t>（签名）</w:t>
            </w:r>
          </w:p>
        </w:tc>
        <w:tc>
          <w:tcPr>
            <w:tcW w:w="6261" w:type="dxa"/>
            <w:gridSpan w:val="11"/>
            <w:tcBorders>
              <w:top w:val="single" w:color="auto" w:sz="8" w:space="0"/>
              <w:bottom w:val="single" w:color="auto" w:sz="8" w:space="0"/>
              <w:right w:val="single" w:color="auto" w:sz="8" w:space="0"/>
            </w:tcBorders>
            <w:noWrap w:val="0"/>
            <w:vAlign w:val="center"/>
          </w:tcPr>
          <w:p>
            <w:pPr>
              <w:spacing w:line="360" w:lineRule="auto"/>
              <w:ind w:firstLine="480" w:firstLineChars="200"/>
              <w:rPr>
                <w:rFonts w:hint="eastAsia" w:ascii="宋体" w:hAnsi="宋体"/>
                <w:color w:val="000000"/>
                <w:sz w:val="24"/>
              </w:rPr>
            </w:pPr>
          </w:p>
        </w:tc>
      </w:tr>
    </w:tbl>
    <w:p>
      <w:pPr>
        <w:spacing w:line="360" w:lineRule="auto"/>
        <w:ind w:firstLine="480" w:firstLineChars="200"/>
        <w:rPr>
          <w:rFonts w:hint="eastAsia" w:ascii="宋体" w:hAnsi="宋体"/>
          <w:color w:val="000000"/>
          <w:sz w:val="24"/>
        </w:rPr>
      </w:pPr>
      <w:r>
        <w:rPr>
          <w:rFonts w:hint="eastAsia" w:ascii="宋体" w:hAnsi="宋体"/>
          <w:color w:val="000000"/>
          <w:sz w:val="24"/>
        </w:rPr>
        <w:t>注：1、未涉及无效标条款的在表格中标注“/”，涉及的标注“是”；</w:t>
      </w:r>
    </w:p>
    <w:p>
      <w:pPr>
        <w:spacing w:line="360" w:lineRule="auto"/>
        <w:ind w:firstLine="960" w:firstLineChars="400"/>
        <w:rPr>
          <w:rFonts w:hint="eastAsia" w:ascii="宋体" w:hAnsi="宋体"/>
          <w:color w:val="000000"/>
          <w:sz w:val="24"/>
        </w:rPr>
      </w:pPr>
      <w:r>
        <w:rPr>
          <w:rFonts w:hint="eastAsia" w:ascii="宋体" w:hAnsi="宋体"/>
          <w:color w:val="000000"/>
          <w:sz w:val="24"/>
        </w:rPr>
        <w:t>2、投标人“资格性检查”不合格无须继续进行“符合性检查”，并且“投标文件初审结论”不合格；“资格性检查”合格但“符合性检查”不合格，“投标文件初审结论”也不合格。</w:t>
      </w:r>
    </w:p>
    <w:p>
      <w:pPr>
        <w:spacing w:line="360" w:lineRule="auto"/>
        <w:jc w:val="center"/>
        <w:rPr>
          <w:rFonts w:hint="eastAsia" w:ascii="宋体" w:hAnsi="宋体"/>
          <w:b/>
          <w:bCs/>
          <w:color w:val="000000"/>
          <w:sz w:val="24"/>
        </w:rPr>
      </w:pPr>
      <w:r>
        <w:rPr>
          <w:rFonts w:hint="eastAsia" w:ascii="宋体" w:hAnsi="宋体"/>
          <w:b/>
          <w:bCs/>
          <w:color w:val="000000"/>
          <w:sz w:val="24"/>
        </w:rPr>
        <w:t>公开招标（综合评分法）报价文件评审表（样表）</w:t>
      </w:r>
    </w:p>
    <w:p>
      <w:pPr>
        <w:spacing w:line="360" w:lineRule="auto"/>
        <w:jc w:val="center"/>
        <w:rPr>
          <w:rFonts w:hint="eastAsia" w:ascii="宋体" w:hAnsi="宋体"/>
          <w:color w:val="000000"/>
          <w:sz w:val="24"/>
        </w:rPr>
      </w:pPr>
      <w:r>
        <w:rPr>
          <w:rFonts w:hint="eastAsia" w:ascii="宋体" w:hAnsi="宋体"/>
          <w:color w:val="000000"/>
          <w:sz w:val="24"/>
        </w:rPr>
        <w:t>（不列入招标文件，作为评标资料格式）</w:t>
      </w:r>
    </w:p>
    <w:p>
      <w:pPr>
        <w:spacing w:line="360" w:lineRule="auto"/>
        <w:ind w:firstLine="480" w:firstLineChars="200"/>
        <w:rPr>
          <w:rFonts w:hint="eastAsia" w:ascii="宋体" w:hAnsi="宋体"/>
          <w:color w:val="000000"/>
          <w:sz w:val="24"/>
        </w:rPr>
      </w:pPr>
      <w:r>
        <w:rPr>
          <w:rFonts w:hint="eastAsia" w:ascii="宋体" w:hAnsi="宋体"/>
          <w:color w:val="000000"/>
          <w:sz w:val="24"/>
        </w:rPr>
        <w:t>项目名称：                               项目编号：XZCG  20**－GK－</w:t>
      </w:r>
    </w:p>
    <w:p>
      <w:pPr>
        <w:spacing w:line="360" w:lineRule="auto"/>
        <w:ind w:firstLine="480" w:firstLineChars="200"/>
        <w:rPr>
          <w:rFonts w:hint="eastAsia" w:ascii="宋体" w:hAnsi="宋体"/>
          <w:color w:val="000000"/>
          <w:sz w:val="24"/>
        </w:rPr>
      </w:pPr>
      <w:r>
        <w:rPr>
          <w:rFonts w:hint="eastAsia" w:ascii="宋体" w:hAnsi="宋体"/>
          <w:color w:val="000000"/>
          <w:sz w:val="24"/>
        </w:rPr>
        <w:t>开标时间：20**年**月**日**时开始</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411"/>
        <w:gridCol w:w="815"/>
        <w:gridCol w:w="2655"/>
        <w:gridCol w:w="573"/>
        <w:gridCol w:w="512"/>
        <w:gridCol w:w="586"/>
        <w:gridCol w:w="598"/>
        <w:gridCol w:w="531"/>
        <w:gridCol w:w="531"/>
        <w:gridCol w:w="537"/>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30" w:hRule="atLeast"/>
          <w:jc w:val="center"/>
        </w:trPr>
        <w:tc>
          <w:tcPr>
            <w:tcW w:w="4440" w:type="dxa"/>
            <w:gridSpan w:val="4"/>
            <w:tcBorders>
              <w:top w:val="single" w:color="auto" w:sz="8" w:space="0"/>
              <w:left w:val="single" w:color="auto" w:sz="8" w:space="0"/>
              <w:bottom w:val="single" w:color="auto" w:sz="8" w:space="0"/>
              <w:tl2br w:val="single" w:color="auto" w:sz="4" w:space="0"/>
            </w:tcBorders>
            <w:noWrap w:val="0"/>
            <w:vAlign w:val="center"/>
          </w:tcPr>
          <w:p>
            <w:pPr>
              <w:ind w:firstLine="3120" w:firstLineChars="1300"/>
              <w:rPr>
                <w:rFonts w:hint="eastAsia"/>
                <w:color w:val="000000"/>
                <w:sz w:val="24"/>
              </w:rPr>
            </w:pPr>
            <w:r>
              <w:rPr>
                <w:rFonts w:hint="eastAsia"/>
                <w:color w:val="000000"/>
                <w:sz w:val="24"/>
              </w:rPr>
              <w:t>投标人</w:t>
            </w:r>
          </w:p>
          <w:p>
            <w:pPr>
              <w:ind w:firstLine="360" w:firstLineChars="150"/>
              <w:rPr>
                <w:rFonts w:hint="eastAsia"/>
                <w:color w:val="000000"/>
                <w:sz w:val="24"/>
              </w:rPr>
            </w:pPr>
            <w:r>
              <w:rPr>
                <w:rFonts w:hint="eastAsia"/>
                <w:color w:val="000000"/>
                <w:sz w:val="24"/>
              </w:rPr>
              <w:t>评议内容</w:t>
            </w:r>
          </w:p>
        </w:tc>
        <w:tc>
          <w:tcPr>
            <w:tcW w:w="573" w:type="dxa"/>
            <w:tcBorders>
              <w:top w:val="single" w:color="auto" w:sz="8" w:space="0"/>
              <w:bottom w:val="single" w:color="auto" w:sz="8" w:space="0"/>
            </w:tcBorders>
            <w:noWrap w:val="0"/>
            <w:vAlign w:val="center"/>
          </w:tcPr>
          <w:p>
            <w:pPr>
              <w:rPr>
                <w:rFonts w:hint="eastAsia"/>
                <w:color w:val="000000"/>
                <w:sz w:val="24"/>
              </w:rPr>
            </w:pPr>
          </w:p>
        </w:tc>
        <w:tc>
          <w:tcPr>
            <w:tcW w:w="512" w:type="dxa"/>
            <w:tcBorders>
              <w:top w:val="single" w:color="auto" w:sz="8" w:space="0"/>
              <w:bottom w:val="single" w:color="auto" w:sz="8" w:space="0"/>
            </w:tcBorders>
            <w:noWrap w:val="0"/>
            <w:vAlign w:val="center"/>
          </w:tcPr>
          <w:p>
            <w:pPr>
              <w:rPr>
                <w:rFonts w:hint="eastAsia"/>
                <w:color w:val="000000"/>
                <w:sz w:val="24"/>
              </w:rPr>
            </w:pPr>
          </w:p>
        </w:tc>
        <w:tc>
          <w:tcPr>
            <w:tcW w:w="586" w:type="dxa"/>
            <w:tcBorders>
              <w:top w:val="single" w:color="auto" w:sz="8" w:space="0"/>
              <w:bottom w:val="single" w:color="auto" w:sz="8" w:space="0"/>
            </w:tcBorders>
            <w:noWrap w:val="0"/>
            <w:vAlign w:val="center"/>
          </w:tcPr>
          <w:p>
            <w:pPr>
              <w:rPr>
                <w:rFonts w:hint="eastAsia"/>
                <w:color w:val="000000"/>
                <w:sz w:val="24"/>
              </w:rPr>
            </w:pPr>
          </w:p>
        </w:tc>
        <w:tc>
          <w:tcPr>
            <w:tcW w:w="598" w:type="dxa"/>
            <w:tcBorders>
              <w:top w:val="single" w:color="auto" w:sz="8" w:space="0"/>
              <w:bottom w:val="single" w:color="auto" w:sz="8" w:space="0"/>
            </w:tcBorders>
            <w:noWrap w:val="0"/>
            <w:vAlign w:val="center"/>
          </w:tcPr>
          <w:p>
            <w:pPr>
              <w:rPr>
                <w:rFonts w:hint="eastAsia"/>
                <w:color w:val="000000"/>
                <w:sz w:val="24"/>
              </w:rPr>
            </w:pPr>
          </w:p>
        </w:tc>
        <w:tc>
          <w:tcPr>
            <w:tcW w:w="531" w:type="dxa"/>
            <w:tcBorders>
              <w:top w:val="single" w:color="auto" w:sz="8" w:space="0"/>
              <w:bottom w:val="single" w:color="auto" w:sz="8" w:space="0"/>
            </w:tcBorders>
            <w:noWrap w:val="0"/>
            <w:vAlign w:val="center"/>
          </w:tcPr>
          <w:p>
            <w:pPr>
              <w:rPr>
                <w:rFonts w:hint="eastAsia"/>
                <w:color w:val="000000"/>
                <w:sz w:val="24"/>
              </w:rPr>
            </w:pPr>
          </w:p>
        </w:tc>
        <w:tc>
          <w:tcPr>
            <w:tcW w:w="531" w:type="dxa"/>
            <w:tcBorders>
              <w:top w:val="single" w:color="auto" w:sz="8" w:space="0"/>
              <w:bottom w:val="single" w:color="auto" w:sz="8" w:space="0"/>
            </w:tcBorders>
            <w:noWrap w:val="0"/>
            <w:vAlign w:val="center"/>
          </w:tcPr>
          <w:p>
            <w:pPr>
              <w:rPr>
                <w:rFonts w:hint="eastAsia"/>
                <w:color w:val="000000"/>
                <w:sz w:val="24"/>
              </w:rPr>
            </w:pPr>
          </w:p>
        </w:tc>
        <w:tc>
          <w:tcPr>
            <w:tcW w:w="537" w:type="dxa"/>
            <w:tcBorders>
              <w:top w:val="single" w:color="auto" w:sz="8" w:space="0"/>
              <w:bottom w:val="single" w:color="auto" w:sz="8" w:space="0"/>
            </w:tcBorders>
            <w:noWrap w:val="0"/>
            <w:vAlign w:val="center"/>
          </w:tcPr>
          <w:p>
            <w:pPr>
              <w:rPr>
                <w:rFonts w:hint="eastAsia"/>
                <w:color w:val="000000"/>
                <w:sz w:val="24"/>
              </w:rPr>
            </w:pPr>
          </w:p>
        </w:tc>
        <w:tc>
          <w:tcPr>
            <w:tcW w:w="504" w:type="dxa"/>
            <w:tcBorders>
              <w:top w:val="single" w:color="auto" w:sz="8" w:space="0"/>
              <w:bottom w:val="single" w:color="auto" w:sz="8" w:space="0"/>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559" w:type="dxa"/>
            <w:vMerge w:val="restart"/>
            <w:tcBorders>
              <w:top w:val="single" w:color="auto" w:sz="8" w:space="0"/>
              <w:left w:val="single" w:color="auto" w:sz="8" w:space="0"/>
            </w:tcBorders>
            <w:noWrap w:val="0"/>
            <w:textDirection w:val="tbRlV"/>
            <w:vAlign w:val="center"/>
          </w:tcPr>
          <w:p>
            <w:pPr>
              <w:jc w:val="center"/>
              <w:rPr>
                <w:rFonts w:hint="eastAsia"/>
                <w:color w:val="000000"/>
                <w:sz w:val="24"/>
              </w:rPr>
            </w:pPr>
            <w:r>
              <w:rPr>
                <w:rFonts w:hint="eastAsia"/>
                <w:color w:val="000000"/>
                <w:sz w:val="24"/>
              </w:rPr>
              <w:t>报价文件评审</w:t>
            </w:r>
          </w:p>
        </w:tc>
        <w:tc>
          <w:tcPr>
            <w:tcW w:w="411" w:type="dxa"/>
            <w:tcBorders>
              <w:top w:val="single" w:color="auto" w:sz="8" w:space="0"/>
            </w:tcBorders>
            <w:noWrap w:val="0"/>
            <w:vAlign w:val="center"/>
          </w:tcPr>
          <w:p>
            <w:pPr>
              <w:rPr>
                <w:rFonts w:hint="eastAsia"/>
                <w:color w:val="000000"/>
                <w:sz w:val="24"/>
              </w:rPr>
            </w:pPr>
            <w:r>
              <w:rPr>
                <w:rFonts w:hint="eastAsia"/>
                <w:color w:val="000000"/>
                <w:sz w:val="24"/>
              </w:rPr>
              <w:t>1</w:t>
            </w:r>
          </w:p>
        </w:tc>
        <w:tc>
          <w:tcPr>
            <w:tcW w:w="3470" w:type="dxa"/>
            <w:gridSpan w:val="2"/>
            <w:tcBorders>
              <w:top w:val="single" w:color="auto" w:sz="8" w:space="0"/>
            </w:tcBorders>
            <w:noWrap w:val="0"/>
            <w:vAlign w:val="center"/>
          </w:tcPr>
          <w:p>
            <w:pPr>
              <w:rPr>
                <w:rFonts w:hint="eastAsia"/>
                <w:color w:val="000000"/>
                <w:sz w:val="24"/>
              </w:rPr>
            </w:pPr>
            <w:r>
              <w:rPr>
                <w:rFonts w:hint="eastAsia"/>
                <w:color w:val="000000"/>
                <w:sz w:val="24"/>
              </w:rPr>
              <w:t>是否涉及无效标24.2.1条款</w:t>
            </w:r>
          </w:p>
        </w:tc>
        <w:tc>
          <w:tcPr>
            <w:tcW w:w="573" w:type="dxa"/>
            <w:tcBorders>
              <w:top w:val="single" w:color="auto" w:sz="8" w:space="0"/>
            </w:tcBorders>
            <w:noWrap w:val="0"/>
            <w:vAlign w:val="center"/>
          </w:tcPr>
          <w:p>
            <w:pPr>
              <w:rPr>
                <w:rFonts w:hint="eastAsia"/>
                <w:color w:val="000000"/>
                <w:sz w:val="24"/>
              </w:rPr>
            </w:pPr>
          </w:p>
        </w:tc>
        <w:tc>
          <w:tcPr>
            <w:tcW w:w="512" w:type="dxa"/>
            <w:tcBorders>
              <w:top w:val="single" w:color="auto" w:sz="8" w:space="0"/>
            </w:tcBorders>
            <w:noWrap w:val="0"/>
            <w:vAlign w:val="center"/>
          </w:tcPr>
          <w:p>
            <w:pPr>
              <w:rPr>
                <w:rFonts w:hint="eastAsia"/>
                <w:color w:val="000000"/>
                <w:sz w:val="24"/>
              </w:rPr>
            </w:pPr>
          </w:p>
        </w:tc>
        <w:tc>
          <w:tcPr>
            <w:tcW w:w="586" w:type="dxa"/>
            <w:tcBorders>
              <w:top w:val="single" w:color="auto" w:sz="8" w:space="0"/>
            </w:tcBorders>
            <w:noWrap w:val="0"/>
            <w:vAlign w:val="center"/>
          </w:tcPr>
          <w:p>
            <w:pPr>
              <w:rPr>
                <w:rFonts w:hint="eastAsia"/>
                <w:color w:val="000000"/>
                <w:sz w:val="24"/>
              </w:rPr>
            </w:pPr>
          </w:p>
        </w:tc>
        <w:tc>
          <w:tcPr>
            <w:tcW w:w="598" w:type="dxa"/>
            <w:tcBorders>
              <w:top w:val="single" w:color="auto" w:sz="8" w:space="0"/>
            </w:tcBorders>
            <w:noWrap w:val="0"/>
            <w:vAlign w:val="center"/>
          </w:tcPr>
          <w:p>
            <w:pPr>
              <w:rPr>
                <w:rFonts w:hint="eastAsia"/>
                <w:color w:val="000000"/>
                <w:sz w:val="24"/>
              </w:rPr>
            </w:pPr>
          </w:p>
        </w:tc>
        <w:tc>
          <w:tcPr>
            <w:tcW w:w="531" w:type="dxa"/>
            <w:tcBorders>
              <w:top w:val="single" w:color="auto" w:sz="8" w:space="0"/>
            </w:tcBorders>
            <w:noWrap w:val="0"/>
            <w:vAlign w:val="center"/>
          </w:tcPr>
          <w:p>
            <w:pPr>
              <w:rPr>
                <w:rFonts w:hint="eastAsia"/>
                <w:color w:val="000000"/>
                <w:sz w:val="24"/>
              </w:rPr>
            </w:pPr>
          </w:p>
        </w:tc>
        <w:tc>
          <w:tcPr>
            <w:tcW w:w="531" w:type="dxa"/>
            <w:tcBorders>
              <w:top w:val="single" w:color="auto" w:sz="8" w:space="0"/>
            </w:tcBorders>
            <w:noWrap w:val="0"/>
            <w:vAlign w:val="center"/>
          </w:tcPr>
          <w:p>
            <w:pPr>
              <w:rPr>
                <w:rFonts w:hint="eastAsia"/>
                <w:color w:val="000000"/>
                <w:sz w:val="24"/>
              </w:rPr>
            </w:pPr>
          </w:p>
        </w:tc>
        <w:tc>
          <w:tcPr>
            <w:tcW w:w="537" w:type="dxa"/>
            <w:tcBorders>
              <w:top w:val="single" w:color="auto" w:sz="8" w:space="0"/>
            </w:tcBorders>
            <w:noWrap w:val="0"/>
            <w:vAlign w:val="center"/>
          </w:tcPr>
          <w:p>
            <w:pPr>
              <w:rPr>
                <w:rFonts w:hint="eastAsia"/>
                <w:color w:val="000000"/>
                <w:sz w:val="24"/>
              </w:rPr>
            </w:pPr>
          </w:p>
        </w:tc>
        <w:tc>
          <w:tcPr>
            <w:tcW w:w="504" w:type="dxa"/>
            <w:tcBorders>
              <w:top w:val="single" w:color="auto" w:sz="8" w:space="0"/>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5" w:hRule="atLeast"/>
          <w:jc w:val="center"/>
        </w:trPr>
        <w:tc>
          <w:tcPr>
            <w:tcW w:w="559" w:type="dxa"/>
            <w:vMerge w:val="continue"/>
            <w:tcBorders>
              <w:left w:val="single" w:color="auto" w:sz="8" w:space="0"/>
            </w:tcBorders>
            <w:noWrap w:val="0"/>
            <w:vAlign w:val="center"/>
          </w:tcPr>
          <w:p>
            <w:pPr>
              <w:rPr>
                <w:rFonts w:hint="eastAsia"/>
                <w:color w:val="000000"/>
                <w:sz w:val="24"/>
              </w:rPr>
            </w:pPr>
          </w:p>
        </w:tc>
        <w:tc>
          <w:tcPr>
            <w:tcW w:w="411" w:type="dxa"/>
            <w:noWrap w:val="0"/>
            <w:vAlign w:val="center"/>
          </w:tcPr>
          <w:p>
            <w:pPr>
              <w:rPr>
                <w:rFonts w:hint="eastAsia"/>
                <w:color w:val="000000"/>
                <w:sz w:val="24"/>
              </w:rPr>
            </w:pPr>
            <w:r>
              <w:rPr>
                <w:rFonts w:hint="eastAsia"/>
                <w:color w:val="000000"/>
                <w:sz w:val="24"/>
              </w:rPr>
              <w:t>2</w:t>
            </w:r>
          </w:p>
        </w:tc>
        <w:tc>
          <w:tcPr>
            <w:tcW w:w="3470" w:type="dxa"/>
            <w:gridSpan w:val="2"/>
            <w:noWrap w:val="0"/>
            <w:vAlign w:val="center"/>
          </w:tcPr>
          <w:p>
            <w:pPr>
              <w:rPr>
                <w:rFonts w:hint="eastAsia"/>
                <w:color w:val="000000"/>
                <w:sz w:val="24"/>
              </w:rPr>
            </w:pPr>
            <w:r>
              <w:rPr>
                <w:rFonts w:hint="eastAsia"/>
                <w:color w:val="000000"/>
                <w:sz w:val="24"/>
              </w:rPr>
              <w:t>是否涉及无效标24.2.2条款</w:t>
            </w:r>
          </w:p>
        </w:tc>
        <w:tc>
          <w:tcPr>
            <w:tcW w:w="573" w:type="dxa"/>
            <w:noWrap w:val="0"/>
            <w:vAlign w:val="center"/>
          </w:tcPr>
          <w:p>
            <w:pPr>
              <w:rPr>
                <w:rFonts w:hint="eastAsia"/>
                <w:color w:val="000000"/>
                <w:sz w:val="24"/>
              </w:rPr>
            </w:pPr>
          </w:p>
        </w:tc>
        <w:tc>
          <w:tcPr>
            <w:tcW w:w="512" w:type="dxa"/>
            <w:noWrap w:val="0"/>
            <w:vAlign w:val="center"/>
          </w:tcPr>
          <w:p>
            <w:pPr>
              <w:rPr>
                <w:rFonts w:hint="eastAsia"/>
                <w:color w:val="000000"/>
                <w:sz w:val="24"/>
              </w:rPr>
            </w:pPr>
          </w:p>
        </w:tc>
        <w:tc>
          <w:tcPr>
            <w:tcW w:w="586" w:type="dxa"/>
            <w:noWrap w:val="0"/>
            <w:vAlign w:val="center"/>
          </w:tcPr>
          <w:p>
            <w:pPr>
              <w:rPr>
                <w:rFonts w:hint="eastAsia"/>
                <w:color w:val="000000"/>
                <w:sz w:val="24"/>
              </w:rPr>
            </w:pPr>
          </w:p>
        </w:tc>
        <w:tc>
          <w:tcPr>
            <w:tcW w:w="598" w:type="dxa"/>
            <w:noWrap w:val="0"/>
            <w:vAlign w:val="center"/>
          </w:tcPr>
          <w:p>
            <w:pPr>
              <w:rPr>
                <w:rFonts w:hint="eastAsia"/>
                <w:color w:val="000000"/>
                <w:sz w:val="24"/>
              </w:rPr>
            </w:pPr>
          </w:p>
        </w:tc>
        <w:tc>
          <w:tcPr>
            <w:tcW w:w="531" w:type="dxa"/>
            <w:noWrap w:val="0"/>
            <w:vAlign w:val="center"/>
          </w:tcPr>
          <w:p>
            <w:pPr>
              <w:rPr>
                <w:rFonts w:hint="eastAsia"/>
                <w:color w:val="000000"/>
                <w:sz w:val="24"/>
              </w:rPr>
            </w:pPr>
          </w:p>
        </w:tc>
        <w:tc>
          <w:tcPr>
            <w:tcW w:w="531" w:type="dxa"/>
            <w:noWrap w:val="0"/>
            <w:vAlign w:val="center"/>
          </w:tcPr>
          <w:p>
            <w:pPr>
              <w:rPr>
                <w:rFonts w:hint="eastAsia"/>
                <w:color w:val="000000"/>
                <w:sz w:val="24"/>
              </w:rPr>
            </w:pPr>
          </w:p>
        </w:tc>
        <w:tc>
          <w:tcPr>
            <w:tcW w:w="537" w:type="dxa"/>
            <w:noWrap w:val="0"/>
            <w:vAlign w:val="center"/>
          </w:tcPr>
          <w:p>
            <w:pPr>
              <w:rPr>
                <w:rFonts w:hint="eastAsia"/>
                <w:color w:val="000000"/>
                <w:sz w:val="24"/>
              </w:rPr>
            </w:pPr>
          </w:p>
        </w:tc>
        <w:tc>
          <w:tcPr>
            <w:tcW w:w="504" w:type="dxa"/>
            <w:tcBorders>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5" w:hRule="atLeast"/>
          <w:jc w:val="center"/>
        </w:trPr>
        <w:tc>
          <w:tcPr>
            <w:tcW w:w="559" w:type="dxa"/>
            <w:vMerge w:val="continue"/>
            <w:tcBorders>
              <w:left w:val="single" w:color="auto" w:sz="8" w:space="0"/>
            </w:tcBorders>
            <w:noWrap w:val="0"/>
            <w:vAlign w:val="center"/>
          </w:tcPr>
          <w:p>
            <w:pPr>
              <w:rPr>
                <w:rFonts w:hint="eastAsia"/>
                <w:color w:val="000000"/>
                <w:sz w:val="24"/>
              </w:rPr>
            </w:pPr>
          </w:p>
        </w:tc>
        <w:tc>
          <w:tcPr>
            <w:tcW w:w="411" w:type="dxa"/>
            <w:noWrap w:val="0"/>
            <w:vAlign w:val="center"/>
          </w:tcPr>
          <w:p>
            <w:pPr>
              <w:rPr>
                <w:rFonts w:hint="eastAsia"/>
                <w:color w:val="000000"/>
                <w:sz w:val="24"/>
              </w:rPr>
            </w:pPr>
            <w:r>
              <w:rPr>
                <w:rFonts w:hint="eastAsia"/>
                <w:color w:val="000000"/>
                <w:sz w:val="24"/>
              </w:rPr>
              <w:t>3</w:t>
            </w:r>
          </w:p>
        </w:tc>
        <w:tc>
          <w:tcPr>
            <w:tcW w:w="3470" w:type="dxa"/>
            <w:gridSpan w:val="2"/>
            <w:noWrap w:val="0"/>
            <w:vAlign w:val="center"/>
          </w:tcPr>
          <w:p>
            <w:pPr>
              <w:rPr>
                <w:rFonts w:hint="eastAsia"/>
                <w:color w:val="000000"/>
                <w:sz w:val="24"/>
              </w:rPr>
            </w:pPr>
            <w:r>
              <w:rPr>
                <w:rFonts w:hint="eastAsia"/>
                <w:color w:val="000000"/>
                <w:sz w:val="24"/>
              </w:rPr>
              <w:t>是否涉及无效标24.2.3条款</w:t>
            </w:r>
          </w:p>
        </w:tc>
        <w:tc>
          <w:tcPr>
            <w:tcW w:w="573" w:type="dxa"/>
            <w:noWrap w:val="0"/>
            <w:vAlign w:val="center"/>
          </w:tcPr>
          <w:p>
            <w:pPr>
              <w:rPr>
                <w:rFonts w:hint="eastAsia"/>
                <w:color w:val="000000"/>
                <w:sz w:val="24"/>
              </w:rPr>
            </w:pPr>
          </w:p>
        </w:tc>
        <w:tc>
          <w:tcPr>
            <w:tcW w:w="512" w:type="dxa"/>
            <w:noWrap w:val="0"/>
            <w:vAlign w:val="center"/>
          </w:tcPr>
          <w:p>
            <w:pPr>
              <w:rPr>
                <w:rFonts w:hint="eastAsia"/>
                <w:color w:val="000000"/>
                <w:sz w:val="24"/>
              </w:rPr>
            </w:pPr>
          </w:p>
        </w:tc>
        <w:tc>
          <w:tcPr>
            <w:tcW w:w="586" w:type="dxa"/>
            <w:noWrap w:val="0"/>
            <w:vAlign w:val="center"/>
          </w:tcPr>
          <w:p>
            <w:pPr>
              <w:rPr>
                <w:rFonts w:hint="eastAsia"/>
                <w:color w:val="000000"/>
                <w:sz w:val="24"/>
              </w:rPr>
            </w:pPr>
          </w:p>
        </w:tc>
        <w:tc>
          <w:tcPr>
            <w:tcW w:w="598" w:type="dxa"/>
            <w:noWrap w:val="0"/>
            <w:vAlign w:val="center"/>
          </w:tcPr>
          <w:p>
            <w:pPr>
              <w:rPr>
                <w:rFonts w:hint="eastAsia"/>
                <w:color w:val="000000"/>
                <w:sz w:val="24"/>
              </w:rPr>
            </w:pPr>
          </w:p>
        </w:tc>
        <w:tc>
          <w:tcPr>
            <w:tcW w:w="531" w:type="dxa"/>
            <w:noWrap w:val="0"/>
            <w:vAlign w:val="center"/>
          </w:tcPr>
          <w:p>
            <w:pPr>
              <w:rPr>
                <w:rFonts w:hint="eastAsia"/>
                <w:color w:val="000000"/>
                <w:sz w:val="24"/>
              </w:rPr>
            </w:pPr>
          </w:p>
        </w:tc>
        <w:tc>
          <w:tcPr>
            <w:tcW w:w="531" w:type="dxa"/>
            <w:noWrap w:val="0"/>
            <w:vAlign w:val="center"/>
          </w:tcPr>
          <w:p>
            <w:pPr>
              <w:rPr>
                <w:rFonts w:hint="eastAsia"/>
                <w:color w:val="000000"/>
                <w:sz w:val="24"/>
              </w:rPr>
            </w:pPr>
          </w:p>
        </w:tc>
        <w:tc>
          <w:tcPr>
            <w:tcW w:w="537" w:type="dxa"/>
            <w:noWrap w:val="0"/>
            <w:vAlign w:val="center"/>
          </w:tcPr>
          <w:p>
            <w:pPr>
              <w:rPr>
                <w:rFonts w:hint="eastAsia"/>
                <w:color w:val="000000"/>
                <w:sz w:val="24"/>
              </w:rPr>
            </w:pPr>
          </w:p>
        </w:tc>
        <w:tc>
          <w:tcPr>
            <w:tcW w:w="504" w:type="dxa"/>
            <w:tcBorders>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559" w:type="dxa"/>
            <w:vMerge w:val="continue"/>
            <w:tcBorders>
              <w:left w:val="single" w:color="auto" w:sz="8" w:space="0"/>
            </w:tcBorders>
            <w:noWrap w:val="0"/>
            <w:vAlign w:val="center"/>
          </w:tcPr>
          <w:p>
            <w:pPr>
              <w:rPr>
                <w:rFonts w:hint="eastAsia"/>
                <w:color w:val="000000"/>
                <w:sz w:val="24"/>
              </w:rPr>
            </w:pPr>
          </w:p>
        </w:tc>
        <w:tc>
          <w:tcPr>
            <w:tcW w:w="411" w:type="dxa"/>
            <w:tcBorders>
              <w:right w:val="single" w:color="auto" w:sz="8" w:space="0"/>
            </w:tcBorders>
            <w:noWrap w:val="0"/>
            <w:vAlign w:val="center"/>
          </w:tcPr>
          <w:p>
            <w:pPr>
              <w:rPr>
                <w:rFonts w:hint="eastAsia"/>
                <w:color w:val="000000"/>
                <w:sz w:val="24"/>
              </w:rPr>
            </w:pPr>
            <w:r>
              <w:rPr>
                <w:rFonts w:hint="eastAsia"/>
                <w:color w:val="000000"/>
                <w:sz w:val="24"/>
              </w:rPr>
              <w:t>4</w:t>
            </w:r>
          </w:p>
        </w:tc>
        <w:tc>
          <w:tcPr>
            <w:tcW w:w="3470" w:type="dxa"/>
            <w:gridSpan w:val="2"/>
            <w:tcBorders>
              <w:right w:val="single" w:color="auto" w:sz="8" w:space="0"/>
            </w:tcBorders>
            <w:noWrap w:val="0"/>
            <w:vAlign w:val="center"/>
          </w:tcPr>
          <w:p>
            <w:pPr>
              <w:rPr>
                <w:rFonts w:hint="eastAsia"/>
                <w:color w:val="000000"/>
                <w:sz w:val="24"/>
              </w:rPr>
            </w:pPr>
            <w:r>
              <w:rPr>
                <w:rFonts w:hint="eastAsia"/>
                <w:color w:val="000000"/>
                <w:sz w:val="24"/>
              </w:rPr>
              <w:t>是否涉及无效标24.2.4条款</w:t>
            </w:r>
          </w:p>
        </w:tc>
        <w:tc>
          <w:tcPr>
            <w:tcW w:w="573" w:type="dxa"/>
            <w:tcBorders>
              <w:right w:val="single" w:color="auto" w:sz="8" w:space="0"/>
            </w:tcBorders>
            <w:noWrap w:val="0"/>
            <w:vAlign w:val="center"/>
          </w:tcPr>
          <w:p>
            <w:pPr>
              <w:rPr>
                <w:rFonts w:hint="eastAsia"/>
                <w:color w:val="000000"/>
                <w:sz w:val="24"/>
              </w:rPr>
            </w:pPr>
          </w:p>
        </w:tc>
        <w:tc>
          <w:tcPr>
            <w:tcW w:w="512" w:type="dxa"/>
            <w:tcBorders>
              <w:right w:val="single" w:color="auto" w:sz="8" w:space="0"/>
            </w:tcBorders>
            <w:noWrap w:val="0"/>
            <w:vAlign w:val="center"/>
          </w:tcPr>
          <w:p>
            <w:pPr>
              <w:rPr>
                <w:rFonts w:hint="eastAsia"/>
                <w:color w:val="000000"/>
                <w:sz w:val="24"/>
              </w:rPr>
            </w:pPr>
          </w:p>
        </w:tc>
        <w:tc>
          <w:tcPr>
            <w:tcW w:w="586" w:type="dxa"/>
            <w:tcBorders>
              <w:right w:val="single" w:color="auto" w:sz="8" w:space="0"/>
            </w:tcBorders>
            <w:noWrap w:val="0"/>
            <w:vAlign w:val="center"/>
          </w:tcPr>
          <w:p>
            <w:pPr>
              <w:rPr>
                <w:rFonts w:hint="eastAsia"/>
                <w:color w:val="000000"/>
                <w:sz w:val="24"/>
              </w:rPr>
            </w:pPr>
          </w:p>
        </w:tc>
        <w:tc>
          <w:tcPr>
            <w:tcW w:w="598"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7" w:type="dxa"/>
            <w:tcBorders>
              <w:right w:val="single" w:color="auto" w:sz="8" w:space="0"/>
            </w:tcBorders>
            <w:noWrap w:val="0"/>
            <w:vAlign w:val="center"/>
          </w:tcPr>
          <w:p>
            <w:pPr>
              <w:rPr>
                <w:rFonts w:hint="eastAsia"/>
                <w:color w:val="000000"/>
                <w:sz w:val="24"/>
              </w:rPr>
            </w:pPr>
          </w:p>
        </w:tc>
        <w:tc>
          <w:tcPr>
            <w:tcW w:w="504" w:type="dxa"/>
            <w:tcBorders>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559" w:type="dxa"/>
            <w:vMerge w:val="continue"/>
            <w:tcBorders>
              <w:left w:val="single" w:color="auto" w:sz="8" w:space="0"/>
            </w:tcBorders>
            <w:noWrap w:val="0"/>
            <w:vAlign w:val="center"/>
          </w:tcPr>
          <w:p>
            <w:pPr>
              <w:rPr>
                <w:rFonts w:hint="eastAsia"/>
                <w:color w:val="000000"/>
                <w:sz w:val="24"/>
              </w:rPr>
            </w:pPr>
          </w:p>
        </w:tc>
        <w:tc>
          <w:tcPr>
            <w:tcW w:w="411" w:type="dxa"/>
            <w:tcBorders>
              <w:right w:val="single" w:color="auto" w:sz="8" w:space="0"/>
            </w:tcBorders>
            <w:noWrap w:val="0"/>
            <w:vAlign w:val="center"/>
          </w:tcPr>
          <w:p>
            <w:pPr>
              <w:rPr>
                <w:rFonts w:hint="eastAsia"/>
                <w:color w:val="000000"/>
                <w:sz w:val="24"/>
              </w:rPr>
            </w:pPr>
            <w:r>
              <w:rPr>
                <w:rFonts w:hint="eastAsia"/>
                <w:color w:val="000000"/>
                <w:sz w:val="24"/>
              </w:rPr>
              <w:t>5</w:t>
            </w:r>
          </w:p>
        </w:tc>
        <w:tc>
          <w:tcPr>
            <w:tcW w:w="3470" w:type="dxa"/>
            <w:gridSpan w:val="2"/>
            <w:tcBorders>
              <w:right w:val="single" w:color="auto" w:sz="8" w:space="0"/>
            </w:tcBorders>
            <w:noWrap w:val="0"/>
            <w:vAlign w:val="center"/>
          </w:tcPr>
          <w:p>
            <w:pPr>
              <w:rPr>
                <w:rFonts w:hint="eastAsia"/>
                <w:color w:val="000000"/>
                <w:sz w:val="24"/>
              </w:rPr>
            </w:pPr>
            <w:r>
              <w:rPr>
                <w:rFonts w:hint="eastAsia"/>
                <w:color w:val="000000"/>
                <w:sz w:val="24"/>
              </w:rPr>
              <w:t>是否涉及无效标24.2.5条款</w:t>
            </w:r>
          </w:p>
        </w:tc>
        <w:tc>
          <w:tcPr>
            <w:tcW w:w="573" w:type="dxa"/>
            <w:tcBorders>
              <w:right w:val="single" w:color="auto" w:sz="8" w:space="0"/>
            </w:tcBorders>
            <w:noWrap w:val="0"/>
            <w:vAlign w:val="center"/>
          </w:tcPr>
          <w:p>
            <w:pPr>
              <w:rPr>
                <w:rFonts w:hint="eastAsia"/>
                <w:color w:val="000000"/>
                <w:sz w:val="24"/>
              </w:rPr>
            </w:pPr>
          </w:p>
        </w:tc>
        <w:tc>
          <w:tcPr>
            <w:tcW w:w="512" w:type="dxa"/>
            <w:tcBorders>
              <w:right w:val="single" w:color="auto" w:sz="8" w:space="0"/>
            </w:tcBorders>
            <w:noWrap w:val="0"/>
            <w:vAlign w:val="center"/>
          </w:tcPr>
          <w:p>
            <w:pPr>
              <w:rPr>
                <w:rFonts w:hint="eastAsia"/>
                <w:color w:val="000000"/>
                <w:sz w:val="24"/>
              </w:rPr>
            </w:pPr>
          </w:p>
        </w:tc>
        <w:tc>
          <w:tcPr>
            <w:tcW w:w="586" w:type="dxa"/>
            <w:tcBorders>
              <w:right w:val="single" w:color="auto" w:sz="8" w:space="0"/>
            </w:tcBorders>
            <w:noWrap w:val="0"/>
            <w:vAlign w:val="center"/>
          </w:tcPr>
          <w:p>
            <w:pPr>
              <w:rPr>
                <w:rFonts w:hint="eastAsia"/>
                <w:color w:val="000000"/>
                <w:sz w:val="24"/>
              </w:rPr>
            </w:pPr>
          </w:p>
        </w:tc>
        <w:tc>
          <w:tcPr>
            <w:tcW w:w="598"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7" w:type="dxa"/>
            <w:tcBorders>
              <w:right w:val="single" w:color="auto" w:sz="8" w:space="0"/>
            </w:tcBorders>
            <w:noWrap w:val="0"/>
            <w:vAlign w:val="center"/>
          </w:tcPr>
          <w:p>
            <w:pPr>
              <w:rPr>
                <w:rFonts w:hint="eastAsia"/>
                <w:color w:val="000000"/>
                <w:sz w:val="24"/>
              </w:rPr>
            </w:pPr>
          </w:p>
        </w:tc>
        <w:tc>
          <w:tcPr>
            <w:tcW w:w="504" w:type="dxa"/>
            <w:tcBorders>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559" w:type="dxa"/>
            <w:vMerge w:val="continue"/>
            <w:tcBorders>
              <w:left w:val="single" w:color="auto" w:sz="8" w:space="0"/>
            </w:tcBorders>
            <w:noWrap w:val="0"/>
            <w:vAlign w:val="center"/>
          </w:tcPr>
          <w:p>
            <w:pPr>
              <w:rPr>
                <w:rFonts w:hint="eastAsia"/>
                <w:color w:val="000000"/>
                <w:sz w:val="24"/>
              </w:rPr>
            </w:pPr>
          </w:p>
        </w:tc>
        <w:tc>
          <w:tcPr>
            <w:tcW w:w="411" w:type="dxa"/>
            <w:tcBorders>
              <w:right w:val="single" w:color="auto" w:sz="8" w:space="0"/>
            </w:tcBorders>
            <w:noWrap w:val="0"/>
            <w:vAlign w:val="center"/>
          </w:tcPr>
          <w:p>
            <w:pPr>
              <w:rPr>
                <w:rFonts w:hint="eastAsia"/>
                <w:color w:val="000000"/>
                <w:sz w:val="24"/>
              </w:rPr>
            </w:pPr>
            <w:r>
              <w:rPr>
                <w:rFonts w:hint="eastAsia"/>
                <w:color w:val="000000"/>
                <w:sz w:val="24"/>
              </w:rPr>
              <w:t>6</w:t>
            </w:r>
          </w:p>
        </w:tc>
        <w:tc>
          <w:tcPr>
            <w:tcW w:w="3470" w:type="dxa"/>
            <w:gridSpan w:val="2"/>
            <w:tcBorders>
              <w:right w:val="single" w:color="auto" w:sz="8" w:space="0"/>
            </w:tcBorders>
            <w:noWrap w:val="0"/>
            <w:vAlign w:val="center"/>
          </w:tcPr>
          <w:p>
            <w:pPr>
              <w:rPr>
                <w:rFonts w:hint="eastAsia"/>
                <w:color w:val="000000"/>
                <w:sz w:val="24"/>
              </w:rPr>
            </w:pPr>
            <w:r>
              <w:rPr>
                <w:rFonts w:hint="eastAsia"/>
                <w:color w:val="000000"/>
                <w:sz w:val="24"/>
              </w:rPr>
              <w:t>是否涉及无效标24.2.6条款</w:t>
            </w:r>
          </w:p>
        </w:tc>
        <w:tc>
          <w:tcPr>
            <w:tcW w:w="573" w:type="dxa"/>
            <w:tcBorders>
              <w:right w:val="single" w:color="auto" w:sz="8" w:space="0"/>
            </w:tcBorders>
            <w:noWrap w:val="0"/>
            <w:vAlign w:val="center"/>
          </w:tcPr>
          <w:p>
            <w:pPr>
              <w:rPr>
                <w:rFonts w:hint="eastAsia"/>
                <w:color w:val="000000"/>
                <w:sz w:val="24"/>
              </w:rPr>
            </w:pPr>
          </w:p>
        </w:tc>
        <w:tc>
          <w:tcPr>
            <w:tcW w:w="512" w:type="dxa"/>
            <w:tcBorders>
              <w:right w:val="single" w:color="auto" w:sz="8" w:space="0"/>
            </w:tcBorders>
            <w:noWrap w:val="0"/>
            <w:vAlign w:val="center"/>
          </w:tcPr>
          <w:p>
            <w:pPr>
              <w:rPr>
                <w:rFonts w:hint="eastAsia"/>
                <w:color w:val="000000"/>
                <w:sz w:val="24"/>
              </w:rPr>
            </w:pPr>
          </w:p>
        </w:tc>
        <w:tc>
          <w:tcPr>
            <w:tcW w:w="586" w:type="dxa"/>
            <w:tcBorders>
              <w:right w:val="single" w:color="auto" w:sz="8" w:space="0"/>
            </w:tcBorders>
            <w:noWrap w:val="0"/>
            <w:vAlign w:val="center"/>
          </w:tcPr>
          <w:p>
            <w:pPr>
              <w:rPr>
                <w:rFonts w:hint="eastAsia"/>
                <w:color w:val="000000"/>
                <w:sz w:val="24"/>
              </w:rPr>
            </w:pPr>
          </w:p>
        </w:tc>
        <w:tc>
          <w:tcPr>
            <w:tcW w:w="598"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7" w:type="dxa"/>
            <w:tcBorders>
              <w:right w:val="single" w:color="auto" w:sz="8" w:space="0"/>
            </w:tcBorders>
            <w:noWrap w:val="0"/>
            <w:vAlign w:val="center"/>
          </w:tcPr>
          <w:p>
            <w:pPr>
              <w:rPr>
                <w:rFonts w:hint="eastAsia"/>
                <w:color w:val="000000"/>
                <w:sz w:val="24"/>
              </w:rPr>
            </w:pPr>
          </w:p>
        </w:tc>
        <w:tc>
          <w:tcPr>
            <w:tcW w:w="504" w:type="dxa"/>
            <w:tcBorders>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559" w:type="dxa"/>
            <w:vMerge w:val="continue"/>
            <w:tcBorders>
              <w:left w:val="single" w:color="auto" w:sz="8" w:space="0"/>
            </w:tcBorders>
            <w:noWrap w:val="0"/>
            <w:vAlign w:val="center"/>
          </w:tcPr>
          <w:p>
            <w:pPr>
              <w:rPr>
                <w:rFonts w:hint="eastAsia"/>
                <w:color w:val="000000"/>
                <w:sz w:val="24"/>
              </w:rPr>
            </w:pPr>
          </w:p>
        </w:tc>
        <w:tc>
          <w:tcPr>
            <w:tcW w:w="411" w:type="dxa"/>
            <w:tcBorders>
              <w:right w:val="single" w:color="auto" w:sz="8" w:space="0"/>
            </w:tcBorders>
            <w:noWrap w:val="0"/>
            <w:vAlign w:val="center"/>
          </w:tcPr>
          <w:p>
            <w:pPr>
              <w:rPr>
                <w:rFonts w:hint="eastAsia"/>
                <w:color w:val="000000"/>
                <w:sz w:val="24"/>
              </w:rPr>
            </w:pPr>
            <w:r>
              <w:rPr>
                <w:rFonts w:hint="eastAsia"/>
                <w:color w:val="000000"/>
                <w:sz w:val="24"/>
              </w:rPr>
              <w:t>7</w:t>
            </w:r>
          </w:p>
        </w:tc>
        <w:tc>
          <w:tcPr>
            <w:tcW w:w="3470" w:type="dxa"/>
            <w:gridSpan w:val="2"/>
            <w:tcBorders>
              <w:right w:val="single" w:color="auto" w:sz="8" w:space="0"/>
            </w:tcBorders>
            <w:noWrap w:val="0"/>
            <w:vAlign w:val="center"/>
          </w:tcPr>
          <w:p>
            <w:pPr>
              <w:rPr>
                <w:rFonts w:hint="eastAsia"/>
                <w:color w:val="000000"/>
                <w:sz w:val="24"/>
              </w:rPr>
            </w:pPr>
            <w:r>
              <w:rPr>
                <w:rFonts w:hint="eastAsia"/>
                <w:color w:val="000000"/>
                <w:sz w:val="24"/>
              </w:rPr>
              <w:t>是否涉及无效标24.2.7条款</w:t>
            </w:r>
          </w:p>
        </w:tc>
        <w:tc>
          <w:tcPr>
            <w:tcW w:w="573" w:type="dxa"/>
            <w:tcBorders>
              <w:right w:val="single" w:color="auto" w:sz="8" w:space="0"/>
            </w:tcBorders>
            <w:noWrap w:val="0"/>
            <w:vAlign w:val="center"/>
          </w:tcPr>
          <w:p>
            <w:pPr>
              <w:rPr>
                <w:rFonts w:hint="eastAsia"/>
                <w:color w:val="000000"/>
                <w:sz w:val="24"/>
              </w:rPr>
            </w:pPr>
          </w:p>
        </w:tc>
        <w:tc>
          <w:tcPr>
            <w:tcW w:w="512" w:type="dxa"/>
            <w:tcBorders>
              <w:right w:val="single" w:color="auto" w:sz="8" w:space="0"/>
            </w:tcBorders>
            <w:noWrap w:val="0"/>
            <w:vAlign w:val="center"/>
          </w:tcPr>
          <w:p>
            <w:pPr>
              <w:rPr>
                <w:rFonts w:hint="eastAsia"/>
                <w:color w:val="000000"/>
                <w:sz w:val="24"/>
              </w:rPr>
            </w:pPr>
          </w:p>
        </w:tc>
        <w:tc>
          <w:tcPr>
            <w:tcW w:w="586" w:type="dxa"/>
            <w:tcBorders>
              <w:right w:val="single" w:color="auto" w:sz="8" w:space="0"/>
            </w:tcBorders>
            <w:noWrap w:val="0"/>
            <w:vAlign w:val="center"/>
          </w:tcPr>
          <w:p>
            <w:pPr>
              <w:rPr>
                <w:rFonts w:hint="eastAsia"/>
                <w:color w:val="000000"/>
                <w:sz w:val="24"/>
              </w:rPr>
            </w:pPr>
          </w:p>
        </w:tc>
        <w:tc>
          <w:tcPr>
            <w:tcW w:w="598"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7" w:type="dxa"/>
            <w:tcBorders>
              <w:right w:val="single" w:color="auto" w:sz="8" w:space="0"/>
            </w:tcBorders>
            <w:noWrap w:val="0"/>
            <w:vAlign w:val="center"/>
          </w:tcPr>
          <w:p>
            <w:pPr>
              <w:rPr>
                <w:rFonts w:hint="eastAsia"/>
                <w:color w:val="000000"/>
                <w:sz w:val="24"/>
              </w:rPr>
            </w:pPr>
          </w:p>
        </w:tc>
        <w:tc>
          <w:tcPr>
            <w:tcW w:w="504" w:type="dxa"/>
            <w:tcBorders>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559" w:type="dxa"/>
            <w:tcBorders>
              <w:left w:val="single" w:color="auto" w:sz="8" w:space="0"/>
            </w:tcBorders>
            <w:noWrap w:val="0"/>
            <w:vAlign w:val="center"/>
          </w:tcPr>
          <w:p>
            <w:pPr>
              <w:rPr>
                <w:rFonts w:hint="eastAsia"/>
                <w:color w:val="000000"/>
                <w:sz w:val="24"/>
              </w:rPr>
            </w:pPr>
          </w:p>
        </w:tc>
        <w:tc>
          <w:tcPr>
            <w:tcW w:w="411" w:type="dxa"/>
            <w:tcBorders>
              <w:right w:val="single" w:color="auto" w:sz="8" w:space="0"/>
            </w:tcBorders>
            <w:noWrap w:val="0"/>
            <w:vAlign w:val="center"/>
          </w:tcPr>
          <w:p>
            <w:pPr>
              <w:rPr>
                <w:rFonts w:hint="eastAsia"/>
                <w:color w:val="000000"/>
                <w:sz w:val="24"/>
              </w:rPr>
            </w:pPr>
          </w:p>
        </w:tc>
        <w:tc>
          <w:tcPr>
            <w:tcW w:w="3470" w:type="dxa"/>
            <w:gridSpan w:val="2"/>
            <w:tcBorders>
              <w:right w:val="single" w:color="auto" w:sz="8" w:space="0"/>
            </w:tcBorders>
            <w:noWrap w:val="0"/>
            <w:vAlign w:val="center"/>
          </w:tcPr>
          <w:p>
            <w:pPr>
              <w:rPr>
                <w:rFonts w:hint="eastAsia"/>
                <w:color w:val="000000"/>
                <w:sz w:val="24"/>
              </w:rPr>
            </w:pPr>
          </w:p>
        </w:tc>
        <w:tc>
          <w:tcPr>
            <w:tcW w:w="573" w:type="dxa"/>
            <w:tcBorders>
              <w:right w:val="single" w:color="auto" w:sz="8" w:space="0"/>
            </w:tcBorders>
            <w:noWrap w:val="0"/>
            <w:vAlign w:val="center"/>
          </w:tcPr>
          <w:p>
            <w:pPr>
              <w:rPr>
                <w:rFonts w:hint="eastAsia"/>
                <w:color w:val="000000"/>
                <w:sz w:val="24"/>
              </w:rPr>
            </w:pPr>
          </w:p>
        </w:tc>
        <w:tc>
          <w:tcPr>
            <w:tcW w:w="512" w:type="dxa"/>
            <w:tcBorders>
              <w:right w:val="single" w:color="auto" w:sz="8" w:space="0"/>
            </w:tcBorders>
            <w:noWrap w:val="0"/>
            <w:vAlign w:val="center"/>
          </w:tcPr>
          <w:p>
            <w:pPr>
              <w:rPr>
                <w:rFonts w:hint="eastAsia"/>
                <w:color w:val="000000"/>
                <w:sz w:val="24"/>
              </w:rPr>
            </w:pPr>
          </w:p>
        </w:tc>
        <w:tc>
          <w:tcPr>
            <w:tcW w:w="586" w:type="dxa"/>
            <w:tcBorders>
              <w:right w:val="single" w:color="auto" w:sz="8" w:space="0"/>
            </w:tcBorders>
            <w:noWrap w:val="0"/>
            <w:vAlign w:val="center"/>
          </w:tcPr>
          <w:p>
            <w:pPr>
              <w:rPr>
                <w:rFonts w:hint="eastAsia"/>
                <w:color w:val="000000"/>
                <w:sz w:val="24"/>
              </w:rPr>
            </w:pPr>
          </w:p>
        </w:tc>
        <w:tc>
          <w:tcPr>
            <w:tcW w:w="598"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1" w:type="dxa"/>
            <w:tcBorders>
              <w:right w:val="single" w:color="auto" w:sz="8" w:space="0"/>
            </w:tcBorders>
            <w:noWrap w:val="0"/>
            <w:vAlign w:val="center"/>
          </w:tcPr>
          <w:p>
            <w:pPr>
              <w:rPr>
                <w:rFonts w:hint="eastAsia"/>
                <w:color w:val="000000"/>
                <w:sz w:val="24"/>
              </w:rPr>
            </w:pPr>
          </w:p>
        </w:tc>
        <w:tc>
          <w:tcPr>
            <w:tcW w:w="537" w:type="dxa"/>
            <w:tcBorders>
              <w:right w:val="single" w:color="auto" w:sz="8" w:space="0"/>
            </w:tcBorders>
            <w:noWrap w:val="0"/>
            <w:vAlign w:val="center"/>
          </w:tcPr>
          <w:p>
            <w:pPr>
              <w:rPr>
                <w:rFonts w:hint="eastAsia"/>
                <w:color w:val="000000"/>
                <w:sz w:val="24"/>
              </w:rPr>
            </w:pPr>
          </w:p>
        </w:tc>
        <w:tc>
          <w:tcPr>
            <w:tcW w:w="504" w:type="dxa"/>
            <w:tcBorders>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022" w:hRule="atLeast"/>
          <w:jc w:val="center"/>
        </w:trPr>
        <w:tc>
          <w:tcPr>
            <w:tcW w:w="1785" w:type="dxa"/>
            <w:gridSpan w:val="3"/>
            <w:tcBorders>
              <w:left w:val="single" w:color="auto" w:sz="8" w:space="0"/>
              <w:right w:val="single" w:color="auto" w:sz="8" w:space="0"/>
            </w:tcBorders>
            <w:noWrap w:val="0"/>
            <w:vAlign w:val="center"/>
          </w:tcPr>
          <w:p>
            <w:pPr>
              <w:jc w:val="center"/>
              <w:rPr>
                <w:rFonts w:hint="eastAsia"/>
                <w:color w:val="000000"/>
                <w:sz w:val="24"/>
              </w:rPr>
            </w:pPr>
            <w:r>
              <w:rPr>
                <w:rFonts w:hint="eastAsia"/>
                <w:color w:val="000000"/>
                <w:sz w:val="24"/>
              </w:rPr>
              <w:t>报价文件</w:t>
            </w:r>
          </w:p>
          <w:p>
            <w:pPr>
              <w:jc w:val="center"/>
              <w:rPr>
                <w:rFonts w:hint="eastAsia"/>
                <w:color w:val="000000"/>
                <w:sz w:val="24"/>
              </w:rPr>
            </w:pPr>
            <w:r>
              <w:rPr>
                <w:rFonts w:hint="eastAsia"/>
                <w:color w:val="000000"/>
                <w:sz w:val="24"/>
              </w:rPr>
              <w:t>评审情况</w:t>
            </w:r>
          </w:p>
          <w:p>
            <w:pPr>
              <w:jc w:val="center"/>
              <w:rPr>
                <w:rFonts w:hint="eastAsia"/>
                <w:color w:val="000000"/>
                <w:sz w:val="24"/>
              </w:rPr>
            </w:pPr>
            <w:r>
              <w:rPr>
                <w:rFonts w:hint="eastAsia"/>
                <w:color w:val="000000"/>
                <w:sz w:val="24"/>
              </w:rPr>
              <w:t>说明</w:t>
            </w:r>
          </w:p>
        </w:tc>
        <w:tc>
          <w:tcPr>
            <w:tcW w:w="7027" w:type="dxa"/>
            <w:gridSpan w:val="9"/>
            <w:tcBorders>
              <w:left w:val="single" w:color="auto" w:sz="8" w:space="0"/>
              <w:right w:val="single" w:color="auto" w:sz="8" w:space="0"/>
            </w:tcBorders>
            <w:noWrap w:val="0"/>
            <w:vAlign w:val="center"/>
          </w:tcPr>
          <w:p>
            <w:pP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48" w:hRule="atLeast"/>
          <w:jc w:val="center"/>
        </w:trPr>
        <w:tc>
          <w:tcPr>
            <w:tcW w:w="1785" w:type="dxa"/>
            <w:gridSpan w:val="3"/>
            <w:tcBorders>
              <w:top w:val="single" w:color="auto" w:sz="8" w:space="0"/>
              <w:left w:val="single" w:color="auto" w:sz="8" w:space="0"/>
              <w:bottom w:val="single" w:color="auto" w:sz="8" w:space="0"/>
            </w:tcBorders>
            <w:noWrap w:val="0"/>
            <w:vAlign w:val="center"/>
          </w:tcPr>
          <w:p>
            <w:pPr>
              <w:jc w:val="center"/>
              <w:rPr>
                <w:rFonts w:hint="eastAsia"/>
                <w:color w:val="000000"/>
                <w:sz w:val="24"/>
              </w:rPr>
            </w:pPr>
            <w:r>
              <w:rPr>
                <w:color w:val="000000"/>
                <w:sz w:val="24"/>
              </w:rPr>
              <w:t>评标委员会</w:t>
            </w:r>
          </w:p>
          <w:p>
            <w:pPr>
              <w:jc w:val="center"/>
              <w:rPr>
                <w:rFonts w:hint="eastAsia"/>
                <w:color w:val="000000"/>
                <w:sz w:val="24"/>
              </w:rPr>
            </w:pPr>
            <w:r>
              <w:rPr>
                <w:color w:val="000000"/>
                <w:sz w:val="24"/>
              </w:rPr>
              <w:t>成员</w:t>
            </w:r>
          </w:p>
          <w:p>
            <w:pPr>
              <w:jc w:val="center"/>
              <w:rPr>
                <w:rFonts w:hint="eastAsia"/>
                <w:color w:val="000000"/>
                <w:sz w:val="24"/>
              </w:rPr>
            </w:pPr>
            <w:r>
              <w:rPr>
                <w:color w:val="000000"/>
                <w:sz w:val="24"/>
              </w:rPr>
              <w:t>（签名）</w:t>
            </w:r>
          </w:p>
        </w:tc>
        <w:tc>
          <w:tcPr>
            <w:tcW w:w="7027" w:type="dxa"/>
            <w:gridSpan w:val="9"/>
            <w:tcBorders>
              <w:top w:val="single" w:color="auto" w:sz="8" w:space="0"/>
              <w:bottom w:val="single" w:color="auto" w:sz="8" w:space="0"/>
              <w:right w:val="single" w:color="auto" w:sz="8" w:space="0"/>
            </w:tcBorders>
            <w:noWrap w:val="0"/>
            <w:vAlign w:val="center"/>
          </w:tcPr>
          <w:p>
            <w:pPr>
              <w:rPr>
                <w:rFonts w:hint="eastAsia"/>
                <w:color w:val="000000"/>
                <w:sz w:val="24"/>
              </w:rPr>
            </w:pPr>
          </w:p>
        </w:tc>
      </w:tr>
    </w:tbl>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注： 1、未涉及无效标条款的在表格中标注“/”，涉及的标注“是”；</w:t>
      </w:r>
    </w:p>
    <w:p>
      <w:pPr>
        <w:spacing w:line="360" w:lineRule="auto"/>
        <w:ind w:left="598" w:leftChars="285" w:firstLine="482" w:firstLineChars="200"/>
        <w:rPr>
          <w:rFonts w:hint="eastAsia" w:ascii="宋体" w:hAnsi="宋体"/>
          <w:b/>
          <w:bCs/>
          <w:color w:val="000000"/>
          <w:sz w:val="24"/>
        </w:rPr>
        <w:sectPr>
          <w:pgSz w:w="11906" w:h="16838"/>
          <w:pgMar w:top="1418" w:right="1286" w:bottom="1134" w:left="1418" w:header="851" w:footer="992" w:gutter="0"/>
          <w:pgNumType w:fmt="decimal"/>
          <w:cols w:space="720" w:num="1"/>
          <w:docGrid w:linePitch="312" w:charSpace="0"/>
        </w:sectPr>
      </w:pPr>
      <w:r>
        <w:rPr>
          <w:rFonts w:hint="eastAsia" w:ascii="宋体" w:hAnsi="宋体"/>
          <w:b/>
          <w:bCs/>
          <w:color w:val="000000"/>
          <w:sz w:val="24"/>
        </w:rPr>
        <w:t>2、资格性检查、符合性检查均合格，但报价文件评审不合格的，投标文件也不合格，以无效标论。</w:t>
      </w:r>
    </w:p>
    <w:p>
      <w:pPr>
        <w:rPr>
          <w:rFonts w:hint="eastAsia"/>
          <w:color w:val="000000"/>
        </w:rPr>
      </w:pPr>
    </w:p>
    <w:sectPr>
      <w:type w:val="continuous"/>
      <w:pgSz w:w="11906" w:h="16838"/>
      <w:pgMar w:top="1134" w:right="1287" w:bottom="1134" w:left="1418" w:header="851" w:footer="992" w:gutter="0"/>
      <w:pgNumType w:fmt="decimal"/>
      <w:cols w:space="316" w:num="2"/>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
                            <w:fldChar w:fldCharType="begin"/>
                          </w:r>
                          <w:r>
                            <w:instrText xml:space="preserve">PAGE  </w:instrText>
                          </w:r>
                          <w:r>
                            <w:fldChar w:fldCharType="separate"/>
                          </w:r>
                          <w:r>
                            <w:t>19</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2Q3FTnAQAAyAMAAA4AAABkcnMvZTJvRG9jLnhtbK1TzY7TMBC+ I/EOlu802cJCFDVdAdUiJARICw/gOnZjyX+yp03KA8AbcOLCfZ+rz8HYSbqr3cseuCRjz8w3830z Xl0NRpODCFE529CLRUmJsNy1yu4a+v3b9YuKkgjMtkw7Kxp6FJFerZ8/W/W+FkvXOd2KQBDExrr3 De0AfF0UkXfCsLhwXlh0ShcMAzyGXdEG1iO60cWyLF8XvQutD46LGPF2MzrphBieAuikVFxsHN8b YWFEDUIzQEqxUz7Sde5WSsHhi5RRANENRaaQv1gE7W36FusVq3eB+U7xqQX2lBYecDJMWSx6htow YGQf1CMoo3hw0UlYcGeKkUhWBFlclA+0uemYF5kLSh39WfT4/2D558PXQFTb0FeUWGZw4Kffv05/ bk9/f5KXSZ7exxqjbjzGwfDODbg0833Ey8R6kMGkP/Ih6Edxj2dxxQCEp6RqWVUlujj65gPiF3fp PkT4IJwhyWhowOllUdnhU4QxdA5J1ay7VlrnCWpLekS9rN5c5oyzC9G1xSKJxdhtsmDYDhO1rWuP yAwfBFbsXPhBSY/r0FCL20+J/mhR7bQ5sxFmYzsbzHJMbChQMprvYdywvQ9q1+WdS/1G/3YP2HOm ktoYa0/d4YCzGNMypg26f85Rdw9w/Q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jZDcVOcB AADIAwAADgAAAAAAAAABACAAAAAiAQAAZHJzL2Uyb0RvYy54bWxQSwUGAAAAAAYABgBZAQAAewUA AAAA ">
              <v:fill on="f" focussize="0,0"/>
              <v:stroke on="f" weight="1.25pt"/>
              <v:imagedata o:title=""/>
              <o:lock v:ext="edit" aspectratio="f"/>
              <v:textbox inset="0mm,0mm,0mm,0mm" style="mso-fit-shape-to-text:t;">
                <w:txbxContent>
                  <w:p>
                    <w:r>
                      <w:fldChar w:fldCharType="begin"/>
                    </w:r>
                    <w:r>
                      <w:instrText xml:space="preserve">PAGE  </w:instrText>
                    </w:r>
                    <w:r>
                      <w:fldChar w:fldCharType="separate"/>
                    </w:r>
                    <w:r>
                      <w:t>19</w:t>
                    </w:r>
                    <w:r>
                      <w:fldChar w:fldCharType="end"/>
                    </w:r>
                  </w:p>
                </w:txbxContent>
              </v:textbox>
            </v:shape>
          </w:pict>
        </mc:Fallback>
      </mc:AlternateContent>
    </w:r>
    <w:r>
      <w:rPr>
        <w:rFonts w:hint="eastAsia" w:ascii="仿宋_GB2312" w:eastAsia="仿宋_GB2312"/>
        <w:kern w:val="0"/>
        <w:szCs w:val="21"/>
      </w:rPr>
      <w:t xml:space="preserve">第  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DEu1jmAQAAyAMAAA4AAABkcnMvZTJvRG9jLnhtbK1TzY7TMBC+ I/EOlu802YpCFDVdAdUiJARICw/gOnZjyX8au03KA8AbcOLCnefqczB2ki7avexhL8nYM/PNfN+M 19eD0eQoIChnG3q1KCkRlrtW2X1Dv329eVFREiKzLdPOioaeRKDXm+fP1r2vxdJ1TrcCCILYUPe+ oV2Mvi6KwDthWFg4Lyw6pQPDIh5hX7TAekQ3uliW5auid9B6cFyEgLfb0UknRHgMoJNScbF1/GCE jSMqCM0iUgqd8oFucrdSCh4/SxlEJLqhyDTmLxZBe5e+xWbN6j0w3yk+tcAe08I9ToYpi0UvUFsW GTmAegBlFAcXnIwL7kwxEsmKIIur8p42tx3zInNBqYO/iB6eDpZ/On4BotqGriixzODAz79+nn// Pf/5QV4meXofaoy69RgXh7duwKWZ7wNeJtaDBJP+yIegH8U9XcQVQyQ8JVXLqirRxdE3HxC/uEv3 EOJ74QxJRkMBp5dFZcePIY6hc0iqZt2N0jpPUFvSI+qqer3KGRcXomuLRRKLsdtkxWE3TNR2rj0h M3wQWLFz8J2SHtehoRa3nxL9waLaaXNmA2ZjNxvMckxsaKRkNN/FccMOHtS+yzuX+g3+zSFiz5lK amOsPXWHA85iTMuYNuj/c466e4Cbf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BQxLtY5gEA AMgDAAAOAAAAAAAAAAEAIAAAACIBAABkcnMvZTJvRG9jLnhtbFBLBQYAAAAABgAGAFkBAAB6BQAA AAA= ">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rPr>
        <w:lang/>
      </w:rPr>
      <w:t>1</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eastAsia="仿宋_GB2312"/>
        <w:iCs/>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161925</wp:posOffset>
              </wp:positionV>
              <wp:extent cx="5829300" cy="0"/>
              <wp:effectExtent l="0" t="4445" r="0" b="5080"/>
              <wp:wrapNone/>
              <wp:docPr id="3" name="Line 7"/>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0pt;margin-top:12.75pt;height:0pt;width:459pt;z-index:251660288;mso-width-relative:page;mso-height-relative:page;" filled="f" stroked="t" coordsize="21600,21600" o:gfxdata="UEsDBAoAAAAAAIdO4kAAAAAAAAAAAAAAAAAEAAAAZHJzL1BLAwQUAAAACACHTuJAK4a6NtMAAAAG AQAADwAAAGRycy9kb3ducmV2LnhtbE2PzU7DMBCE70i8g7VIXCpqJ6iohDg9ALlxoQVx3cZLEhGv 09j9gadnEQc4zsxq5ttydfKDOtAU+8AWsrkBRdwE13Nr4WVTXy1BxYTscAhMFj4pwqo6PyuxcOHI z3RYp1ZJCccCLXQpjYXWsenIY5yHkViy9zB5TCKnVrsJj1LuB50bc6M99iwLHY5031Hzsd57C7F+ pV39NWtm5u26DZTvHp4e0drLi8zcgUp0Sn/H8IMv6FAJ0zbs2UU1WJBHkoV8sQAl6W22FGP7a+iq 1P/xq29QSwMEFAAAAAgAh07iQP+ptkzaAQAA2QMAAA4AAABkcnMvZTJvRG9jLnhtbK1TTW/bMAy9 D9h/EHRfnKTI1hpxeljWXYqtQLsfwOjDFqAviEqc/PtRcppu3SWH+SBTIvXI90it74/OsoNKaILv +GI250x5EaTxfcd/vTx8uuUMM3gJNnjV8ZNCfr/5+GE9xlYtwxCsVIkRiMd2jB0fco5t06AYlAOc hag8OXVIDjJtU9/IBCOhO9ss5/PPzRiSjCkIhUin28nJz4jpGsCgtRFqG8TeKZ8n1KQsZKKEg4nI N7VarZXIP7VGlZntODHNdaUkZO/K2mzW0PYJ4mDEuQS4poR3nBwYT0kvUFvIwPbJ/APljEgBg84z EVwzEamKEIvF/J02zwNEVbmQ1BgvouP/gxU/Dk+JGdnxG848OGr4o/GKfSnKjBFbCniOT+m8QzIL zaNOrvyJADtWNU8XNdUxM0GHq9vl3c2chBavvubtYkyYv6vgWDE6biln1Q8Oj5gpGYW+hpQ81rOx 43er5YrggKZOU7fJdJEqR9/XuxiskQ/G2nIDU7/7ahM7QOl8/Qolwv0rrCTZAg5TXHVNMzEokN+8 ZPkUSRNPT4GXEpySnFlFL6dYBAhtBmOviaTU1lMFRdVJx2LtgjxRB/YxmX4gJRa1yuKhjtd6z9NZ RurPfUV6e5Gb3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CuGujbTAAAABgEAAA8AAAAAAAAAAQAg AAAAIgAAAGRycy9kb3ducmV2LnhtbFBLAQIUABQAAAAIAIdO4kD/qbZM2gEAANkDAAAOAAAAAAAA AAEAIAAAACIBAABkcnMvZTJvRG9jLnhtbFBLBQYAAAAABgAGAFkBAABuBQAAAAA= ">
              <v:fill on="f" focussize="0,0"/>
              <v:stroke color="#000000" joinstyle="round"/>
              <v:imagedata o:title=""/>
              <o:lock v:ext="edit" aspectratio="f"/>
            </v:line>
          </w:pict>
        </mc:Fallback>
      </mc:AlternateContent>
    </w:r>
    <w:r>
      <w:rPr>
        <w:rFonts w:hint="eastAsia" w:eastAsia="仿宋_GB2312"/>
        <w:iCs/>
      </w:rPr>
      <w:t>杭州市萧山区政府采购公开招标文件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pPr>
    <w:r>
      <w:rPr>
        <w:rFonts w:eastAsia="仿宋_GB2312"/>
        <w:iCs/>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161925</wp:posOffset>
              </wp:positionV>
              <wp:extent cx="5829300" cy="0"/>
              <wp:effectExtent l="0" t="4445" r="0" b="5080"/>
              <wp:wrapNone/>
              <wp:docPr id="2" name="Line 6"/>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0pt;margin-top:12.75pt;height:0pt;width:459pt;z-index:251659264;mso-width-relative:page;mso-height-relative:page;" filled="f" stroked="t" coordsize="21600,21600" o:gfxdata="UEsDBAoAAAAAAIdO4kAAAAAAAAAAAAAAAAAEAAAAZHJzL1BLAwQUAAAACACHTuJAK4a6NtMAAAAG AQAADwAAAGRycy9kb3ducmV2LnhtbE2PzU7DMBCE70i8g7VIXCpqJ6iohDg9ALlxoQVx3cZLEhGv 09j9gadnEQc4zsxq5ttydfKDOtAU+8AWsrkBRdwE13Nr4WVTXy1BxYTscAhMFj4pwqo6PyuxcOHI z3RYp1ZJCccCLXQpjYXWsenIY5yHkViy9zB5TCKnVrsJj1LuB50bc6M99iwLHY5031Hzsd57C7F+ pV39NWtm5u26DZTvHp4e0drLi8zcgUp0Sn/H8IMv6FAJ0zbs2UU1WJBHkoV8sQAl6W22FGP7a+iq 1P/xq29QSwMEFAAAAAgAh07iQDPDgvzaAQAA2QMAAA4AAABkcnMvZTJvRG9jLnhtbK1TTW/bMAy9 D9h/EHRf7LhI0RpxeljaXYqtQLcfwEiyLUBfEJU4+fej5DTduksO80GmROqR75FaPxytYQcVUXvX 8eWi5kw54aV2Q8d//Xz6cscZJnASjHeq4yeF/GHz+dN6Cq1q/OiNVJERiMN2Ch0fUwptVaEYlQVc +KAcOXsfLSTaxqGSESZCt6Zq6vq2mnyUIXqhEOl0Ozv5GTFeA+j7Xgu19WJvlUszalQGElHCUQfk m1Jt3yuRfvQ9qsRMx4lpKislIXuX12qzhnaIEEYtziXANSV84GRBO0p6gdpCAraP+h8oq0X06Pu0 EN5WM5GiCLFY1h+0eR0hqMKFpMZwER3/H6z4fniJTMuON5w5sNTwZ+0Uu83KTAFbCngNL/G8QzIz zWMfbf4TAXYsap4uaqpjYoIOV3fN/U1NQos3X/V+MURM35S3LBsdN5Sz6AeHZ0yUjELfQnIe49jU 8ftVsyI4oKnrqdtk2kCVoxvKXfRGyydtTL6Bcdh9NZEdIHe+fJkS4f4VlpNsAcc5rrjmmRgVyEcn WToF0sTRU+C5BKskZ0bRy8kWAUKbQJtrIim1cVRBVnXWMVs7L0/UgX2IehhJiWWpMnuo46Xe83Tm kfpzX5DeX+TmN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CuGujbTAAAABgEAAA8AAAAAAAAAAQAg AAAAIgAAAGRycy9kb3ducmV2LnhtbFBLAQIUABQAAAAIAIdO4kAzw4L82gEAANkDAAAOAAAAAAAA AAEAIAAAACIBAABkcnMvZTJvRG9jLnhtbFBLBQYAAAAABgAGAFkBAABuBQAAAAA= ">
              <v:fill on="f" focussize="0,0"/>
              <v:stroke color="#000000" joinstyle="round"/>
              <v:imagedata o:title=""/>
              <o:lock v:ext="edit" aspectratio="f"/>
            </v:line>
          </w:pict>
        </mc:Fallback>
      </mc:AlternateContent>
    </w:r>
    <w:r>
      <w:rPr>
        <w:rFonts w:hint="eastAsia" w:eastAsia="仿宋_GB2312"/>
        <w:iCs/>
      </w:rPr>
      <w:t>杭州市萧山区政府采购公开招标文件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3C2D3D45"/>
    <w:multiLevelType w:val="multilevel"/>
    <w:tmpl w:val="3C2D3D45"/>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664F1FD"/>
    <w:multiLevelType w:val="singleLevel"/>
    <w:tmpl w:val="5664F1FD"/>
    <w:lvl w:ilvl="0" w:tentative="0">
      <w:start w:val="1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12"/>
    <w:rsid w:val="00001FA6"/>
    <w:rsid w:val="00002B54"/>
    <w:rsid w:val="00005194"/>
    <w:rsid w:val="000052C6"/>
    <w:rsid w:val="00006B20"/>
    <w:rsid w:val="00007EA9"/>
    <w:rsid w:val="000100CE"/>
    <w:rsid w:val="000109D4"/>
    <w:rsid w:val="00012179"/>
    <w:rsid w:val="00014BCE"/>
    <w:rsid w:val="00016F2C"/>
    <w:rsid w:val="000175A3"/>
    <w:rsid w:val="00020771"/>
    <w:rsid w:val="00020F6F"/>
    <w:rsid w:val="00021216"/>
    <w:rsid w:val="00022BD7"/>
    <w:rsid w:val="00022F36"/>
    <w:rsid w:val="0002300F"/>
    <w:rsid w:val="00023D39"/>
    <w:rsid w:val="000256F8"/>
    <w:rsid w:val="000257ED"/>
    <w:rsid w:val="00025D20"/>
    <w:rsid w:val="0002612E"/>
    <w:rsid w:val="00026132"/>
    <w:rsid w:val="00027946"/>
    <w:rsid w:val="00027ACD"/>
    <w:rsid w:val="00030501"/>
    <w:rsid w:val="000307B1"/>
    <w:rsid w:val="000326FA"/>
    <w:rsid w:val="00033B16"/>
    <w:rsid w:val="0003592D"/>
    <w:rsid w:val="0003732A"/>
    <w:rsid w:val="00040152"/>
    <w:rsid w:val="0004015D"/>
    <w:rsid w:val="00042DB3"/>
    <w:rsid w:val="00043242"/>
    <w:rsid w:val="00043694"/>
    <w:rsid w:val="00044218"/>
    <w:rsid w:val="0004467C"/>
    <w:rsid w:val="000446BF"/>
    <w:rsid w:val="00044EED"/>
    <w:rsid w:val="000452DE"/>
    <w:rsid w:val="000454F7"/>
    <w:rsid w:val="00045509"/>
    <w:rsid w:val="0004554D"/>
    <w:rsid w:val="000461EA"/>
    <w:rsid w:val="0004680A"/>
    <w:rsid w:val="00047DFF"/>
    <w:rsid w:val="000507AB"/>
    <w:rsid w:val="000528A8"/>
    <w:rsid w:val="0005488C"/>
    <w:rsid w:val="00057107"/>
    <w:rsid w:val="00057388"/>
    <w:rsid w:val="00057E32"/>
    <w:rsid w:val="00061B98"/>
    <w:rsid w:val="00061F3A"/>
    <w:rsid w:val="00062C62"/>
    <w:rsid w:val="000646C7"/>
    <w:rsid w:val="00064F35"/>
    <w:rsid w:val="00066F0E"/>
    <w:rsid w:val="0007001F"/>
    <w:rsid w:val="00070AD6"/>
    <w:rsid w:val="00070F3F"/>
    <w:rsid w:val="000711E7"/>
    <w:rsid w:val="0007168C"/>
    <w:rsid w:val="000729B5"/>
    <w:rsid w:val="00072AF5"/>
    <w:rsid w:val="000734BD"/>
    <w:rsid w:val="00074023"/>
    <w:rsid w:val="00074A29"/>
    <w:rsid w:val="00075345"/>
    <w:rsid w:val="00080288"/>
    <w:rsid w:val="00080569"/>
    <w:rsid w:val="000811AC"/>
    <w:rsid w:val="000817DC"/>
    <w:rsid w:val="000825A6"/>
    <w:rsid w:val="00082A07"/>
    <w:rsid w:val="00083826"/>
    <w:rsid w:val="000838A2"/>
    <w:rsid w:val="00084D53"/>
    <w:rsid w:val="00084FFA"/>
    <w:rsid w:val="00085219"/>
    <w:rsid w:val="0008585F"/>
    <w:rsid w:val="00085C63"/>
    <w:rsid w:val="00087295"/>
    <w:rsid w:val="00087664"/>
    <w:rsid w:val="00087B0F"/>
    <w:rsid w:val="000904D3"/>
    <w:rsid w:val="0009075F"/>
    <w:rsid w:val="00090FA1"/>
    <w:rsid w:val="00091995"/>
    <w:rsid w:val="00092B17"/>
    <w:rsid w:val="0009368F"/>
    <w:rsid w:val="00094439"/>
    <w:rsid w:val="000945DB"/>
    <w:rsid w:val="00094C9C"/>
    <w:rsid w:val="00094F38"/>
    <w:rsid w:val="00095B2C"/>
    <w:rsid w:val="000960F5"/>
    <w:rsid w:val="0009629A"/>
    <w:rsid w:val="000965D2"/>
    <w:rsid w:val="00096A90"/>
    <w:rsid w:val="00096FF9"/>
    <w:rsid w:val="000973F8"/>
    <w:rsid w:val="000979B6"/>
    <w:rsid w:val="000A05B4"/>
    <w:rsid w:val="000A0935"/>
    <w:rsid w:val="000A38BB"/>
    <w:rsid w:val="000A4175"/>
    <w:rsid w:val="000A53BC"/>
    <w:rsid w:val="000A5BF9"/>
    <w:rsid w:val="000A677E"/>
    <w:rsid w:val="000A6E24"/>
    <w:rsid w:val="000A7B05"/>
    <w:rsid w:val="000B03F6"/>
    <w:rsid w:val="000B17F5"/>
    <w:rsid w:val="000B1F26"/>
    <w:rsid w:val="000B4058"/>
    <w:rsid w:val="000B4DA2"/>
    <w:rsid w:val="000B6A76"/>
    <w:rsid w:val="000B744A"/>
    <w:rsid w:val="000C1489"/>
    <w:rsid w:val="000C5250"/>
    <w:rsid w:val="000C5663"/>
    <w:rsid w:val="000C5805"/>
    <w:rsid w:val="000C5B4B"/>
    <w:rsid w:val="000C5CC4"/>
    <w:rsid w:val="000C6011"/>
    <w:rsid w:val="000C7091"/>
    <w:rsid w:val="000C72AC"/>
    <w:rsid w:val="000C79EE"/>
    <w:rsid w:val="000C7E86"/>
    <w:rsid w:val="000D1D96"/>
    <w:rsid w:val="000D2252"/>
    <w:rsid w:val="000D2473"/>
    <w:rsid w:val="000D28CC"/>
    <w:rsid w:val="000D3CD8"/>
    <w:rsid w:val="000D3E4A"/>
    <w:rsid w:val="000D4A6D"/>
    <w:rsid w:val="000D562E"/>
    <w:rsid w:val="000D6772"/>
    <w:rsid w:val="000D6E66"/>
    <w:rsid w:val="000E110D"/>
    <w:rsid w:val="000E38DF"/>
    <w:rsid w:val="000E4B07"/>
    <w:rsid w:val="000E4F7D"/>
    <w:rsid w:val="000E52B7"/>
    <w:rsid w:val="000E54B8"/>
    <w:rsid w:val="000E5DAB"/>
    <w:rsid w:val="000E6987"/>
    <w:rsid w:val="000E69E7"/>
    <w:rsid w:val="000E6F6B"/>
    <w:rsid w:val="000E6FE9"/>
    <w:rsid w:val="000F05C8"/>
    <w:rsid w:val="000F0E65"/>
    <w:rsid w:val="000F22D5"/>
    <w:rsid w:val="000F22FA"/>
    <w:rsid w:val="000F2402"/>
    <w:rsid w:val="000F40E2"/>
    <w:rsid w:val="000F5177"/>
    <w:rsid w:val="000F5BB8"/>
    <w:rsid w:val="00100239"/>
    <w:rsid w:val="001004E8"/>
    <w:rsid w:val="00100879"/>
    <w:rsid w:val="001008AC"/>
    <w:rsid w:val="00100DE7"/>
    <w:rsid w:val="001029E3"/>
    <w:rsid w:val="00102FF7"/>
    <w:rsid w:val="00103D4E"/>
    <w:rsid w:val="00103F53"/>
    <w:rsid w:val="001040FE"/>
    <w:rsid w:val="0010431D"/>
    <w:rsid w:val="0010463E"/>
    <w:rsid w:val="001049A3"/>
    <w:rsid w:val="00104C8A"/>
    <w:rsid w:val="00104FC5"/>
    <w:rsid w:val="001056E1"/>
    <w:rsid w:val="00105A3B"/>
    <w:rsid w:val="00105D74"/>
    <w:rsid w:val="00105E11"/>
    <w:rsid w:val="0010764B"/>
    <w:rsid w:val="00107778"/>
    <w:rsid w:val="00107DCF"/>
    <w:rsid w:val="00111549"/>
    <w:rsid w:val="001130E7"/>
    <w:rsid w:val="0011508E"/>
    <w:rsid w:val="001154CE"/>
    <w:rsid w:val="00115574"/>
    <w:rsid w:val="0011596F"/>
    <w:rsid w:val="0012043A"/>
    <w:rsid w:val="00120589"/>
    <w:rsid w:val="00121425"/>
    <w:rsid w:val="001218A7"/>
    <w:rsid w:val="00122442"/>
    <w:rsid w:val="001245FE"/>
    <w:rsid w:val="00124656"/>
    <w:rsid w:val="00124C53"/>
    <w:rsid w:val="0012692A"/>
    <w:rsid w:val="001269AB"/>
    <w:rsid w:val="00126C79"/>
    <w:rsid w:val="00126CA9"/>
    <w:rsid w:val="0012701D"/>
    <w:rsid w:val="00127828"/>
    <w:rsid w:val="00132141"/>
    <w:rsid w:val="0013219D"/>
    <w:rsid w:val="00132877"/>
    <w:rsid w:val="00132F73"/>
    <w:rsid w:val="001337C7"/>
    <w:rsid w:val="00133AD5"/>
    <w:rsid w:val="00134145"/>
    <w:rsid w:val="001349D5"/>
    <w:rsid w:val="00134A5C"/>
    <w:rsid w:val="00135211"/>
    <w:rsid w:val="00135525"/>
    <w:rsid w:val="00135F61"/>
    <w:rsid w:val="00140CA6"/>
    <w:rsid w:val="0014292D"/>
    <w:rsid w:val="00143D88"/>
    <w:rsid w:val="00145999"/>
    <w:rsid w:val="001460FF"/>
    <w:rsid w:val="00146E68"/>
    <w:rsid w:val="001479B5"/>
    <w:rsid w:val="001479CE"/>
    <w:rsid w:val="001509B7"/>
    <w:rsid w:val="00150DEF"/>
    <w:rsid w:val="00151305"/>
    <w:rsid w:val="00151507"/>
    <w:rsid w:val="001518A7"/>
    <w:rsid w:val="00151A2B"/>
    <w:rsid w:val="00152176"/>
    <w:rsid w:val="00152DA4"/>
    <w:rsid w:val="00154413"/>
    <w:rsid w:val="00155032"/>
    <w:rsid w:val="00157A15"/>
    <w:rsid w:val="00160AC3"/>
    <w:rsid w:val="00164864"/>
    <w:rsid w:val="0016542A"/>
    <w:rsid w:val="00167392"/>
    <w:rsid w:val="00167EAF"/>
    <w:rsid w:val="0017046A"/>
    <w:rsid w:val="00172601"/>
    <w:rsid w:val="00173401"/>
    <w:rsid w:val="00173DFA"/>
    <w:rsid w:val="00174422"/>
    <w:rsid w:val="0018007E"/>
    <w:rsid w:val="00180C13"/>
    <w:rsid w:val="00181BE9"/>
    <w:rsid w:val="001827FE"/>
    <w:rsid w:val="0018622A"/>
    <w:rsid w:val="0018633F"/>
    <w:rsid w:val="001900E9"/>
    <w:rsid w:val="00190938"/>
    <w:rsid w:val="00190EDD"/>
    <w:rsid w:val="00191247"/>
    <w:rsid w:val="00191C34"/>
    <w:rsid w:val="0019323A"/>
    <w:rsid w:val="00193B16"/>
    <w:rsid w:val="00195055"/>
    <w:rsid w:val="001967CA"/>
    <w:rsid w:val="00197622"/>
    <w:rsid w:val="00197F31"/>
    <w:rsid w:val="001A059F"/>
    <w:rsid w:val="001A0B1E"/>
    <w:rsid w:val="001A1DAB"/>
    <w:rsid w:val="001A217F"/>
    <w:rsid w:val="001A2312"/>
    <w:rsid w:val="001A33F6"/>
    <w:rsid w:val="001A3D07"/>
    <w:rsid w:val="001A407D"/>
    <w:rsid w:val="001A46E6"/>
    <w:rsid w:val="001A4719"/>
    <w:rsid w:val="001A4B66"/>
    <w:rsid w:val="001A5DF9"/>
    <w:rsid w:val="001A78B7"/>
    <w:rsid w:val="001B02D1"/>
    <w:rsid w:val="001B0F64"/>
    <w:rsid w:val="001B1D0B"/>
    <w:rsid w:val="001B2019"/>
    <w:rsid w:val="001B363B"/>
    <w:rsid w:val="001B41C5"/>
    <w:rsid w:val="001B44B0"/>
    <w:rsid w:val="001B463F"/>
    <w:rsid w:val="001B5110"/>
    <w:rsid w:val="001B5FBE"/>
    <w:rsid w:val="001B6F58"/>
    <w:rsid w:val="001B7869"/>
    <w:rsid w:val="001C0766"/>
    <w:rsid w:val="001C0CCA"/>
    <w:rsid w:val="001C0F95"/>
    <w:rsid w:val="001C1F6E"/>
    <w:rsid w:val="001C2845"/>
    <w:rsid w:val="001C2F8D"/>
    <w:rsid w:val="001C32E2"/>
    <w:rsid w:val="001C37E7"/>
    <w:rsid w:val="001C3A02"/>
    <w:rsid w:val="001C3B3C"/>
    <w:rsid w:val="001C3B63"/>
    <w:rsid w:val="001C4335"/>
    <w:rsid w:val="001C448A"/>
    <w:rsid w:val="001C559F"/>
    <w:rsid w:val="001C6B1C"/>
    <w:rsid w:val="001D06F9"/>
    <w:rsid w:val="001D0F34"/>
    <w:rsid w:val="001D2501"/>
    <w:rsid w:val="001D2B6F"/>
    <w:rsid w:val="001D39F1"/>
    <w:rsid w:val="001D47FB"/>
    <w:rsid w:val="001D50DC"/>
    <w:rsid w:val="001E0EFA"/>
    <w:rsid w:val="001E2C2E"/>
    <w:rsid w:val="001E3338"/>
    <w:rsid w:val="001E5264"/>
    <w:rsid w:val="001E5EA3"/>
    <w:rsid w:val="001E66F4"/>
    <w:rsid w:val="001E6804"/>
    <w:rsid w:val="001E73B6"/>
    <w:rsid w:val="001E7D07"/>
    <w:rsid w:val="001F1B86"/>
    <w:rsid w:val="001F1D74"/>
    <w:rsid w:val="001F243C"/>
    <w:rsid w:val="001F29E5"/>
    <w:rsid w:val="001F2B50"/>
    <w:rsid w:val="001F2D8E"/>
    <w:rsid w:val="001F5B2D"/>
    <w:rsid w:val="001F5E15"/>
    <w:rsid w:val="001F62BF"/>
    <w:rsid w:val="001F6348"/>
    <w:rsid w:val="001F6AD0"/>
    <w:rsid w:val="001F7386"/>
    <w:rsid w:val="001F7E88"/>
    <w:rsid w:val="0020043E"/>
    <w:rsid w:val="002004E4"/>
    <w:rsid w:val="00202A66"/>
    <w:rsid w:val="0020344F"/>
    <w:rsid w:val="00203477"/>
    <w:rsid w:val="00204367"/>
    <w:rsid w:val="0020437D"/>
    <w:rsid w:val="0020605E"/>
    <w:rsid w:val="00206483"/>
    <w:rsid w:val="00207239"/>
    <w:rsid w:val="0020787F"/>
    <w:rsid w:val="00211505"/>
    <w:rsid w:val="002116FB"/>
    <w:rsid w:val="00212135"/>
    <w:rsid w:val="002121F9"/>
    <w:rsid w:val="00212D35"/>
    <w:rsid w:val="002147FC"/>
    <w:rsid w:val="0021528E"/>
    <w:rsid w:val="002165D7"/>
    <w:rsid w:val="00216A80"/>
    <w:rsid w:val="00217AFB"/>
    <w:rsid w:val="00220155"/>
    <w:rsid w:val="00220277"/>
    <w:rsid w:val="00220DD4"/>
    <w:rsid w:val="00221246"/>
    <w:rsid w:val="00221917"/>
    <w:rsid w:val="0022315B"/>
    <w:rsid w:val="00223615"/>
    <w:rsid w:val="00224850"/>
    <w:rsid w:val="002254B5"/>
    <w:rsid w:val="002255E5"/>
    <w:rsid w:val="00227130"/>
    <w:rsid w:val="002305C7"/>
    <w:rsid w:val="00230675"/>
    <w:rsid w:val="00230E2E"/>
    <w:rsid w:val="00231ADA"/>
    <w:rsid w:val="002321F7"/>
    <w:rsid w:val="00234D6E"/>
    <w:rsid w:val="002358B4"/>
    <w:rsid w:val="00236081"/>
    <w:rsid w:val="00236E59"/>
    <w:rsid w:val="00237654"/>
    <w:rsid w:val="00237CFF"/>
    <w:rsid w:val="002406FE"/>
    <w:rsid w:val="00240D2F"/>
    <w:rsid w:val="00240E54"/>
    <w:rsid w:val="00241280"/>
    <w:rsid w:val="00242747"/>
    <w:rsid w:val="002429D6"/>
    <w:rsid w:val="002437F2"/>
    <w:rsid w:val="002439D9"/>
    <w:rsid w:val="00244049"/>
    <w:rsid w:val="002474C1"/>
    <w:rsid w:val="00247B94"/>
    <w:rsid w:val="00250345"/>
    <w:rsid w:val="00251A2F"/>
    <w:rsid w:val="00251A47"/>
    <w:rsid w:val="00254285"/>
    <w:rsid w:val="00254CF5"/>
    <w:rsid w:val="00256067"/>
    <w:rsid w:val="0026017A"/>
    <w:rsid w:val="0026037D"/>
    <w:rsid w:val="002607A0"/>
    <w:rsid w:val="00260808"/>
    <w:rsid w:val="00260BE8"/>
    <w:rsid w:val="00260FAE"/>
    <w:rsid w:val="002617EF"/>
    <w:rsid w:val="00262F59"/>
    <w:rsid w:val="00263029"/>
    <w:rsid w:val="00263039"/>
    <w:rsid w:val="002637B9"/>
    <w:rsid w:val="00263867"/>
    <w:rsid w:val="00263E6E"/>
    <w:rsid w:val="0026604A"/>
    <w:rsid w:val="00270CC4"/>
    <w:rsid w:val="002724EF"/>
    <w:rsid w:val="00272931"/>
    <w:rsid w:val="00273043"/>
    <w:rsid w:val="0027377E"/>
    <w:rsid w:val="00273B73"/>
    <w:rsid w:val="00274176"/>
    <w:rsid w:val="00274D40"/>
    <w:rsid w:val="00274EBF"/>
    <w:rsid w:val="00275717"/>
    <w:rsid w:val="002760DF"/>
    <w:rsid w:val="00276EE4"/>
    <w:rsid w:val="0027702F"/>
    <w:rsid w:val="00280F52"/>
    <w:rsid w:val="002810D0"/>
    <w:rsid w:val="00281B6C"/>
    <w:rsid w:val="00281BF7"/>
    <w:rsid w:val="00282072"/>
    <w:rsid w:val="00282519"/>
    <w:rsid w:val="00283156"/>
    <w:rsid w:val="00283804"/>
    <w:rsid w:val="00283DCE"/>
    <w:rsid w:val="00284592"/>
    <w:rsid w:val="00284681"/>
    <w:rsid w:val="0028501D"/>
    <w:rsid w:val="0028549C"/>
    <w:rsid w:val="00285A1D"/>
    <w:rsid w:val="00286115"/>
    <w:rsid w:val="00287ECE"/>
    <w:rsid w:val="00290A46"/>
    <w:rsid w:val="00292BA4"/>
    <w:rsid w:val="0029443B"/>
    <w:rsid w:val="0029448A"/>
    <w:rsid w:val="002954AF"/>
    <w:rsid w:val="002967D4"/>
    <w:rsid w:val="00297348"/>
    <w:rsid w:val="002A0045"/>
    <w:rsid w:val="002A1FB0"/>
    <w:rsid w:val="002A333E"/>
    <w:rsid w:val="002A3B79"/>
    <w:rsid w:val="002A5331"/>
    <w:rsid w:val="002A54C3"/>
    <w:rsid w:val="002A5707"/>
    <w:rsid w:val="002A5DA8"/>
    <w:rsid w:val="002A62E5"/>
    <w:rsid w:val="002A6934"/>
    <w:rsid w:val="002A77B9"/>
    <w:rsid w:val="002B005A"/>
    <w:rsid w:val="002B04C5"/>
    <w:rsid w:val="002B07AB"/>
    <w:rsid w:val="002B0BA4"/>
    <w:rsid w:val="002B175B"/>
    <w:rsid w:val="002B17CD"/>
    <w:rsid w:val="002B1FF3"/>
    <w:rsid w:val="002B2EB5"/>
    <w:rsid w:val="002B33F2"/>
    <w:rsid w:val="002B4600"/>
    <w:rsid w:val="002B5229"/>
    <w:rsid w:val="002B5336"/>
    <w:rsid w:val="002B5622"/>
    <w:rsid w:val="002B7C05"/>
    <w:rsid w:val="002C2FD0"/>
    <w:rsid w:val="002C3026"/>
    <w:rsid w:val="002C3B62"/>
    <w:rsid w:val="002C631C"/>
    <w:rsid w:val="002D10F0"/>
    <w:rsid w:val="002D111A"/>
    <w:rsid w:val="002D15B3"/>
    <w:rsid w:val="002D18E8"/>
    <w:rsid w:val="002D190B"/>
    <w:rsid w:val="002D27F1"/>
    <w:rsid w:val="002D4833"/>
    <w:rsid w:val="002D5111"/>
    <w:rsid w:val="002D56CD"/>
    <w:rsid w:val="002D5A18"/>
    <w:rsid w:val="002E03DF"/>
    <w:rsid w:val="002E1CF8"/>
    <w:rsid w:val="002E3BBD"/>
    <w:rsid w:val="002E55C1"/>
    <w:rsid w:val="002E6492"/>
    <w:rsid w:val="002E68C1"/>
    <w:rsid w:val="002E69A3"/>
    <w:rsid w:val="002E79B6"/>
    <w:rsid w:val="002F22E0"/>
    <w:rsid w:val="002F3869"/>
    <w:rsid w:val="002F4153"/>
    <w:rsid w:val="002F709E"/>
    <w:rsid w:val="002F74CD"/>
    <w:rsid w:val="002F74EF"/>
    <w:rsid w:val="002F7D4B"/>
    <w:rsid w:val="002F7FFE"/>
    <w:rsid w:val="00300FD8"/>
    <w:rsid w:val="003028B3"/>
    <w:rsid w:val="00303023"/>
    <w:rsid w:val="003041CC"/>
    <w:rsid w:val="003059DC"/>
    <w:rsid w:val="00307EA1"/>
    <w:rsid w:val="003110AC"/>
    <w:rsid w:val="003117AB"/>
    <w:rsid w:val="0031403A"/>
    <w:rsid w:val="00315A76"/>
    <w:rsid w:val="0031603D"/>
    <w:rsid w:val="003160DB"/>
    <w:rsid w:val="0031687E"/>
    <w:rsid w:val="00316E0B"/>
    <w:rsid w:val="00317460"/>
    <w:rsid w:val="00317C54"/>
    <w:rsid w:val="00321491"/>
    <w:rsid w:val="00321698"/>
    <w:rsid w:val="0032201E"/>
    <w:rsid w:val="003236C1"/>
    <w:rsid w:val="0032502B"/>
    <w:rsid w:val="0032684F"/>
    <w:rsid w:val="0032710F"/>
    <w:rsid w:val="00331DBB"/>
    <w:rsid w:val="00333053"/>
    <w:rsid w:val="003343B9"/>
    <w:rsid w:val="00334516"/>
    <w:rsid w:val="0033472C"/>
    <w:rsid w:val="003359BD"/>
    <w:rsid w:val="00335A7B"/>
    <w:rsid w:val="00335EE7"/>
    <w:rsid w:val="00336677"/>
    <w:rsid w:val="003367ED"/>
    <w:rsid w:val="00337633"/>
    <w:rsid w:val="00337BCA"/>
    <w:rsid w:val="003401A2"/>
    <w:rsid w:val="003406B4"/>
    <w:rsid w:val="0034111E"/>
    <w:rsid w:val="00341157"/>
    <w:rsid w:val="0034123F"/>
    <w:rsid w:val="003412AC"/>
    <w:rsid w:val="00341C44"/>
    <w:rsid w:val="00342FCB"/>
    <w:rsid w:val="003438B6"/>
    <w:rsid w:val="00343B8A"/>
    <w:rsid w:val="003448DA"/>
    <w:rsid w:val="00344AC7"/>
    <w:rsid w:val="003453B0"/>
    <w:rsid w:val="00346227"/>
    <w:rsid w:val="0034698C"/>
    <w:rsid w:val="00347670"/>
    <w:rsid w:val="00350DC5"/>
    <w:rsid w:val="003516BC"/>
    <w:rsid w:val="003517D1"/>
    <w:rsid w:val="00351CCE"/>
    <w:rsid w:val="00352AC9"/>
    <w:rsid w:val="00352BC4"/>
    <w:rsid w:val="0035346E"/>
    <w:rsid w:val="003535D5"/>
    <w:rsid w:val="00354682"/>
    <w:rsid w:val="0035472B"/>
    <w:rsid w:val="00354EC2"/>
    <w:rsid w:val="003578F7"/>
    <w:rsid w:val="00357926"/>
    <w:rsid w:val="003579F2"/>
    <w:rsid w:val="003618D2"/>
    <w:rsid w:val="0036278D"/>
    <w:rsid w:val="00363659"/>
    <w:rsid w:val="00364017"/>
    <w:rsid w:val="0036402A"/>
    <w:rsid w:val="003657F3"/>
    <w:rsid w:val="003661E3"/>
    <w:rsid w:val="0036642B"/>
    <w:rsid w:val="00366C80"/>
    <w:rsid w:val="00366E03"/>
    <w:rsid w:val="00367308"/>
    <w:rsid w:val="00367363"/>
    <w:rsid w:val="00367B4D"/>
    <w:rsid w:val="00370625"/>
    <w:rsid w:val="00370895"/>
    <w:rsid w:val="0037107B"/>
    <w:rsid w:val="00372F5B"/>
    <w:rsid w:val="00374312"/>
    <w:rsid w:val="00375CBB"/>
    <w:rsid w:val="00376ECF"/>
    <w:rsid w:val="00383E4F"/>
    <w:rsid w:val="0038436D"/>
    <w:rsid w:val="0038715A"/>
    <w:rsid w:val="00387328"/>
    <w:rsid w:val="00387C65"/>
    <w:rsid w:val="00391981"/>
    <w:rsid w:val="00391A02"/>
    <w:rsid w:val="00392355"/>
    <w:rsid w:val="00393759"/>
    <w:rsid w:val="00393AFC"/>
    <w:rsid w:val="00393F51"/>
    <w:rsid w:val="0039445C"/>
    <w:rsid w:val="003944B5"/>
    <w:rsid w:val="00394636"/>
    <w:rsid w:val="003950FC"/>
    <w:rsid w:val="00395819"/>
    <w:rsid w:val="003958DF"/>
    <w:rsid w:val="00395BA1"/>
    <w:rsid w:val="003962C5"/>
    <w:rsid w:val="003962FD"/>
    <w:rsid w:val="00396E7B"/>
    <w:rsid w:val="00396F59"/>
    <w:rsid w:val="00397157"/>
    <w:rsid w:val="003A02CD"/>
    <w:rsid w:val="003A03C9"/>
    <w:rsid w:val="003A11F2"/>
    <w:rsid w:val="003A17A0"/>
    <w:rsid w:val="003A201C"/>
    <w:rsid w:val="003A23B8"/>
    <w:rsid w:val="003A258B"/>
    <w:rsid w:val="003A26DA"/>
    <w:rsid w:val="003A2E5C"/>
    <w:rsid w:val="003A30F8"/>
    <w:rsid w:val="003A34DB"/>
    <w:rsid w:val="003A5A3A"/>
    <w:rsid w:val="003A6D00"/>
    <w:rsid w:val="003A72F1"/>
    <w:rsid w:val="003A73C8"/>
    <w:rsid w:val="003A76F1"/>
    <w:rsid w:val="003A778F"/>
    <w:rsid w:val="003B21F3"/>
    <w:rsid w:val="003B220D"/>
    <w:rsid w:val="003B26C2"/>
    <w:rsid w:val="003B2950"/>
    <w:rsid w:val="003B3FA8"/>
    <w:rsid w:val="003B48FA"/>
    <w:rsid w:val="003B4D85"/>
    <w:rsid w:val="003B57AC"/>
    <w:rsid w:val="003B5D5D"/>
    <w:rsid w:val="003B6FA5"/>
    <w:rsid w:val="003C179C"/>
    <w:rsid w:val="003C19CE"/>
    <w:rsid w:val="003C2178"/>
    <w:rsid w:val="003C5FF6"/>
    <w:rsid w:val="003C63E1"/>
    <w:rsid w:val="003C69CB"/>
    <w:rsid w:val="003C757F"/>
    <w:rsid w:val="003D0191"/>
    <w:rsid w:val="003D0719"/>
    <w:rsid w:val="003D0900"/>
    <w:rsid w:val="003D0D82"/>
    <w:rsid w:val="003D17AD"/>
    <w:rsid w:val="003D2754"/>
    <w:rsid w:val="003D3FF8"/>
    <w:rsid w:val="003D51DE"/>
    <w:rsid w:val="003D5298"/>
    <w:rsid w:val="003D5B21"/>
    <w:rsid w:val="003D6171"/>
    <w:rsid w:val="003D659C"/>
    <w:rsid w:val="003D6EB5"/>
    <w:rsid w:val="003D7B3F"/>
    <w:rsid w:val="003E09B5"/>
    <w:rsid w:val="003E0CB2"/>
    <w:rsid w:val="003E2E74"/>
    <w:rsid w:val="003E325F"/>
    <w:rsid w:val="003E3F54"/>
    <w:rsid w:val="003E5555"/>
    <w:rsid w:val="003E5A9D"/>
    <w:rsid w:val="003E5E3D"/>
    <w:rsid w:val="003E6F73"/>
    <w:rsid w:val="003E7F12"/>
    <w:rsid w:val="003F1561"/>
    <w:rsid w:val="003F2125"/>
    <w:rsid w:val="003F2351"/>
    <w:rsid w:val="003F241D"/>
    <w:rsid w:val="003F3525"/>
    <w:rsid w:val="003F44A6"/>
    <w:rsid w:val="003F5177"/>
    <w:rsid w:val="003F5D1E"/>
    <w:rsid w:val="003F634D"/>
    <w:rsid w:val="003F6886"/>
    <w:rsid w:val="003F74FD"/>
    <w:rsid w:val="003F763D"/>
    <w:rsid w:val="004011AA"/>
    <w:rsid w:val="00401830"/>
    <w:rsid w:val="00401958"/>
    <w:rsid w:val="00401E67"/>
    <w:rsid w:val="00402FF5"/>
    <w:rsid w:val="004033F3"/>
    <w:rsid w:val="00404C88"/>
    <w:rsid w:val="00404DC8"/>
    <w:rsid w:val="00406119"/>
    <w:rsid w:val="00407116"/>
    <w:rsid w:val="004071A3"/>
    <w:rsid w:val="00407965"/>
    <w:rsid w:val="00407B25"/>
    <w:rsid w:val="0041006A"/>
    <w:rsid w:val="00411823"/>
    <w:rsid w:val="0041344A"/>
    <w:rsid w:val="00413561"/>
    <w:rsid w:val="00413E24"/>
    <w:rsid w:val="0041478A"/>
    <w:rsid w:val="004152D4"/>
    <w:rsid w:val="00416FB4"/>
    <w:rsid w:val="00417554"/>
    <w:rsid w:val="004176C7"/>
    <w:rsid w:val="004177CC"/>
    <w:rsid w:val="00420130"/>
    <w:rsid w:val="004204C0"/>
    <w:rsid w:val="00420A4C"/>
    <w:rsid w:val="00421079"/>
    <w:rsid w:val="0042135A"/>
    <w:rsid w:val="00421535"/>
    <w:rsid w:val="00421A3A"/>
    <w:rsid w:val="00421D20"/>
    <w:rsid w:val="00421E7C"/>
    <w:rsid w:val="00422A6F"/>
    <w:rsid w:val="004232AE"/>
    <w:rsid w:val="0042427F"/>
    <w:rsid w:val="00424CA9"/>
    <w:rsid w:val="00425A04"/>
    <w:rsid w:val="00425B4E"/>
    <w:rsid w:val="0042638E"/>
    <w:rsid w:val="00426A61"/>
    <w:rsid w:val="00430422"/>
    <w:rsid w:val="004306DD"/>
    <w:rsid w:val="0043100F"/>
    <w:rsid w:val="00431E2A"/>
    <w:rsid w:val="00432AB4"/>
    <w:rsid w:val="004330D9"/>
    <w:rsid w:val="00433D80"/>
    <w:rsid w:val="0043410D"/>
    <w:rsid w:val="00434472"/>
    <w:rsid w:val="00434DB0"/>
    <w:rsid w:val="00435755"/>
    <w:rsid w:val="004363EC"/>
    <w:rsid w:val="00437CF3"/>
    <w:rsid w:val="0044011D"/>
    <w:rsid w:val="00442267"/>
    <w:rsid w:val="004450E5"/>
    <w:rsid w:val="0044649A"/>
    <w:rsid w:val="004470AD"/>
    <w:rsid w:val="0044721F"/>
    <w:rsid w:val="004475F3"/>
    <w:rsid w:val="00450BD4"/>
    <w:rsid w:val="004514D9"/>
    <w:rsid w:val="004515CC"/>
    <w:rsid w:val="00451945"/>
    <w:rsid w:val="004520E9"/>
    <w:rsid w:val="00452419"/>
    <w:rsid w:val="00452EDA"/>
    <w:rsid w:val="00453666"/>
    <w:rsid w:val="00455236"/>
    <w:rsid w:val="00455510"/>
    <w:rsid w:val="00461B51"/>
    <w:rsid w:val="00462FEF"/>
    <w:rsid w:val="004635D0"/>
    <w:rsid w:val="004645DD"/>
    <w:rsid w:val="004649F3"/>
    <w:rsid w:val="0046760F"/>
    <w:rsid w:val="00467D34"/>
    <w:rsid w:val="00470453"/>
    <w:rsid w:val="004710A2"/>
    <w:rsid w:val="00471697"/>
    <w:rsid w:val="00471D6D"/>
    <w:rsid w:val="00472738"/>
    <w:rsid w:val="00474022"/>
    <w:rsid w:val="00474331"/>
    <w:rsid w:val="004762DC"/>
    <w:rsid w:val="00476AC8"/>
    <w:rsid w:val="00476D5D"/>
    <w:rsid w:val="00477034"/>
    <w:rsid w:val="00480B99"/>
    <w:rsid w:val="00483946"/>
    <w:rsid w:val="0048491E"/>
    <w:rsid w:val="00487099"/>
    <w:rsid w:val="00487231"/>
    <w:rsid w:val="00487673"/>
    <w:rsid w:val="00490B7F"/>
    <w:rsid w:val="00491725"/>
    <w:rsid w:val="00491938"/>
    <w:rsid w:val="00491D86"/>
    <w:rsid w:val="00492FE5"/>
    <w:rsid w:val="004951C7"/>
    <w:rsid w:val="00496BAD"/>
    <w:rsid w:val="00496E7C"/>
    <w:rsid w:val="004A04F8"/>
    <w:rsid w:val="004A2556"/>
    <w:rsid w:val="004A293A"/>
    <w:rsid w:val="004A3418"/>
    <w:rsid w:val="004A3659"/>
    <w:rsid w:val="004A5BA6"/>
    <w:rsid w:val="004A5D79"/>
    <w:rsid w:val="004A624A"/>
    <w:rsid w:val="004B3337"/>
    <w:rsid w:val="004B4513"/>
    <w:rsid w:val="004B617F"/>
    <w:rsid w:val="004B63C7"/>
    <w:rsid w:val="004C0748"/>
    <w:rsid w:val="004C13E3"/>
    <w:rsid w:val="004C2B0D"/>
    <w:rsid w:val="004C337E"/>
    <w:rsid w:val="004C477C"/>
    <w:rsid w:val="004C4AD7"/>
    <w:rsid w:val="004C5299"/>
    <w:rsid w:val="004C61EF"/>
    <w:rsid w:val="004C65A6"/>
    <w:rsid w:val="004C6A4F"/>
    <w:rsid w:val="004C6B62"/>
    <w:rsid w:val="004C6DBD"/>
    <w:rsid w:val="004D2525"/>
    <w:rsid w:val="004D331B"/>
    <w:rsid w:val="004D399E"/>
    <w:rsid w:val="004D4B95"/>
    <w:rsid w:val="004D4BD8"/>
    <w:rsid w:val="004D562F"/>
    <w:rsid w:val="004D5D0C"/>
    <w:rsid w:val="004D7752"/>
    <w:rsid w:val="004E0739"/>
    <w:rsid w:val="004E1308"/>
    <w:rsid w:val="004E2470"/>
    <w:rsid w:val="004E2C27"/>
    <w:rsid w:val="004E2C57"/>
    <w:rsid w:val="004E2F70"/>
    <w:rsid w:val="004E2F9D"/>
    <w:rsid w:val="004E370A"/>
    <w:rsid w:val="004E4B34"/>
    <w:rsid w:val="004E4DA9"/>
    <w:rsid w:val="004E5EF1"/>
    <w:rsid w:val="004E60EE"/>
    <w:rsid w:val="004E7CB0"/>
    <w:rsid w:val="004E7ED8"/>
    <w:rsid w:val="004F03D6"/>
    <w:rsid w:val="004F0563"/>
    <w:rsid w:val="004F0C0D"/>
    <w:rsid w:val="004F1B7A"/>
    <w:rsid w:val="004F237A"/>
    <w:rsid w:val="004F2779"/>
    <w:rsid w:val="004F3999"/>
    <w:rsid w:val="004F573B"/>
    <w:rsid w:val="004F5E27"/>
    <w:rsid w:val="004F673D"/>
    <w:rsid w:val="0050004F"/>
    <w:rsid w:val="00500111"/>
    <w:rsid w:val="00500D85"/>
    <w:rsid w:val="00501632"/>
    <w:rsid w:val="00501776"/>
    <w:rsid w:val="00501D4C"/>
    <w:rsid w:val="0050217F"/>
    <w:rsid w:val="0050251D"/>
    <w:rsid w:val="00502942"/>
    <w:rsid w:val="00502C1B"/>
    <w:rsid w:val="00502EE7"/>
    <w:rsid w:val="00503B76"/>
    <w:rsid w:val="00504247"/>
    <w:rsid w:val="005054AF"/>
    <w:rsid w:val="00506756"/>
    <w:rsid w:val="00506FB0"/>
    <w:rsid w:val="00507BC2"/>
    <w:rsid w:val="0051058C"/>
    <w:rsid w:val="005112E3"/>
    <w:rsid w:val="00511CB9"/>
    <w:rsid w:val="00511EF5"/>
    <w:rsid w:val="00512E13"/>
    <w:rsid w:val="00514532"/>
    <w:rsid w:val="00514757"/>
    <w:rsid w:val="00514917"/>
    <w:rsid w:val="00514FF6"/>
    <w:rsid w:val="005161B5"/>
    <w:rsid w:val="0051683D"/>
    <w:rsid w:val="00520638"/>
    <w:rsid w:val="005209E0"/>
    <w:rsid w:val="00521099"/>
    <w:rsid w:val="005216C2"/>
    <w:rsid w:val="00521F95"/>
    <w:rsid w:val="005220A5"/>
    <w:rsid w:val="00522F87"/>
    <w:rsid w:val="00523643"/>
    <w:rsid w:val="005247C2"/>
    <w:rsid w:val="005261EE"/>
    <w:rsid w:val="00530039"/>
    <w:rsid w:val="005314A5"/>
    <w:rsid w:val="00531946"/>
    <w:rsid w:val="00531A96"/>
    <w:rsid w:val="0053429D"/>
    <w:rsid w:val="005355CE"/>
    <w:rsid w:val="00540428"/>
    <w:rsid w:val="00540440"/>
    <w:rsid w:val="00540540"/>
    <w:rsid w:val="00540CF4"/>
    <w:rsid w:val="00540D4E"/>
    <w:rsid w:val="00541D51"/>
    <w:rsid w:val="005427C3"/>
    <w:rsid w:val="0054297C"/>
    <w:rsid w:val="005431FC"/>
    <w:rsid w:val="005435D4"/>
    <w:rsid w:val="00544B12"/>
    <w:rsid w:val="00544D26"/>
    <w:rsid w:val="0054572C"/>
    <w:rsid w:val="00547779"/>
    <w:rsid w:val="00547B3E"/>
    <w:rsid w:val="00550253"/>
    <w:rsid w:val="00550317"/>
    <w:rsid w:val="005506C8"/>
    <w:rsid w:val="005507F2"/>
    <w:rsid w:val="00550E24"/>
    <w:rsid w:val="0055285D"/>
    <w:rsid w:val="00552A53"/>
    <w:rsid w:val="00554BB5"/>
    <w:rsid w:val="00556126"/>
    <w:rsid w:val="0055632F"/>
    <w:rsid w:val="0055666A"/>
    <w:rsid w:val="00556D42"/>
    <w:rsid w:val="005573EB"/>
    <w:rsid w:val="005578DF"/>
    <w:rsid w:val="00560D27"/>
    <w:rsid w:val="00561C80"/>
    <w:rsid w:val="005625A6"/>
    <w:rsid w:val="005633D6"/>
    <w:rsid w:val="005636FE"/>
    <w:rsid w:val="005640E4"/>
    <w:rsid w:val="00565D0A"/>
    <w:rsid w:val="00566791"/>
    <w:rsid w:val="00567C4A"/>
    <w:rsid w:val="005713E0"/>
    <w:rsid w:val="00571B45"/>
    <w:rsid w:val="00572FC5"/>
    <w:rsid w:val="00573776"/>
    <w:rsid w:val="00573951"/>
    <w:rsid w:val="00573ABC"/>
    <w:rsid w:val="00575B10"/>
    <w:rsid w:val="005762B6"/>
    <w:rsid w:val="00576467"/>
    <w:rsid w:val="00576C19"/>
    <w:rsid w:val="00576DFC"/>
    <w:rsid w:val="00577F0B"/>
    <w:rsid w:val="00580EFB"/>
    <w:rsid w:val="00581FCF"/>
    <w:rsid w:val="0058217D"/>
    <w:rsid w:val="005823B3"/>
    <w:rsid w:val="00583C4F"/>
    <w:rsid w:val="00585C54"/>
    <w:rsid w:val="00585CC9"/>
    <w:rsid w:val="005864CB"/>
    <w:rsid w:val="00586FD8"/>
    <w:rsid w:val="00587FE7"/>
    <w:rsid w:val="005901C2"/>
    <w:rsid w:val="00590CCB"/>
    <w:rsid w:val="00591007"/>
    <w:rsid w:val="0059162A"/>
    <w:rsid w:val="005966F1"/>
    <w:rsid w:val="00596AE1"/>
    <w:rsid w:val="00597312"/>
    <w:rsid w:val="00597A45"/>
    <w:rsid w:val="005A11BB"/>
    <w:rsid w:val="005A1424"/>
    <w:rsid w:val="005A1578"/>
    <w:rsid w:val="005A2C80"/>
    <w:rsid w:val="005A2DBC"/>
    <w:rsid w:val="005A4360"/>
    <w:rsid w:val="005A44A1"/>
    <w:rsid w:val="005A52E1"/>
    <w:rsid w:val="005A5B6E"/>
    <w:rsid w:val="005A618F"/>
    <w:rsid w:val="005A65F4"/>
    <w:rsid w:val="005A690B"/>
    <w:rsid w:val="005A69A2"/>
    <w:rsid w:val="005A6CE6"/>
    <w:rsid w:val="005A76C5"/>
    <w:rsid w:val="005A7C08"/>
    <w:rsid w:val="005A7CC7"/>
    <w:rsid w:val="005B2D86"/>
    <w:rsid w:val="005B3D6B"/>
    <w:rsid w:val="005B41D7"/>
    <w:rsid w:val="005B55DD"/>
    <w:rsid w:val="005B7600"/>
    <w:rsid w:val="005C0EB1"/>
    <w:rsid w:val="005C0EB6"/>
    <w:rsid w:val="005C0ED9"/>
    <w:rsid w:val="005C0EE4"/>
    <w:rsid w:val="005C1AF2"/>
    <w:rsid w:val="005C3709"/>
    <w:rsid w:val="005C4163"/>
    <w:rsid w:val="005C5022"/>
    <w:rsid w:val="005C69DD"/>
    <w:rsid w:val="005D0E40"/>
    <w:rsid w:val="005D0EA1"/>
    <w:rsid w:val="005D11E5"/>
    <w:rsid w:val="005D1229"/>
    <w:rsid w:val="005D1A2B"/>
    <w:rsid w:val="005D2684"/>
    <w:rsid w:val="005D2BFB"/>
    <w:rsid w:val="005D43D3"/>
    <w:rsid w:val="005D647D"/>
    <w:rsid w:val="005D6DFA"/>
    <w:rsid w:val="005E0F58"/>
    <w:rsid w:val="005E1600"/>
    <w:rsid w:val="005E175B"/>
    <w:rsid w:val="005E2ECA"/>
    <w:rsid w:val="005E3789"/>
    <w:rsid w:val="005E493E"/>
    <w:rsid w:val="005E66AB"/>
    <w:rsid w:val="005E6E49"/>
    <w:rsid w:val="005E7A03"/>
    <w:rsid w:val="005F0F3A"/>
    <w:rsid w:val="005F0F5F"/>
    <w:rsid w:val="005F1952"/>
    <w:rsid w:val="005F2D83"/>
    <w:rsid w:val="005F3EC3"/>
    <w:rsid w:val="005F5262"/>
    <w:rsid w:val="005F531A"/>
    <w:rsid w:val="005F6B15"/>
    <w:rsid w:val="00601EC2"/>
    <w:rsid w:val="006028BB"/>
    <w:rsid w:val="00602B92"/>
    <w:rsid w:val="006035FB"/>
    <w:rsid w:val="00603C71"/>
    <w:rsid w:val="006059A7"/>
    <w:rsid w:val="00607026"/>
    <w:rsid w:val="006113C8"/>
    <w:rsid w:val="00612382"/>
    <w:rsid w:val="00612AA2"/>
    <w:rsid w:val="006134D5"/>
    <w:rsid w:val="00615629"/>
    <w:rsid w:val="00615D14"/>
    <w:rsid w:val="006175CF"/>
    <w:rsid w:val="006226CC"/>
    <w:rsid w:val="006227FC"/>
    <w:rsid w:val="00622A5D"/>
    <w:rsid w:val="00623E2C"/>
    <w:rsid w:val="0062441B"/>
    <w:rsid w:val="00625EAF"/>
    <w:rsid w:val="006266E1"/>
    <w:rsid w:val="00626C50"/>
    <w:rsid w:val="00630830"/>
    <w:rsid w:val="00630CCA"/>
    <w:rsid w:val="006340FD"/>
    <w:rsid w:val="006353A0"/>
    <w:rsid w:val="0063557B"/>
    <w:rsid w:val="00635925"/>
    <w:rsid w:val="006361EC"/>
    <w:rsid w:val="00636666"/>
    <w:rsid w:val="00636E6E"/>
    <w:rsid w:val="00637648"/>
    <w:rsid w:val="00637A05"/>
    <w:rsid w:val="006404AF"/>
    <w:rsid w:val="00642476"/>
    <w:rsid w:val="00642AC1"/>
    <w:rsid w:val="00642DD1"/>
    <w:rsid w:val="006455FF"/>
    <w:rsid w:val="00645DC7"/>
    <w:rsid w:val="0064616F"/>
    <w:rsid w:val="00646AC8"/>
    <w:rsid w:val="00647074"/>
    <w:rsid w:val="006473BC"/>
    <w:rsid w:val="0065060E"/>
    <w:rsid w:val="00650B83"/>
    <w:rsid w:val="00650D24"/>
    <w:rsid w:val="006513CF"/>
    <w:rsid w:val="006527DB"/>
    <w:rsid w:val="00652BBB"/>
    <w:rsid w:val="006533F7"/>
    <w:rsid w:val="00653674"/>
    <w:rsid w:val="0065434C"/>
    <w:rsid w:val="00655550"/>
    <w:rsid w:val="00655D0F"/>
    <w:rsid w:val="0065671B"/>
    <w:rsid w:val="00657C1F"/>
    <w:rsid w:val="00662BC8"/>
    <w:rsid w:val="00663F33"/>
    <w:rsid w:val="00664D52"/>
    <w:rsid w:val="00666140"/>
    <w:rsid w:val="006664C6"/>
    <w:rsid w:val="00666701"/>
    <w:rsid w:val="006670DE"/>
    <w:rsid w:val="00667315"/>
    <w:rsid w:val="00667767"/>
    <w:rsid w:val="00667B72"/>
    <w:rsid w:val="00667D66"/>
    <w:rsid w:val="00667FA1"/>
    <w:rsid w:val="00670DDE"/>
    <w:rsid w:val="00670E22"/>
    <w:rsid w:val="00672F90"/>
    <w:rsid w:val="00673020"/>
    <w:rsid w:val="0067361D"/>
    <w:rsid w:val="00674E22"/>
    <w:rsid w:val="00674F08"/>
    <w:rsid w:val="0067521D"/>
    <w:rsid w:val="006752F7"/>
    <w:rsid w:val="006762CD"/>
    <w:rsid w:val="00680685"/>
    <w:rsid w:val="0068080E"/>
    <w:rsid w:val="00683C34"/>
    <w:rsid w:val="00684D97"/>
    <w:rsid w:val="00686223"/>
    <w:rsid w:val="00690AC4"/>
    <w:rsid w:val="0069108A"/>
    <w:rsid w:val="006912E2"/>
    <w:rsid w:val="0069181E"/>
    <w:rsid w:val="00692C95"/>
    <w:rsid w:val="00692D04"/>
    <w:rsid w:val="0069313A"/>
    <w:rsid w:val="006938FD"/>
    <w:rsid w:val="00693C72"/>
    <w:rsid w:val="0069739A"/>
    <w:rsid w:val="00697C47"/>
    <w:rsid w:val="006A03D1"/>
    <w:rsid w:val="006A1951"/>
    <w:rsid w:val="006A2773"/>
    <w:rsid w:val="006A2C4A"/>
    <w:rsid w:val="006A2C58"/>
    <w:rsid w:val="006A3603"/>
    <w:rsid w:val="006A5C22"/>
    <w:rsid w:val="006A5CE6"/>
    <w:rsid w:val="006A6987"/>
    <w:rsid w:val="006B01B0"/>
    <w:rsid w:val="006B10A5"/>
    <w:rsid w:val="006B12CA"/>
    <w:rsid w:val="006B1A1B"/>
    <w:rsid w:val="006B1B27"/>
    <w:rsid w:val="006B1EF4"/>
    <w:rsid w:val="006B2084"/>
    <w:rsid w:val="006B2847"/>
    <w:rsid w:val="006B424D"/>
    <w:rsid w:val="006B426D"/>
    <w:rsid w:val="006B4895"/>
    <w:rsid w:val="006B6311"/>
    <w:rsid w:val="006B6BDA"/>
    <w:rsid w:val="006B7342"/>
    <w:rsid w:val="006B76CF"/>
    <w:rsid w:val="006C0003"/>
    <w:rsid w:val="006C0930"/>
    <w:rsid w:val="006C197E"/>
    <w:rsid w:val="006C293D"/>
    <w:rsid w:val="006C32E1"/>
    <w:rsid w:val="006C450D"/>
    <w:rsid w:val="006C4DF3"/>
    <w:rsid w:val="006C5202"/>
    <w:rsid w:val="006C684F"/>
    <w:rsid w:val="006C7956"/>
    <w:rsid w:val="006D06E4"/>
    <w:rsid w:val="006D09D1"/>
    <w:rsid w:val="006D1860"/>
    <w:rsid w:val="006D1BCA"/>
    <w:rsid w:val="006D1E4A"/>
    <w:rsid w:val="006D1F61"/>
    <w:rsid w:val="006D2374"/>
    <w:rsid w:val="006D2921"/>
    <w:rsid w:val="006D2E83"/>
    <w:rsid w:val="006D380B"/>
    <w:rsid w:val="006D3FE1"/>
    <w:rsid w:val="006D46D4"/>
    <w:rsid w:val="006D6C6A"/>
    <w:rsid w:val="006D6D86"/>
    <w:rsid w:val="006E01AD"/>
    <w:rsid w:val="006E1092"/>
    <w:rsid w:val="006E17EA"/>
    <w:rsid w:val="006E2EA6"/>
    <w:rsid w:val="006E561C"/>
    <w:rsid w:val="006E63EC"/>
    <w:rsid w:val="006E6503"/>
    <w:rsid w:val="006E680D"/>
    <w:rsid w:val="006E774A"/>
    <w:rsid w:val="006E7E9D"/>
    <w:rsid w:val="006F1597"/>
    <w:rsid w:val="006F24BA"/>
    <w:rsid w:val="006F298D"/>
    <w:rsid w:val="006F35A0"/>
    <w:rsid w:val="006F3BAD"/>
    <w:rsid w:val="006F5A14"/>
    <w:rsid w:val="006F5B99"/>
    <w:rsid w:val="006F6771"/>
    <w:rsid w:val="006F710D"/>
    <w:rsid w:val="006F752E"/>
    <w:rsid w:val="0070060D"/>
    <w:rsid w:val="007013A1"/>
    <w:rsid w:val="00702DE0"/>
    <w:rsid w:val="007038CD"/>
    <w:rsid w:val="0070430C"/>
    <w:rsid w:val="007059FC"/>
    <w:rsid w:val="007061AE"/>
    <w:rsid w:val="007062FF"/>
    <w:rsid w:val="0070652A"/>
    <w:rsid w:val="007103FD"/>
    <w:rsid w:val="00710897"/>
    <w:rsid w:val="00711692"/>
    <w:rsid w:val="007135EB"/>
    <w:rsid w:val="00713A2B"/>
    <w:rsid w:val="00714049"/>
    <w:rsid w:val="007141EA"/>
    <w:rsid w:val="0071505A"/>
    <w:rsid w:val="00715E1A"/>
    <w:rsid w:val="00716A93"/>
    <w:rsid w:val="00717DBA"/>
    <w:rsid w:val="00720CDF"/>
    <w:rsid w:val="00721ED8"/>
    <w:rsid w:val="00722E35"/>
    <w:rsid w:val="007237D0"/>
    <w:rsid w:val="00725167"/>
    <w:rsid w:val="00725328"/>
    <w:rsid w:val="00725A5B"/>
    <w:rsid w:val="00726DFF"/>
    <w:rsid w:val="0073054C"/>
    <w:rsid w:val="0073095F"/>
    <w:rsid w:val="00730F02"/>
    <w:rsid w:val="00732F12"/>
    <w:rsid w:val="007337F7"/>
    <w:rsid w:val="00733CB0"/>
    <w:rsid w:val="0073419E"/>
    <w:rsid w:val="00734661"/>
    <w:rsid w:val="0073481B"/>
    <w:rsid w:val="00734871"/>
    <w:rsid w:val="007353A0"/>
    <w:rsid w:val="0073748C"/>
    <w:rsid w:val="00737559"/>
    <w:rsid w:val="00737F10"/>
    <w:rsid w:val="007405F1"/>
    <w:rsid w:val="00740CD6"/>
    <w:rsid w:val="007425D7"/>
    <w:rsid w:val="007426A5"/>
    <w:rsid w:val="00742D2A"/>
    <w:rsid w:val="007437E4"/>
    <w:rsid w:val="007443FC"/>
    <w:rsid w:val="00744768"/>
    <w:rsid w:val="00744BBE"/>
    <w:rsid w:val="00744E96"/>
    <w:rsid w:val="00745807"/>
    <w:rsid w:val="0074723E"/>
    <w:rsid w:val="00747631"/>
    <w:rsid w:val="00747F42"/>
    <w:rsid w:val="007503D4"/>
    <w:rsid w:val="0075126C"/>
    <w:rsid w:val="00751771"/>
    <w:rsid w:val="00752684"/>
    <w:rsid w:val="007528FF"/>
    <w:rsid w:val="00752A0C"/>
    <w:rsid w:val="00752FB1"/>
    <w:rsid w:val="007536F9"/>
    <w:rsid w:val="00755ABA"/>
    <w:rsid w:val="0075632B"/>
    <w:rsid w:val="0076011D"/>
    <w:rsid w:val="00760901"/>
    <w:rsid w:val="00762191"/>
    <w:rsid w:val="00763701"/>
    <w:rsid w:val="00763ABB"/>
    <w:rsid w:val="00764DA7"/>
    <w:rsid w:val="0076538C"/>
    <w:rsid w:val="00765889"/>
    <w:rsid w:val="00767F73"/>
    <w:rsid w:val="00771905"/>
    <w:rsid w:val="00772292"/>
    <w:rsid w:val="00772B95"/>
    <w:rsid w:val="00773859"/>
    <w:rsid w:val="00773FF4"/>
    <w:rsid w:val="00775367"/>
    <w:rsid w:val="00775C9D"/>
    <w:rsid w:val="0077601A"/>
    <w:rsid w:val="00781B5E"/>
    <w:rsid w:val="00781BD9"/>
    <w:rsid w:val="0078237E"/>
    <w:rsid w:val="007830BF"/>
    <w:rsid w:val="00786089"/>
    <w:rsid w:val="007867EF"/>
    <w:rsid w:val="007875FE"/>
    <w:rsid w:val="00787C33"/>
    <w:rsid w:val="00792267"/>
    <w:rsid w:val="00793698"/>
    <w:rsid w:val="00793BC8"/>
    <w:rsid w:val="007940CB"/>
    <w:rsid w:val="00795360"/>
    <w:rsid w:val="0079556B"/>
    <w:rsid w:val="00795839"/>
    <w:rsid w:val="00795893"/>
    <w:rsid w:val="00795986"/>
    <w:rsid w:val="00796A6F"/>
    <w:rsid w:val="007A02F2"/>
    <w:rsid w:val="007A0CDE"/>
    <w:rsid w:val="007A144B"/>
    <w:rsid w:val="007A1607"/>
    <w:rsid w:val="007A182B"/>
    <w:rsid w:val="007A2338"/>
    <w:rsid w:val="007A437A"/>
    <w:rsid w:val="007A466A"/>
    <w:rsid w:val="007A5E10"/>
    <w:rsid w:val="007A7704"/>
    <w:rsid w:val="007B014E"/>
    <w:rsid w:val="007B0332"/>
    <w:rsid w:val="007B0A5E"/>
    <w:rsid w:val="007B16F9"/>
    <w:rsid w:val="007B2469"/>
    <w:rsid w:val="007B4DB3"/>
    <w:rsid w:val="007B648B"/>
    <w:rsid w:val="007B7A71"/>
    <w:rsid w:val="007C29B3"/>
    <w:rsid w:val="007C3B18"/>
    <w:rsid w:val="007C4012"/>
    <w:rsid w:val="007C4699"/>
    <w:rsid w:val="007C4BA2"/>
    <w:rsid w:val="007C5405"/>
    <w:rsid w:val="007C5CA5"/>
    <w:rsid w:val="007C622C"/>
    <w:rsid w:val="007C62F3"/>
    <w:rsid w:val="007C6797"/>
    <w:rsid w:val="007D175C"/>
    <w:rsid w:val="007D2FB3"/>
    <w:rsid w:val="007D37ED"/>
    <w:rsid w:val="007D3A3C"/>
    <w:rsid w:val="007D4DEA"/>
    <w:rsid w:val="007D7082"/>
    <w:rsid w:val="007E059A"/>
    <w:rsid w:val="007E110B"/>
    <w:rsid w:val="007E1DC0"/>
    <w:rsid w:val="007E3AAA"/>
    <w:rsid w:val="007E4561"/>
    <w:rsid w:val="007E4994"/>
    <w:rsid w:val="007E5735"/>
    <w:rsid w:val="007E6C55"/>
    <w:rsid w:val="007E7B0C"/>
    <w:rsid w:val="007F0466"/>
    <w:rsid w:val="007F12D4"/>
    <w:rsid w:val="007F17A2"/>
    <w:rsid w:val="007F3338"/>
    <w:rsid w:val="007F3A74"/>
    <w:rsid w:val="007F4893"/>
    <w:rsid w:val="007F5117"/>
    <w:rsid w:val="007F5545"/>
    <w:rsid w:val="007F6453"/>
    <w:rsid w:val="007F6A31"/>
    <w:rsid w:val="007F6F39"/>
    <w:rsid w:val="007F7C26"/>
    <w:rsid w:val="00800BFF"/>
    <w:rsid w:val="008013A3"/>
    <w:rsid w:val="0080181A"/>
    <w:rsid w:val="0080277E"/>
    <w:rsid w:val="00803890"/>
    <w:rsid w:val="008048B1"/>
    <w:rsid w:val="00804E57"/>
    <w:rsid w:val="00805E1A"/>
    <w:rsid w:val="008064FA"/>
    <w:rsid w:val="0081072B"/>
    <w:rsid w:val="00810E37"/>
    <w:rsid w:val="00810EB0"/>
    <w:rsid w:val="00811712"/>
    <w:rsid w:val="0081215A"/>
    <w:rsid w:val="00812493"/>
    <w:rsid w:val="00812588"/>
    <w:rsid w:val="008147EA"/>
    <w:rsid w:val="00814BEC"/>
    <w:rsid w:val="00814F17"/>
    <w:rsid w:val="00815A32"/>
    <w:rsid w:val="00815E6E"/>
    <w:rsid w:val="00817310"/>
    <w:rsid w:val="008223DC"/>
    <w:rsid w:val="00823325"/>
    <w:rsid w:val="008249A8"/>
    <w:rsid w:val="0082672D"/>
    <w:rsid w:val="008301CB"/>
    <w:rsid w:val="00831A5C"/>
    <w:rsid w:val="00832013"/>
    <w:rsid w:val="00832D8A"/>
    <w:rsid w:val="00833074"/>
    <w:rsid w:val="00833426"/>
    <w:rsid w:val="00835CCB"/>
    <w:rsid w:val="00837F07"/>
    <w:rsid w:val="00837FA0"/>
    <w:rsid w:val="008401F3"/>
    <w:rsid w:val="008419C2"/>
    <w:rsid w:val="00842737"/>
    <w:rsid w:val="008427D3"/>
    <w:rsid w:val="00843584"/>
    <w:rsid w:val="00843644"/>
    <w:rsid w:val="00843DE6"/>
    <w:rsid w:val="00844006"/>
    <w:rsid w:val="0084438C"/>
    <w:rsid w:val="00844BD0"/>
    <w:rsid w:val="00845A98"/>
    <w:rsid w:val="008469C5"/>
    <w:rsid w:val="00847194"/>
    <w:rsid w:val="00847953"/>
    <w:rsid w:val="00847C6B"/>
    <w:rsid w:val="00847D3E"/>
    <w:rsid w:val="00850B3C"/>
    <w:rsid w:val="00851B23"/>
    <w:rsid w:val="0085388F"/>
    <w:rsid w:val="0085682D"/>
    <w:rsid w:val="00857036"/>
    <w:rsid w:val="008575A3"/>
    <w:rsid w:val="008608B1"/>
    <w:rsid w:val="008612E5"/>
    <w:rsid w:val="00861C20"/>
    <w:rsid w:val="00861D87"/>
    <w:rsid w:val="008639C9"/>
    <w:rsid w:val="00864B92"/>
    <w:rsid w:val="00866170"/>
    <w:rsid w:val="008661CE"/>
    <w:rsid w:val="00866D06"/>
    <w:rsid w:val="00870995"/>
    <w:rsid w:val="00871153"/>
    <w:rsid w:val="00872673"/>
    <w:rsid w:val="00874202"/>
    <w:rsid w:val="00874E3B"/>
    <w:rsid w:val="00875051"/>
    <w:rsid w:val="00875401"/>
    <w:rsid w:val="00875D30"/>
    <w:rsid w:val="008805FE"/>
    <w:rsid w:val="00880A35"/>
    <w:rsid w:val="00882484"/>
    <w:rsid w:val="00882A7F"/>
    <w:rsid w:val="00882CBE"/>
    <w:rsid w:val="00882D86"/>
    <w:rsid w:val="008837CC"/>
    <w:rsid w:val="00883F5C"/>
    <w:rsid w:val="00884A4B"/>
    <w:rsid w:val="00884D14"/>
    <w:rsid w:val="00884D31"/>
    <w:rsid w:val="008852D7"/>
    <w:rsid w:val="00885529"/>
    <w:rsid w:val="0088554B"/>
    <w:rsid w:val="008859C0"/>
    <w:rsid w:val="00886E16"/>
    <w:rsid w:val="008871DF"/>
    <w:rsid w:val="00887A56"/>
    <w:rsid w:val="00890080"/>
    <w:rsid w:val="008907CB"/>
    <w:rsid w:val="008908A6"/>
    <w:rsid w:val="00891339"/>
    <w:rsid w:val="00893D3B"/>
    <w:rsid w:val="00894CEC"/>
    <w:rsid w:val="00895B24"/>
    <w:rsid w:val="008962A8"/>
    <w:rsid w:val="00896674"/>
    <w:rsid w:val="00896C77"/>
    <w:rsid w:val="0089738E"/>
    <w:rsid w:val="008978DF"/>
    <w:rsid w:val="00897EA5"/>
    <w:rsid w:val="008A0CC7"/>
    <w:rsid w:val="008A17DC"/>
    <w:rsid w:val="008A3BF8"/>
    <w:rsid w:val="008A3C1F"/>
    <w:rsid w:val="008A6729"/>
    <w:rsid w:val="008A6F18"/>
    <w:rsid w:val="008B2B4F"/>
    <w:rsid w:val="008B2D92"/>
    <w:rsid w:val="008B573C"/>
    <w:rsid w:val="008B7E43"/>
    <w:rsid w:val="008C0236"/>
    <w:rsid w:val="008C2356"/>
    <w:rsid w:val="008C3546"/>
    <w:rsid w:val="008C4B60"/>
    <w:rsid w:val="008C4C36"/>
    <w:rsid w:val="008C4D05"/>
    <w:rsid w:val="008C52D4"/>
    <w:rsid w:val="008C5D5F"/>
    <w:rsid w:val="008C68E5"/>
    <w:rsid w:val="008C7065"/>
    <w:rsid w:val="008C71E6"/>
    <w:rsid w:val="008D021F"/>
    <w:rsid w:val="008D0855"/>
    <w:rsid w:val="008D08DC"/>
    <w:rsid w:val="008D1C63"/>
    <w:rsid w:val="008D2A5F"/>
    <w:rsid w:val="008D3174"/>
    <w:rsid w:val="008D3A54"/>
    <w:rsid w:val="008D3A74"/>
    <w:rsid w:val="008D4065"/>
    <w:rsid w:val="008D4810"/>
    <w:rsid w:val="008D48D1"/>
    <w:rsid w:val="008D4E12"/>
    <w:rsid w:val="008D5004"/>
    <w:rsid w:val="008D5B90"/>
    <w:rsid w:val="008D62A9"/>
    <w:rsid w:val="008D6D04"/>
    <w:rsid w:val="008D6D56"/>
    <w:rsid w:val="008D75C0"/>
    <w:rsid w:val="008E098F"/>
    <w:rsid w:val="008E1359"/>
    <w:rsid w:val="008E157D"/>
    <w:rsid w:val="008E1B51"/>
    <w:rsid w:val="008E2374"/>
    <w:rsid w:val="008E32BF"/>
    <w:rsid w:val="008E32C0"/>
    <w:rsid w:val="008E4149"/>
    <w:rsid w:val="008E4EAD"/>
    <w:rsid w:val="008E6673"/>
    <w:rsid w:val="008E681C"/>
    <w:rsid w:val="008E6D21"/>
    <w:rsid w:val="008E73E4"/>
    <w:rsid w:val="008E7B70"/>
    <w:rsid w:val="008E7EAB"/>
    <w:rsid w:val="008F037F"/>
    <w:rsid w:val="008F29DC"/>
    <w:rsid w:val="008F33F2"/>
    <w:rsid w:val="008F34C1"/>
    <w:rsid w:val="008F351C"/>
    <w:rsid w:val="008F3836"/>
    <w:rsid w:val="008F4137"/>
    <w:rsid w:val="008F4836"/>
    <w:rsid w:val="008F5431"/>
    <w:rsid w:val="008F58E4"/>
    <w:rsid w:val="008F59DB"/>
    <w:rsid w:val="008F60CB"/>
    <w:rsid w:val="008F6A9B"/>
    <w:rsid w:val="008F7B45"/>
    <w:rsid w:val="00900617"/>
    <w:rsid w:val="00900619"/>
    <w:rsid w:val="0090081D"/>
    <w:rsid w:val="009014FC"/>
    <w:rsid w:val="00902711"/>
    <w:rsid w:val="009042F4"/>
    <w:rsid w:val="00904659"/>
    <w:rsid w:val="009067CB"/>
    <w:rsid w:val="009070E8"/>
    <w:rsid w:val="00911574"/>
    <w:rsid w:val="009115F0"/>
    <w:rsid w:val="00911836"/>
    <w:rsid w:val="0091256A"/>
    <w:rsid w:val="009127B9"/>
    <w:rsid w:val="009128CD"/>
    <w:rsid w:val="00914FAA"/>
    <w:rsid w:val="00915962"/>
    <w:rsid w:val="009160FE"/>
    <w:rsid w:val="0091789C"/>
    <w:rsid w:val="00917ABD"/>
    <w:rsid w:val="00920F19"/>
    <w:rsid w:val="009212B9"/>
    <w:rsid w:val="00922495"/>
    <w:rsid w:val="0092305A"/>
    <w:rsid w:val="00923E02"/>
    <w:rsid w:val="00924708"/>
    <w:rsid w:val="009247F9"/>
    <w:rsid w:val="009255C8"/>
    <w:rsid w:val="00925B28"/>
    <w:rsid w:val="00925D73"/>
    <w:rsid w:val="00926AD7"/>
    <w:rsid w:val="00927D25"/>
    <w:rsid w:val="00930038"/>
    <w:rsid w:val="009307F1"/>
    <w:rsid w:val="00930F72"/>
    <w:rsid w:val="00931671"/>
    <w:rsid w:val="009325C9"/>
    <w:rsid w:val="009326AA"/>
    <w:rsid w:val="0093414B"/>
    <w:rsid w:val="00935152"/>
    <w:rsid w:val="00937B00"/>
    <w:rsid w:val="00937F5D"/>
    <w:rsid w:val="0094051C"/>
    <w:rsid w:val="00940702"/>
    <w:rsid w:val="009412BB"/>
    <w:rsid w:val="009419AA"/>
    <w:rsid w:val="00943629"/>
    <w:rsid w:val="009445C6"/>
    <w:rsid w:val="009448DB"/>
    <w:rsid w:val="00944A73"/>
    <w:rsid w:val="00945DD2"/>
    <w:rsid w:val="0094650E"/>
    <w:rsid w:val="00946648"/>
    <w:rsid w:val="00947A15"/>
    <w:rsid w:val="00947C5E"/>
    <w:rsid w:val="00951682"/>
    <w:rsid w:val="00954351"/>
    <w:rsid w:val="00956AA2"/>
    <w:rsid w:val="0095707D"/>
    <w:rsid w:val="009575A8"/>
    <w:rsid w:val="00957B1E"/>
    <w:rsid w:val="00960188"/>
    <w:rsid w:val="009601E2"/>
    <w:rsid w:val="00960D57"/>
    <w:rsid w:val="00960EF2"/>
    <w:rsid w:val="0096198B"/>
    <w:rsid w:val="009623D0"/>
    <w:rsid w:val="00962475"/>
    <w:rsid w:val="0096350A"/>
    <w:rsid w:val="009636D1"/>
    <w:rsid w:val="009663BF"/>
    <w:rsid w:val="00966832"/>
    <w:rsid w:val="00971384"/>
    <w:rsid w:val="00971414"/>
    <w:rsid w:val="00971882"/>
    <w:rsid w:val="00971C33"/>
    <w:rsid w:val="00974722"/>
    <w:rsid w:val="0097483D"/>
    <w:rsid w:val="0097683C"/>
    <w:rsid w:val="0097786A"/>
    <w:rsid w:val="009806A2"/>
    <w:rsid w:val="009806F1"/>
    <w:rsid w:val="0098101B"/>
    <w:rsid w:val="0098147E"/>
    <w:rsid w:val="0098180F"/>
    <w:rsid w:val="009858C8"/>
    <w:rsid w:val="009859BF"/>
    <w:rsid w:val="00985DEB"/>
    <w:rsid w:val="00986161"/>
    <w:rsid w:val="00987611"/>
    <w:rsid w:val="00987DEC"/>
    <w:rsid w:val="0099004F"/>
    <w:rsid w:val="00990614"/>
    <w:rsid w:val="00991051"/>
    <w:rsid w:val="00991C5B"/>
    <w:rsid w:val="00991D37"/>
    <w:rsid w:val="00991E4F"/>
    <w:rsid w:val="00992F7E"/>
    <w:rsid w:val="0099312E"/>
    <w:rsid w:val="00993456"/>
    <w:rsid w:val="00994801"/>
    <w:rsid w:val="009951B5"/>
    <w:rsid w:val="009956A2"/>
    <w:rsid w:val="00995C35"/>
    <w:rsid w:val="009963BA"/>
    <w:rsid w:val="009967A5"/>
    <w:rsid w:val="009A0828"/>
    <w:rsid w:val="009A1941"/>
    <w:rsid w:val="009A2B27"/>
    <w:rsid w:val="009A39D8"/>
    <w:rsid w:val="009A3EC3"/>
    <w:rsid w:val="009A42DB"/>
    <w:rsid w:val="009A44E8"/>
    <w:rsid w:val="009A57C2"/>
    <w:rsid w:val="009A5F12"/>
    <w:rsid w:val="009A5F15"/>
    <w:rsid w:val="009A6658"/>
    <w:rsid w:val="009A764F"/>
    <w:rsid w:val="009A7998"/>
    <w:rsid w:val="009A7F22"/>
    <w:rsid w:val="009B0528"/>
    <w:rsid w:val="009B0E3D"/>
    <w:rsid w:val="009B159B"/>
    <w:rsid w:val="009B201A"/>
    <w:rsid w:val="009B2633"/>
    <w:rsid w:val="009B31ED"/>
    <w:rsid w:val="009B4265"/>
    <w:rsid w:val="009B4459"/>
    <w:rsid w:val="009B5B40"/>
    <w:rsid w:val="009B5EB6"/>
    <w:rsid w:val="009B6355"/>
    <w:rsid w:val="009B6687"/>
    <w:rsid w:val="009B6D39"/>
    <w:rsid w:val="009B72B8"/>
    <w:rsid w:val="009C0AC4"/>
    <w:rsid w:val="009C0B23"/>
    <w:rsid w:val="009C0CC7"/>
    <w:rsid w:val="009C1BAC"/>
    <w:rsid w:val="009C24DF"/>
    <w:rsid w:val="009C2D14"/>
    <w:rsid w:val="009C2D1C"/>
    <w:rsid w:val="009C4030"/>
    <w:rsid w:val="009C5101"/>
    <w:rsid w:val="009C60DB"/>
    <w:rsid w:val="009C7A8E"/>
    <w:rsid w:val="009C7AD0"/>
    <w:rsid w:val="009D082E"/>
    <w:rsid w:val="009D1574"/>
    <w:rsid w:val="009D2589"/>
    <w:rsid w:val="009D42E6"/>
    <w:rsid w:val="009E101F"/>
    <w:rsid w:val="009E107D"/>
    <w:rsid w:val="009E198B"/>
    <w:rsid w:val="009E2300"/>
    <w:rsid w:val="009E230D"/>
    <w:rsid w:val="009E2802"/>
    <w:rsid w:val="009E3851"/>
    <w:rsid w:val="009E4738"/>
    <w:rsid w:val="009E548B"/>
    <w:rsid w:val="009E67DE"/>
    <w:rsid w:val="009E6D6D"/>
    <w:rsid w:val="009E7214"/>
    <w:rsid w:val="009F00AD"/>
    <w:rsid w:val="009F03E0"/>
    <w:rsid w:val="009F04A9"/>
    <w:rsid w:val="009F0728"/>
    <w:rsid w:val="009F08D0"/>
    <w:rsid w:val="009F22DE"/>
    <w:rsid w:val="009F2E19"/>
    <w:rsid w:val="009F2FCA"/>
    <w:rsid w:val="009F4BDC"/>
    <w:rsid w:val="009F556C"/>
    <w:rsid w:val="009F5B06"/>
    <w:rsid w:val="009F73A9"/>
    <w:rsid w:val="009F7F31"/>
    <w:rsid w:val="00A00AE4"/>
    <w:rsid w:val="00A02164"/>
    <w:rsid w:val="00A055F2"/>
    <w:rsid w:val="00A05C39"/>
    <w:rsid w:val="00A06A1B"/>
    <w:rsid w:val="00A06B45"/>
    <w:rsid w:val="00A07258"/>
    <w:rsid w:val="00A07CFE"/>
    <w:rsid w:val="00A113E1"/>
    <w:rsid w:val="00A13163"/>
    <w:rsid w:val="00A133C6"/>
    <w:rsid w:val="00A14647"/>
    <w:rsid w:val="00A155FE"/>
    <w:rsid w:val="00A16664"/>
    <w:rsid w:val="00A2030F"/>
    <w:rsid w:val="00A20E46"/>
    <w:rsid w:val="00A21EB6"/>
    <w:rsid w:val="00A21FF6"/>
    <w:rsid w:val="00A22162"/>
    <w:rsid w:val="00A223F8"/>
    <w:rsid w:val="00A225B2"/>
    <w:rsid w:val="00A2301E"/>
    <w:rsid w:val="00A2350D"/>
    <w:rsid w:val="00A24688"/>
    <w:rsid w:val="00A25DFF"/>
    <w:rsid w:val="00A261FE"/>
    <w:rsid w:val="00A2628F"/>
    <w:rsid w:val="00A26A4A"/>
    <w:rsid w:val="00A3111F"/>
    <w:rsid w:val="00A322BC"/>
    <w:rsid w:val="00A3357B"/>
    <w:rsid w:val="00A335E3"/>
    <w:rsid w:val="00A33AE9"/>
    <w:rsid w:val="00A35D4A"/>
    <w:rsid w:val="00A35E11"/>
    <w:rsid w:val="00A374D4"/>
    <w:rsid w:val="00A37CB2"/>
    <w:rsid w:val="00A40E12"/>
    <w:rsid w:val="00A413CF"/>
    <w:rsid w:val="00A42975"/>
    <w:rsid w:val="00A42ECB"/>
    <w:rsid w:val="00A43275"/>
    <w:rsid w:val="00A440FF"/>
    <w:rsid w:val="00A444F6"/>
    <w:rsid w:val="00A44C10"/>
    <w:rsid w:val="00A45121"/>
    <w:rsid w:val="00A4534A"/>
    <w:rsid w:val="00A46CCF"/>
    <w:rsid w:val="00A50388"/>
    <w:rsid w:val="00A50840"/>
    <w:rsid w:val="00A51072"/>
    <w:rsid w:val="00A527C2"/>
    <w:rsid w:val="00A52B27"/>
    <w:rsid w:val="00A53425"/>
    <w:rsid w:val="00A535C0"/>
    <w:rsid w:val="00A53822"/>
    <w:rsid w:val="00A53AC9"/>
    <w:rsid w:val="00A5428C"/>
    <w:rsid w:val="00A54897"/>
    <w:rsid w:val="00A55C4A"/>
    <w:rsid w:val="00A55EA7"/>
    <w:rsid w:val="00A56D48"/>
    <w:rsid w:val="00A570EE"/>
    <w:rsid w:val="00A571F2"/>
    <w:rsid w:val="00A57DB0"/>
    <w:rsid w:val="00A6072B"/>
    <w:rsid w:val="00A61E8F"/>
    <w:rsid w:val="00A6229A"/>
    <w:rsid w:val="00A629BB"/>
    <w:rsid w:val="00A62D4A"/>
    <w:rsid w:val="00A65534"/>
    <w:rsid w:val="00A6574A"/>
    <w:rsid w:val="00A65C1E"/>
    <w:rsid w:val="00A66668"/>
    <w:rsid w:val="00A668AB"/>
    <w:rsid w:val="00A669A0"/>
    <w:rsid w:val="00A66B82"/>
    <w:rsid w:val="00A676D9"/>
    <w:rsid w:val="00A761A4"/>
    <w:rsid w:val="00A76732"/>
    <w:rsid w:val="00A76877"/>
    <w:rsid w:val="00A76CF4"/>
    <w:rsid w:val="00A7753A"/>
    <w:rsid w:val="00A8071D"/>
    <w:rsid w:val="00A84C72"/>
    <w:rsid w:val="00A86FD2"/>
    <w:rsid w:val="00A9006A"/>
    <w:rsid w:val="00A90D82"/>
    <w:rsid w:val="00A90FD2"/>
    <w:rsid w:val="00A9143E"/>
    <w:rsid w:val="00A91D92"/>
    <w:rsid w:val="00A91DB7"/>
    <w:rsid w:val="00A9761A"/>
    <w:rsid w:val="00A97994"/>
    <w:rsid w:val="00A97A80"/>
    <w:rsid w:val="00A97F50"/>
    <w:rsid w:val="00AA0265"/>
    <w:rsid w:val="00AA18C0"/>
    <w:rsid w:val="00AA1E6F"/>
    <w:rsid w:val="00AA2592"/>
    <w:rsid w:val="00AA4686"/>
    <w:rsid w:val="00AA4A2E"/>
    <w:rsid w:val="00AA4BDE"/>
    <w:rsid w:val="00AA5291"/>
    <w:rsid w:val="00AA6003"/>
    <w:rsid w:val="00AA629C"/>
    <w:rsid w:val="00AA6FF0"/>
    <w:rsid w:val="00AA710A"/>
    <w:rsid w:val="00AB04A5"/>
    <w:rsid w:val="00AB371B"/>
    <w:rsid w:val="00AB4504"/>
    <w:rsid w:val="00AB5158"/>
    <w:rsid w:val="00AB52FA"/>
    <w:rsid w:val="00AB59DF"/>
    <w:rsid w:val="00AB5A3A"/>
    <w:rsid w:val="00AB6AEE"/>
    <w:rsid w:val="00AB7B10"/>
    <w:rsid w:val="00AC00CB"/>
    <w:rsid w:val="00AC020E"/>
    <w:rsid w:val="00AC1B7B"/>
    <w:rsid w:val="00AC1CE2"/>
    <w:rsid w:val="00AC26D3"/>
    <w:rsid w:val="00AC36B6"/>
    <w:rsid w:val="00AC3A9A"/>
    <w:rsid w:val="00AC3D44"/>
    <w:rsid w:val="00AC532C"/>
    <w:rsid w:val="00AC7F22"/>
    <w:rsid w:val="00AD0C37"/>
    <w:rsid w:val="00AD1052"/>
    <w:rsid w:val="00AD1752"/>
    <w:rsid w:val="00AD3580"/>
    <w:rsid w:val="00AD3B82"/>
    <w:rsid w:val="00AD46E4"/>
    <w:rsid w:val="00AD4E82"/>
    <w:rsid w:val="00AD50DC"/>
    <w:rsid w:val="00AD5531"/>
    <w:rsid w:val="00AD605D"/>
    <w:rsid w:val="00AD6602"/>
    <w:rsid w:val="00AE0FF5"/>
    <w:rsid w:val="00AE10CD"/>
    <w:rsid w:val="00AE18F4"/>
    <w:rsid w:val="00AE21C3"/>
    <w:rsid w:val="00AE330A"/>
    <w:rsid w:val="00AE40AB"/>
    <w:rsid w:val="00AE4893"/>
    <w:rsid w:val="00AE4EF1"/>
    <w:rsid w:val="00AE4FB1"/>
    <w:rsid w:val="00AE51BD"/>
    <w:rsid w:val="00AE59BD"/>
    <w:rsid w:val="00AE692E"/>
    <w:rsid w:val="00AE6DEA"/>
    <w:rsid w:val="00AE71D4"/>
    <w:rsid w:val="00AF0294"/>
    <w:rsid w:val="00AF1A91"/>
    <w:rsid w:val="00AF34CA"/>
    <w:rsid w:val="00AF3D76"/>
    <w:rsid w:val="00AF4305"/>
    <w:rsid w:val="00AF4B27"/>
    <w:rsid w:val="00AF63BA"/>
    <w:rsid w:val="00AF735B"/>
    <w:rsid w:val="00AF78EC"/>
    <w:rsid w:val="00B01AF5"/>
    <w:rsid w:val="00B01C60"/>
    <w:rsid w:val="00B0292C"/>
    <w:rsid w:val="00B029CB"/>
    <w:rsid w:val="00B03FDC"/>
    <w:rsid w:val="00B05E33"/>
    <w:rsid w:val="00B074EC"/>
    <w:rsid w:val="00B07C42"/>
    <w:rsid w:val="00B128B5"/>
    <w:rsid w:val="00B12F9C"/>
    <w:rsid w:val="00B1497B"/>
    <w:rsid w:val="00B14D00"/>
    <w:rsid w:val="00B1533D"/>
    <w:rsid w:val="00B1596C"/>
    <w:rsid w:val="00B15BAF"/>
    <w:rsid w:val="00B15BE5"/>
    <w:rsid w:val="00B15EA0"/>
    <w:rsid w:val="00B1649B"/>
    <w:rsid w:val="00B175A0"/>
    <w:rsid w:val="00B179A2"/>
    <w:rsid w:val="00B20FDA"/>
    <w:rsid w:val="00B23063"/>
    <w:rsid w:val="00B23D72"/>
    <w:rsid w:val="00B24A7D"/>
    <w:rsid w:val="00B24D87"/>
    <w:rsid w:val="00B2548A"/>
    <w:rsid w:val="00B25813"/>
    <w:rsid w:val="00B26717"/>
    <w:rsid w:val="00B2694B"/>
    <w:rsid w:val="00B27A8D"/>
    <w:rsid w:val="00B27F54"/>
    <w:rsid w:val="00B30F82"/>
    <w:rsid w:val="00B3158B"/>
    <w:rsid w:val="00B32D7B"/>
    <w:rsid w:val="00B338DC"/>
    <w:rsid w:val="00B3481F"/>
    <w:rsid w:val="00B34A8D"/>
    <w:rsid w:val="00B351CC"/>
    <w:rsid w:val="00B3598E"/>
    <w:rsid w:val="00B36BDD"/>
    <w:rsid w:val="00B36CF3"/>
    <w:rsid w:val="00B36EEC"/>
    <w:rsid w:val="00B40098"/>
    <w:rsid w:val="00B404DF"/>
    <w:rsid w:val="00B40948"/>
    <w:rsid w:val="00B40954"/>
    <w:rsid w:val="00B40BCE"/>
    <w:rsid w:val="00B41344"/>
    <w:rsid w:val="00B41884"/>
    <w:rsid w:val="00B4194F"/>
    <w:rsid w:val="00B425FA"/>
    <w:rsid w:val="00B4527E"/>
    <w:rsid w:val="00B503B5"/>
    <w:rsid w:val="00B515CD"/>
    <w:rsid w:val="00B530A6"/>
    <w:rsid w:val="00B530A8"/>
    <w:rsid w:val="00B5397C"/>
    <w:rsid w:val="00B53A84"/>
    <w:rsid w:val="00B55984"/>
    <w:rsid w:val="00B55B6A"/>
    <w:rsid w:val="00B56BAB"/>
    <w:rsid w:val="00B577BD"/>
    <w:rsid w:val="00B63023"/>
    <w:rsid w:val="00B634EF"/>
    <w:rsid w:val="00B64236"/>
    <w:rsid w:val="00B64BAD"/>
    <w:rsid w:val="00B652C8"/>
    <w:rsid w:val="00B66FF5"/>
    <w:rsid w:val="00B67B1A"/>
    <w:rsid w:val="00B67F58"/>
    <w:rsid w:val="00B70057"/>
    <w:rsid w:val="00B721E8"/>
    <w:rsid w:val="00B7386D"/>
    <w:rsid w:val="00B7498E"/>
    <w:rsid w:val="00B758A0"/>
    <w:rsid w:val="00B765D4"/>
    <w:rsid w:val="00B7709F"/>
    <w:rsid w:val="00B8023D"/>
    <w:rsid w:val="00B807A5"/>
    <w:rsid w:val="00B80C2F"/>
    <w:rsid w:val="00B8140C"/>
    <w:rsid w:val="00B826E3"/>
    <w:rsid w:val="00B85105"/>
    <w:rsid w:val="00B85180"/>
    <w:rsid w:val="00B86EF3"/>
    <w:rsid w:val="00B87018"/>
    <w:rsid w:val="00B87202"/>
    <w:rsid w:val="00B87411"/>
    <w:rsid w:val="00B90D85"/>
    <w:rsid w:val="00B91E54"/>
    <w:rsid w:val="00B9411B"/>
    <w:rsid w:val="00B945E1"/>
    <w:rsid w:val="00B948A9"/>
    <w:rsid w:val="00B94AC5"/>
    <w:rsid w:val="00B95B42"/>
    <w:rsid w:val="00B95C52"/>
    <w:rsid w:val="00BA0303"/>
    <w:rsid w:val="00BA07CA"/>
    <w:rsid w:val="00BA0B0D"/>
    <w:rsid w:val="00BA127C"/>
    <w:rsid w:val="00BA148A"/>
    <w:rsid w:val="00BA1C17"/>
    <w:rsid w:val="00BA2056"/>
    <w:rsid w:val="00BA26F2"/>
    <w:rsid w:val="00BA39CF"/>
    <w:rsid w:val="00BA45AD"/>
    <w:rsid w:val="00BA4DBD"/>
    <w:rsid w:val="00BA5316"/>
    <w:rsid w:val="00BA5403"/>
    <w:rsid w:val="00BA58B0"/>
    <w:rsid w:val="00BA6C0F"/>
    <w:rsid w:val="00BA72C3"/>
    <w:rsid w:val="00BA7FF0"/>
    <w:rsid w:val="00BB1C49"/>
    <w:rsid w:val="00BB3234"/>
    <w:rsid w:val="00BB3577"/>
    <w:rsid w:val="00BB4485"/>
    <w:rsid w:val="00BB56B1"/>
    <w:rsid w:val="00BB5909"/>
    <w:rsid w:val="00BB6B98"/>
    <w:rsid w:val="00BC035D"/>
    <w:rsid w:val="00BC09B7"/>
    <w:rsid w:val="00BC235E"/>
    <w:rsid w:val="00BC2708"/>
    <w:rsid w:val="00BC2C33"/>
    <w:rsid w:val="00BC3362"/>
    <w:rsid w:val="00BC404A"/>
    <w:rsid w:val="00BC5655"/>
    <w:rsid w:val="00BC6142"/>
    <w:rsid w:val="00BC67B3"/>
    <w:rsid w:val="00BC6DE1"/>
    <w:rsid w:val="00BC72B6"/>
    <w:rsid w:val="00BD1050"/>
    <w:rsid w:val="00BD2791"/>
    <w:rsid w:val="00BD33A5"/>
    <w:rsid w:val="00BD3F54"/>
    <w:rsid w:val="00BD42AA"/>
    <w:rsid w:val="00BD4413"/>
    <w:rsid w:val="00BD5404"/>
    <w:rsid w:val="00BD60DA"/>
    <w:rsid w:val="00BD6BC6"/>
    <w:rsid w:val="00BD78EF"/>
    <w:rsid w:val="00BE02C3"/>
    <w:rsid w:val="00BE0A53"/>
    <w:rsid w:val="00BE2FA4"/>
    <w:rsid w:val="00BE2FEA"/>
    <w:rsid w:val="00BE474D"/>
    <w:rsid w:val="00BE5808"/>
    <w:rsid w:val="00BE61FA"/>
    <w:rsid w:val="00BE67DA"/>
    <w:rsid w:val="00BE7256"/>
    <w:rsid w:val="00BE74EC"/>
    <w:rsid w:val="00BF0A43"/>
    <w:rsid w:val="00BF2045"/>
    <w:rsid w:val="00BF4A64"/>
    <w:rsid w:val="00BF586C"/>
    <w:rsid w:val="00BF6FB4"/>
    <w:rsid w:val="00BF77BB"/>
    <w:rsid w:val="00C0049E"/>
    <w:rsid w:val="00C00BAC"/>
    <w:rsid w:val="00C011A6"/>
    <w:rsid w:val="00C0168A"/>
    <w:rsid w:val="00C02461"/>
    <w:rsid w:val="00C02E24"/>
    <w:rsid w:val="00C02F4E"/>
    <w:rsid w:val="00C04D80"/>
    <w:rsid w:val="00C04F7C"/>
    <w:rsid w:val="00C05321"/>
    <w:rsid w:val="00C05B6B"/>
    <w:rsid w:val="00C05C92"/>
    <w:rsid w:val="00C068F5"/>
    <w:rsid w:val="00C07683"/>
    <w:rsid w:val="00C10680"/>
    <w:rsid w:val="00C10DAA"/>
    <w:rsid w:val="00C11507"/>
    <w:rsid w:val="00C13649"/>
    <w:rsid w:val="00C13EAC"/>
    <w:rsid w:val="00C15901"/>
    <w:rsid w:val="00C1606A"/>
    <w:rsid w:val="00C16103"/>
    <w:rsid w:val="00C162BB"/>
    <w:rsid w:val="00C17F87"/>
    <w:rsid w:val="00C20115"/>
    <w:rsid w:val="00C2036E"/>
    <w:rsid w:val="00C20422"/>
    <w:rsid w:val="00C21178"/>
    <w:rsid w:val="00C223E9"/>
    <w:rsid w:val="00C22512"/>
    <w:rsid w:val="00C22ED3"/>
    <w:rsid w:val="00C2314C"/>
    <w:rsid w:val="00C239BF"/>
    <w:rsid w:val="00C24C54"/>
    <w:rsid w:val="00C24D26"/>
    <w:rsid w:val="00C24E4D"/>
    <w:rsid w:val="00C251EE"/>
    <w:rsid w:val="00C25478"/>
    <w:rsid w:val="00C254EB"/>
    <w:rsid w:val="00C268C9"/>
    <w:rsid w:val="00C27364"/>
    <w:rsid w:val="00C27C12"/>
    <w:rsid w:val="00C3129A"/>
    <w:rsid w:val="00C3282D"/>
    <w:rsid w:val="00C33A84"/>
    <w:rsid w:val="00C33C60"/>
    <w:rsid w:val="00C34DE2"/>
    <w:rsid w:val="00C37DA9"/>
    <w:rsid w:val="00C409E5"/>
    <w:rsid w:val="00C40E36"/>
    <w:rsid w:val="00C41A33"/>
    <w:rsid w:val="00C420C6"/>
    <w:rsid w:val="00C430C7"/>
    <w:rsid w:val="00C4411A"/>
    <w:rsid w:val="00C446C3"/>
    <w:rsid w:val="00C446F3"/>
    <w:rsid w:val="00C465F5"/>
    <w:rsid w:val="00C50008"/>
    <w:rsid w:val="00C50319"/>
    <w:rsid w:val="00C514AB"/>
    <w:rsid w:val="00C518D8"/>
    <w:rsid w:val="00C51FE9"/>
    <w:rsid w:val="00C52489"/>
    <w:rsid w:val="00C55900"/>
    <w:rsid w:val="00C57AA2"/>
    <w:rsid w:val="00C57D9A"/>
    <w:rsid w:val="00C60083"/>
    <w:rsid w:val="00C60AF0"/>
    <w:rsid w:val="00C621E2"/>
    <w:rsid w:val="00C62293"/>
    <w:rsid w:val="00C62542"/>
    <w:rsid w:val="00C62F3B"/>
    <w:rsid w:val="00C641CE"/>
    <w:rsid w:val="00C648AE"/>
    <w:rsid w:val="00C6701B"/>
    <w:rsid w:val="00C72311"/>
    <w:rsid w:val="00C723EC"/>
    <w:rsid w:val="00C72830"/>
    <w:rsid w:val="00C733C2"/>
    <w:rsid w:val="00C73F9E"/>
    <w:rsid w:val="00C75706"/>
    <w:rsid w:val="00C760B9"/>
    <w:rsid w:val="00C76A31"/>
    <w:rsid w:val="00C76A9C"/>
    <w:rsid w:val="00C7740A"/>
    <w:rsid w:val="00C77EF9"/>
    <w:rsid w:val="00C77FA8"/>
    <w:rsid w:val="00C80907"/>
    <w:rsid w:val="00C81FD3"/>
    <w:rsid w:val="00C82F02"/>
    <w:rsid w:val="00C83DE7"/>
    <w:rsid w:val="00C84EF2"/>
    <w:rsid w:val="00C862C5"/>
    <w:rsid w:val="00C87833"/>
    <w:rsid w:val="00C90984"/>
    <w:rsid w:val="00C925BB"/>
    <w:rsid w:val="00C92F8D"/>
    <w:rsid w:val="00C93980"/>
    <w:rsid w:val="00C9427A"/>
    <w:rsid w:val="00C94835"/>
    <w:rsid w:val="00C95270"/>
    <w:rsid w:val="00C95838"/>
    <w:rsid w:val="00C95D37"/>
    <w:rsid w:val="00C963D9"/>
    <w:rsid w:val="00CA00CC"/>
    <w:rsid w:val="00CA17B8"/>
    <w:rsid w:val="00CA2C21"/>
    <w:rsid w:val="00CA3161"/>
    <w:rsid w:val="00CA31FC"/>
    <w:rsid w:val="00CA61F3"/>
    <w:rsid w:val="00CA72A2"/>
    <w:rsid w:val="00CA7636"/>
    <w:rsid w:val="00CB04AC"/>
    <w:rsid w:val="00CB0859"/>
    <w:rsid w:val="00CB1236"/>
    <w:rsid w:val="00CB4EBC"/>
    <w:rsid w:val="00CB57B5"/>
    <w:rsid w:val="00CB685B"/>
    <w:rsid w:val="00CB72A3"/>
    <w:rsid w:val="00CC0159"/>
    <w:rsid w:val="00CC0F52"/>
    <w:rsid w:val="00CC187E"/>
    <w:rsid w:val="00CC28F2"/>
    <w:rsid w:val="00CC398F"/>
    <w:rsid w:val="00CC44DA"/>
    <w:rsid w:val="00CC4B40"/>
    <w:rsid w:val="00CC5143"/>
    <w:rsid w:val="00CC681F"/>
    <w:rsid w:val="00CC7D59"/>
    <w:rsid w:val="00CC7F76"/>
    <w:rsid w:val="00CD0467"/>
    <w:rsid w:val="00CD0530"/>
    <w:rsid w:val="00CD1432"/>
    <w:rsid w:val="00CD1CF5"/>
    <w:rsid w:val="00CD335C"/>
    <w:rsid w:val="00CD3448"/>
    <w:rsid w:val="00CD4342"/>
    <w:rsid w:val="00CD4C2B"/>
    <w:rsid w:val="00CD62F1"/>
    <w:rsid w:val="00CD6503"/>
    <w:rsid w:val="00CE0A55"/>
    <w:rsid w:val="00CE1AA3"/>
    <w:rsid w:val="00CE2EB4"/>
    <w:rsid w:val="00CE3700"/>
    <w:rsid w:val="00CE3890"/>
    <w:rsid w:val="00CE40BB"/>
    <w:rsid w:val="00CE46AA"/>
    <w:rsid w:val="00CE5607"/>
    <w:rsid w:val="00CE567A"/>
    <w:rsid w:val="00CE5BDB"/>
    <w:rsid w:val="00CE62AA"/>
    <w:rsid w:val="00CE6DEE"/>
    <w:rsid w:val="00CE7218"/>
    <w:rsid w:val="00CE7FE6"/>
    <w:rsid w:val="00CF079A"/>
    <w:rsid w:val="00CF1319"/>
    <w:rsid w:val="00CF1A11"/>
    <w:rsid w:val="00CF1DF9"/>
    <w:rsid w:val="00CF2A32"/>
    <w:rsid w:val="00CF3CEB"/>
    <w:rsid w:val="00CF3E1C"/>
    <w:rsid w:val="00CF4A13"/>
    <w:rsid w:val="00CF56E8"/>
    <w:rsid w:val="00CF5A7F"/>
    <w:rsid w:val="00CF6005"/>
    <w:rsid w:val="00CF65F3"/>
    <w:rsid w:val="00CF6A2D"/>
    <w:rsid w:val="00D01433"/>
    <w:rsid w:val="00D01DF4"/>
    <w:rsid w:val="00D02868"/>
    <w:rsid w:val="00D033EF"/>
    <w:rsid w:val="00D039FE"/>
    <w:rsid w:val="00D044B8"/>
    <w:rsid w:val="00D05223"/>
    <w:rsid w:val="00D052DB"/>
    <w:rsid w:val="00D05F49"/>
    <w:rsid w:val="00D07C6F"/>
    <w:rsid w:val="00D10195"/>
    <w:rsid w:val="00D11C4F"/>
    <w:rsid w:val="00D12C52"/>
    <w:rsid w:val="00D12C83"/>
    <w:rsid w:val="00D135FB"/>
    <w:rsid w:val="00D14AC3"/>
    <w:rsid w:val="00D1631D"/>
    <w:rsid w:val="00D16AD7"/>
    <w:rsid w:val="00D17124"/>
    <w:rsid w:val="00D1756A"/>
    <w:rsid w:val="00D17C86"/>
    <w:rsid w:val="00D20BC7"/>
    <w:rsid w:val="00D21019"/>
    <w:rsid w:val="00D213E8"/>
    <w:rsid w:val="00D217CB"/>
    <w:rsid w:val="00D21A6A"/>
    <w:rsid w:val="00D21F4B"/>
    <w:rsid w:val="00D222C0"/>
    <w:rsid w:val="00D225BC"/>
    <w:rsid w:val="00D22714"/>
    <w:rsid w:val="00D231D5"/>
    <w:rsid w:val="00D23F80"/>
    <w:rsid w:val="00D24BD5"/>
    <w:rsid w:val="00D25318"/>
    <w:rsid w:val="00D25EB7"/>
    <w:rsid w:val="00D26DCD"/>
    <w:rsid w:val="00D2782E"/>
    <w:rsid w:val="00D309E7"/>
    <w:rsid w:val="00D31223"/>
    <w:rsid w:val="00D32EC4"/>
    <w:rsid w:val="00D340F1"/>
    <w:rsid w:val="00D3495F"/>
    <w:rsid w:val="00D34E48"/>
    <w:rsid w:val="00D35D70"/>
    <w:rsid w:val="00D36FEE"/>
    <w:rsid w:val="00D37A0A"/>
    <w:rsid w:val="00D37B29"/>
    <w:rsid w:val="00D40AF8"/>
    <w:rsid w:val="00D413B7"/>
    <w:rsid w:val="00D41BA6"/>
    <w:rsid w:val="00D42433"/>
    <w:rsid w:val="00D42912"/>
    <w:rsid w:val="00D42C03"/>
    <w:rsid w:val="00D4324A"/>
    <w:rsid w:val="00D44578"/>
    <w:rsid w:val="00D4530C"/>
    <w:rsid w:val="00D455E6"/>
    <w:rsid w:val="00D507F3"/>
    <w:rsid w:val="00D51C26"/>
    <w:rsid w:val="00D55E37"/>
    <w:rsid w:val="00D5633C"/>
    <w:rsid w:val="00D56946"/>
    <w:rsid w:val="00D57095"/>
    <w:rsid w:val="00D61D06"/>
    <w:rsid w:val="00D631BF"/>
    <w:rsid w:val="00D63614"/>
    <w:rsid w:val="00D6405A"/>
    <w:rsid w:val="00D6503C"/>
    <w:rsid w:val="00D65E21"/>
    <w:rsid w:val="00D65ECD"/>
    <w:rsid w:val="00D65ED5"/>
    <w:rsid w:val="00D66ACE"/>
    <w:rsid w:val="00D67CC5"/>
    <w:rsid w:val="00D70033"/>
    <w:rsid w:val="00D70099"/>
    <w:rsid w:val="00D7059C"/>
    <w:rsid w:val="00D7090A"/>
    <w:rsid w:val="00D73EE4"/>
    <w:rsid w:val="00D7445E"/>
    <w:rsid w:val="00D748E4"/>
    <w:rsid w:val="00D74E3D"/>
    <w:rsid w:val="00D75762"/>
    <w:rsid w:val="00D757C8"/>
    <w:rsid w:val="00D759E0"/>
    <w:rsid w:val="00D7795C"/>
    <w:rsid w:val="00D81BE0"/>
    <w:rsid w:val="00D820E3"/>
    <w:rsid w:val="00D84547"/>
    <w:rsid w:val="00D84B72"/>
    <w:rsid w:val="00D84C30"/>
    <w:rsid w:val="00D87602"/>
    <w:rsid w:val="00D90DBE"/>
    <w:rsid w:val="00D90FDA"/>
    <w:rsid w:val="00D91A02"/>
    <w:rsid w:val="00D91BC6"/>
    <w:rsid w:val="00D91E89"/>
    <w:rsid w:val="00D91F39"/>
    <w:rsid w:val="00D92CEB"/>
    <w:rsid w:val="00D94187"/>
    <w:rsid w:val="00D9441F"/>
    <w:rsid w:val="00D96AE8"/>
    <w:rsid w:val="00D971F0"/>
    <w:rsid w:val="00D9753B"/>
    <w:rsid w:val="00DA0093"/>
    <w:rsid w:val="00DA1659"/>
    <w:rsid w:val="00DA2433"/>
    <w:rsid w:val="00DA507D"/>
    <w:rsid w:val="00DA529E"/>
    <w:rsid w:val="00DB0D6E"/>
    <w:rsid w:val="00DB16C4"/>
    <w:rsid w:val="00DB190A"/>
    <w:rsid w:val="00DB1E03"/>
    <w:rsid w:val="00DB2EA4"/>
    <w:rsid w:val="00DB40C5"/>
    <w:rsid w:val="00DB4FC6"/>
    <w:rsid w:val="00DB5DF2"/>
    <w:rsid w:val="00DB6043"/>
    <w:rsid w:val="00DB6B1C"/>
    <w:rsid w:val="00DB748E"/>
    <w:rsid w:val="00DC023B"/>
    <w:rsid w:val="00DC0C05"/>
    <w:rsid w:val="00DC2060"/>
    <w:rsid w:val="00DC2C43"/>
    <w:rsid w:val="00DC4707"/>
    <w:rsid w:val="00DC5DE5"/>
    <w:rsid w:val="00DC62C4"/>
    <w:rsid w:val="00DC68E8"/>
    <w:rsid w:val="00DC74AD"/>
    <w:rsid w:val="00DD0F09"/>
    <w:rsid w:val="00DD342D"/>
    <w:rsid w:val="00DD3FDD"/>
    <w:rsid w:val="00DD40ED"/>
    <w:rsid w:val="00DD4557"/>
    <w:rsid w:val="00DD50E3"/>
    <w:rsid w:val="00DD5326"/>
    <w:rsid w:val="00DD70CF"/>
    <w:rsid w:val="00DD72E9"/>
    <w:rsid w:val="00DD7C94"/>
    <w:rsid w:val="00DE1462"/>
    <w:rsid w:val="00DE1C09"/>
    <w:rsid w:val="00DE29FB"/>
    <w:rsid w:val="00DE2A67"/>
    <w:rsid w:val="00DE31E1"/>
    <w:rsid w:val="00DE4070"/>
    <w:rsid w:val="00DE5F74"/>
    <w:rsid w:val="00DF0189"/>
    <w:rsid w:val="00DF06FF"/>
    <w:rsid w:val="00DF1CD3"/>
    <w:rsid w:val="00DF29A7"/>
    <w:rsid w:val="00DF3871"/>
    <w:rsid w:val="00DF38BB"/>
    <w:rsid w:val="00DF3CC4"/>
    <w:rsid w:val="00DF3DD0"/>
    <w:rsid w:val="00DF3EB0"/>
    <w:rsid w:val="00DF49EA"/>
    <w:rsid w:val="00DF5A6F"/>
    <w:rsid w:val="00DF5D36"/>
    <w:rsid w:val="00E00430"/>
    <w:rsid w:val="00E00B7E"/>
    <w:rsid w:val="00E02EAF"/>
    <w:rsid w:val="00E02F0E"/>
    <w:rsid w:val="00E03656"/>
    <w:rsid w:val="00E04130"/>
    <w:rsid w:val="00E04498"/>
    <w:rsid w:val="00E04CDF"/>
    <w:rsid w:val="00E06053"/>
    <w:rsid w:val="00E07014"/>
    <w:rsid w:val="00E12B94"/>
    <w:rsid w:val="00E13665"/>
    <w:rsid w:val="00E1536C"/>
    <w:rsid w:val="00E159B2"/>
    <w:rsid w:val="00E17688"/>
    <w:rsid w:val="00E20917"/>
    <w:rsid w:val="00E216D5"/>
    <w:rsid w:val="00E2199E"/>
    <w:rsid w:val="00E21FC5"/>
    <w:rsid w:val="00E21FED"/>
    <w:rsid w:val="00E22AC5"/>
    <w:rsid w:val="00E22D88"/>
    <w:rsid w:val="00E23849"/>
    <w:rsid w:val="00E238BD"/>
    <w:rsid w:val="00E23AA2"/>
    <w:rsid w:val="00E2439C"/>
    <w:rsid w:val="00E25A5E"/>
    <w:rsid w:val="00E262FE"/>
    <w:rsid w:val="00E27814"/>
    <w:rsid w:val="00E30098"/>
    <w:rsid w:val="00E30C9D"/>
    <w:rsid w:val="00E313A2"/>
    <w:rsid w:val="00E32065"/>
    <w:rsid w:val="00E33DAB"/>
    <w:rsid w:val="00E341AD"/>
    <w:rsid w:val="00E34A5C"/>
    <w:rsid w:val="00E3631A"/>
    <w:rsid w:val="00E36DF5"/>
    <w:rsid w:val="00E37507"/>
    <w:rsid w:val="00E378C3"/>
    <w:rsid w:val="00E37A15"/>
    <w:rsid w:val="00E4064C"/>
    <w:rsid w:val="00E40B0B"/>
    <w:rsid w:val="00E413A1"/>
    <w:rsid w:val="00E42FE6"/>
    <w:rsid w:val="00E43E70"/>
    <w:rsid w:val="00E44E2D"/>
    <w:rsid w:val="00E47852"/>
    <w:rsid w:val="00E50166"/>
    <w:rsid w:val="00E5119A"/>
    <w:rsid w:val="00E51282"/>
    <w:rsid w:val="00E51DFF"/>
    <w:rsid w:val="00E54825"/>
    <w:rsid w:val="00E5488F"/>
    <w:rsid w:val="00E60266"/>
    <w:rsid w:val="00E6120B"/>
    <w:rsid w:val="00E61DA4"/>
    <w:rsid w:val="00E62244"/>
    <w:rsid w:val="00E62A64"/>
    <w:rsid w:val="00E62F4A"/>
    <w:rsid w:val="00E63041"/>
    <w:rsid w:val="00E642C6"/>
    <w:rsid w:val="00E64351"/>
    <w:rsid w:val="00E65217"/>
    <w:rsid w:val="00E661B3"/>
    <w:rsid w:val="00E664AF"/>
    <w:rsid w:val="00E66A93"/>
    <w:rsid w:val="00E7099E"/>
    <w:rsid w:val="00E73413"/>
    <w:rsid w:val="00E74263"/>
    <w:rsid w:val="00E75DFE"/>
    <w:rsid w:val="00E766A3"/>
    <w:rsid w:val="00E80D2B"/>
    <w:rsid w:val="00E81B87"/>
    <w:rsid w:val="00E82E14"/>
    <w:rsid w:val="00E85F4F"/>
    <w:rsid w:val="00E868D0"/>
    <w:rsid w:val="00E9008C"/>
    <w:rsid w:val="00E9252D"/>
    <w:rsid w:val="00E92563"/>
    <w:rsid w:val="00E92828"/>
    <w:rsid w:val="00E945F2"/>
    <w:rsid w:val="00E951B2"/>
    <w:rsid w:val="00E969E8"/>
    <w:rsid w:val="00E96F23"/>
    <w:rsid w:val="00E96F64"/>
    <w:rsid w:val="00E976E2"/>
    <w:rsid w:val="00EA0B8D"/>
    <w:rsid w:val="00EA0FCA"/>
    <w:rsid w:val="00EA12D2"/>
    <w:rsid w:val="00EA1D8E"/>
    <w:rsid w:val="00EA354C"/>
    <w:rsid w:val="00EA398D"/>
    <w:rsid w:val="00EA4975"/>
    <w:rsid w:val="00EA525B"/>
    <w:rsid w:val="00EA5670"/>
    <w:rsid w:val="00EA6AC8"/>
    <w:rsid w:val="00EA73E4"/>
    <w:rsid w:val="00EA7F8C"/>
    <w:rsid w:val="00EB345F"/>
    <w:rsid w:val="00EB3CCD"/>
    <w:rsid w:val="00EB3D63"/>
    <w:rsid w:val="00EB51A2"/>
    <w:rsid w:val="00EB58A6"/>
    <w:rsid w:val="00EB5F67"/>
    <w:rsid w:val="00EB6617"/>
    <w:rsid w:val="00EC09F6"/>
    <w:rsid w:val="00EC1FD2"/>
    <w:rsid w:val="00EC2FE6"/>
    <w:rsid w:val="00EC5AAD"/>
    <w:rsid w:val="00EC61C4"/>
    <w:rsid w:val="00EC74C6"/>
    <w:rsid w:val="00ED0002"/>
    <w:rsid w:val="00ED007D"/>
    <w:rsid w:val="00ED58B8"/>
    <w:rsid w:val="00ED5B68"/>
    <w:rsid w:val="00ED5C13"/>
    <w:rsid w:val="00ED6337"/>
    <w:rsid w:val="00EE10F2"/>
    <w:rsid w:val="00EE1B7C"/>
    <w:rsid w:val="00EE2234"/>
    <w:rsid w:val="00EE2ECA"/>
    <w:rsid w:val="00EE3E02"/>
    <w:rsid w:val="00EE4CCD"/>
    <w:rsid w:val="00EE56AF"/>
    <w:rsid w:val="00EE65EC"/>
    <w:rsid w:val="00EE7308"/>
    <w:rsid w:val="00EF38C9"/>
    <w:rsid w:val="00EF499E"/>
    <w:rsid w:val="00EF55CA"/>
    <w:rsid w:val="00EF5620"/>
    <w:rsid w:val="00EF6FB9"/>
    <w:rsid w:val="00EF71B8"/>
    <w:rsid w:val="00F0095B"/>
    <w:rsid w:val="00F0158D"/>
    <w:rsid w:val="00F0287A"/>
    <w:rsid w:val="00F06BD9"/>
    <w:rsid w:val="00F06EC7"/>
    <w:rsid w:val="00F06F11"/>
    <w:rsid w:val="00F11D35"/>
    <w:rsid w:val="00F12D82"/>
    <w:rsid w:val="00F13221"/>
    <w:rsid w:val="00F13590"/>
    <w:rsid w:val="00F13736"/>
    <w:rsid w:val="00F14A1F"/>
    <w:rsid w:val="00F16508"/>
    <w:rsid w:val="00F1793E"/>
    <w:rsid w:val="00F17A91"/>
    <w:rsid w:val="00F20EDF"/>
    <w:rsid w:val="00F21DD3"/>
    <w:rsid w:val="00F22080"/>
    <w:rsid w:val="00F238D0"/>
    <w:rsid w:val="00F23CD4"/>
    <w:rsid w:val="00F23E3A"/>
    <w:rsid w:val="00F2416A"/>
    <w:rsid w:val="00F244FA"/>
    <w:rsid w:val="00F25E01"/>
    <w:rsid w:val="00F302AC"/>
    <w:rsid w:val="00F31444"/>
    <w:rsid w:val="00F31547"/>
    <w:rsid w:val="00F33BBB"/>
    <w:rsid w:val="00F35017"/>
    <w:rsid w:val="00F35C8A"/>
    <w:rsid w:val="00F366D9"/>
    <w:rsid w:val="00F368AC"/>
    <w:rsid w:val="00F36966"/>
    <w:rsid w:val="00F36AB4"/>
    <w:rsid w:val="00F372BD"/>
    <w:rsid w:val="00F40A19"/>
    <w:rsid w:val="00F43B89"/>
    <w:rsid w:val="00F4447A"/>
    <w:rsid w:val="00F4483F"/>
    <w:rsid w:val="00F476C4"/>
    <w:rsid w:val="00F47DD3"/>
    <w:rsid w:val="00F50759"/>
    <w:rsid w:val="00F5164D"/>
    <w:rsid w:val="00F51D08"/>
    <w:rsid w:val="00F51D4D"/>
    <w:rsid w:val="00F52539"/>
    <w:rsid w:val="00F529B5"/>
    <w:rsid w:val="00F52BA2"/>
    <w:rsid w:val="00F52E1E"/>
    <w:rsid w:val="00F56244"/>
    <w:rsid w:val="00F56474"/>
    <w:rsid w:val="00F6047B"/>
    <w:rsid w:val="00F6071D"/>
    <w:rsid w:val="00F6141C"/>
    <w:rsid w:val="00F6142F"/>
    <w:rsid w:val="00F62E5A"/>
    <w:rsid w:val="00F647E0"/>
    <w:rsid w:val="00F64DCB"/>
    <w:rsid w:val="00F6527F"/>
    <w:rsid w:val="00F67057"/>
    <w:rsid w:val="00F7030F"/>
    <w:rsid w:val="00F70562"/>
    <w:rsid w:val="00F7232F"/>
    <w:rsid w:val="00F723E0"/>
    <w:rsid w:val="00F72C3A"/>
    <w:rsid w:val="00F731B2"/>
    <w:rsid w:val="00F7366F"/>
    <w:rsid w:val="00F73CC6"/>
    <w:rsid w:val="00F74760"/>
    <w:rsid w:val="00F76AB5"/>
    <w:rsid w:val="00F76B62"/>
    <w:rsid w:val="00F77BE1"/>
    <w:rsid w:val="00F8208B"/>
    <w:rsid w:val="00F83225"/>
    <w:rsid w:val="00F83473"/>
    <w:rsid w:val="00F834C8"/>
    <w:rsid w:val="00F859D6"/>
    <w:rsid w:val="00F860DB"/>
    <w:rsid w:val="00F86918"/>
    <w:rsid w:val="00F874F7"/>
    <w:rsid w:val="00F87F8B"/>
    <w:rsid w:val="00F90D67"/>
    <w:rsid w:val="00F92499"/>
    <w:rsid w:val="00F929DA"/>
    <w:rsid w:val="00F929F0"/>
    <w:rsid w:val="00F92ABC"/>
    <w:rsid w:val="00F92F3A"/>
    <w:rsid w:val="00F93637"/>
    <w:rsid w:val="00F9564B"/>
    <w:rsid w:val="00F95800"/>
    <w:rsid w:val="00F95CA0"/>
    <w:rsid w:val="00F95D0F"/>
    <w:rsid w:val="00F965CF"/>
    <w:rsid w:val="00F96A0A"/>
    <w:rsid w:val="00F96E45"/>
    <w:rsid w:val="00FA12EE"/>
    <w:rsid w:val="00FA1742"/>
    <w:rsid w:val="00FA1CAA"/>
    <w:rsid w:val="00FA1CAD"/>
    <w:rsid w:val="00FA21CE"/>
    <w:rsid w:val="00FA2880"/>
    <w:rsid w:val="00FA2E33"/>
    <w:rsid w:val="00FA4043"/>
    <w:rsid w:val="00FA4901"/>
    <w:rsid w:val="00FA6497"/>
    <w:rsid w:val="00FA6D3F"/>
    <w:rsid w:val="00FA7A06"/>
    <w:rsid w:val="00FB120D"/>
    <w:rsid w:val="00FB1B9D"/>
    <w:rsid w:val="00FB2207"/>
    <w:rsid w:val="00FB2CAF"/>
    <w:rsid w:val="00FB7965"/>
    <w:rsid w:val="00FC0138"/>
    <w:rsid w:val="00FC05DD"/>
    <w:rsid w:val="00FC1344"/>
    <w:rsid w:val="00FC217C"/>
    <w:rsid w:val="00FC2EFA"/>
    <w:rsid w:val="00FC337D"/>
    <w:rsid w:val="00FC37FB"/>
    <w:rsid w:val="00FC3822"/>
    <w:rsid w:val="00FC412C"/>
    <w:rsid w:val="00FC4412"/>
    <w:rsid w:val="00FC5502"/>
    <w:rsid w:val="00FC5F67"/>
    <w:rsid w:val="00FC68F5"/>
    <w:rsid w:val="00FC6B6E"/>
    <w:rsid w:val="00FD0022"/>
    <w:rsid w:val="00FD102C"/>
    <w:rsid w:val="00FD3EC6"/>
    <w:rsid w:val="00FD3FC9"/>
    <w:rsid w:val="00FD42B9"/>
    <w:rsid w:val="00FD4D0F"/>
    <w:rsid w:val="00FD78C3"/>
    <w:rsid w:val="00FD7FEB"/>
    <w:rsid w:val="00FE12EB"/>
    <w:rsid w:val="00FE16B4"/>
    <w:rsid w:val="00FE1829"/>
    <w:rsid w:val="00FE1D92"/>
    <w:rsid w:val="00FE2859"/>
    <w:rsid w:val="00FE2915"/>
    <w:rsid w:val="00FE3C4B"/>
    <w:rsid w:val="00FE445C"/>
    <w:rsid w:val="00FE4E31"/>
    <w:rsid w:val="00FE5829"/>
    <w:rsid w:val="00FE5BB6"/>
    <w:rsid w:val="00FE613D"/>
    <w:rsid w:val="00FE627E"/>
    <w:rsid w:val="00FE6E28"/>
    <w:rsid w:val="00FE766D"/>
    <w:rsid w:val="00FF062B"/>
    <w:rsid w:val="00FF2119"/>
    <w:rsid w:val="00FF2C54"/>
    <w:rsid w:val="00FF2CD0"/>
    <w:rsid w:val="00FF4123"/>
    <w:rsid w:val="00FF4461"/>
    <w:rsid w:val="00FF454B"/>
    <w:rsid w:val="00FF48A5"/>
    <w:rsid w:val="00FF5302"/>
    <w:rsid w:val="00FF5FED"/>
    <w:rsid w:val="00FF6388"/>
    <w:rsid w:val="00FF7135"/>
    <w:rsid w:val="00FF774B"/>
    <w:rsid w:val="01544491"/>
    <w:rsid w:val="01BF386B"/>
    <w:rsid w:val="024B1582"/>
    <w:rsid w:val="0262722E"/>
    <w:rsid w:val="026D4C89"/>
    <w:rsid w:val="03A125E0"/>
    <w:rsid w:val="03AC5782"/>
    <w:rsid w:val="03CD6CBB"/>
    <w:rsid w:val="03FE1B9C"/>
    <w:rsid w:val="041F7ED2"/>
    <w:rsid w:val="042B5EE3"/>
    <w:rsid w:val="04521873"/>
    <w:rsid w:val="04CD56ED"/>
    <w:rsid w:val="04ED3A23"/>
    <w:rsid w:val="052F7AFD"/>
    <w:rsid w:val="05890296"/>
    <w:rsid w:val="05FB27D6"/>
    <w:rsid w:val="06287F27"/>
    <w:rsid w:val="06575AFE"/>
    <w:rsid w:val="06B6300F"/>
    <w:rsid w:val="070D3A1D"/>
    <w:rsid w:val="077943D1"/>
    <w:rsid w:val="07DA3171"/>
    <w:rsid w:val="08115849"/>
    <w:rsid w:val="081C745E"/>
    <w:rsid w:val="08BF49F9"/>
    <w:rsid w:val="08F56968"/>
    <w:rsid w:val="09611CF3"/>
    <w:rsid w:val="09A82F91"/>
    <w:rsid w:val="09B94817"/>
    <w:rsid w:val="09EC4463"/>
    <w:rsid w:val="0A960A6B"/>
    <w:rsid w:val="0AF36C07"/>
    <w:rsid w:val="0B331E63"/>
    <w:rsid w:val="0B605E91"/>
    <w:rsid w:val="0B943BA0"/>
    <w:rsid w:val="0C2314F7"/>
    <w:rsid w:val="0C3F577A"/>
    <w:rsid w:val="0CD84E88"/>
    <w:rsid w:val="0D205C25"/>
    <w:rsid w:val="0D277AA0"/>
    <w:rsid w:val="0D7359A1"/>
    <w:rsid w:val="0E216DBE"/>
    <w:rsid w:val="0E2430B3"/>
    <w:rsid w:val="0E2E459D"/>
    <w:rsid w:val="0ED77C89"/>
    <w:rsid w:val="0ED92CE9"/>
    <w:rsid w:val="0F0F6508"/>
    <w:rsid w:val="0F512852"/>
    <w:rsid w:val="102407A4"/>
    <w:rsid w:val="11021075"/>
    <w:rsid w:val="1181633F"/>
    <w:rsid w:val="11E74B6B"/>
    <w:rsid w:val="12195E5A"/>
    <w:rsid w:val="1253551F"/>
    <w:rsid w:val="1295225E"/>
    <w:rsid w:val="12FA5741"/>
    <w:rsid w:val="133A5E38"/>
    <w:rsid w:val="13B54FB5"/>
    <w:rsid w:val="13D9534A"/>
    <w:rsid w:val="13F46198"/>
    <w:rsid w:val="145972E0"/>
    <w:rsid w:val="14F5226F"/>
    <w:rsid w:val="150A6991"/>
    <w:rsid w:val="155D5602"/>
    <w:rsid w:val="15E43297"/>
    <w:rsid w:val="162A486A"/>
    <w:rsid w:val="16D8574E"/>
    <w:rsid w:val="16DA5D65"/>
    <w:rsid w:val="1703383B"/>
    <w:rsid w:val="17084259"/>
    <w:rsid w:val="17157DD9"/>
    <w:rsid w:val="176434C4"/>
    <w:rsid w:val="17757D0A"/>
    <w:rsid w:val="177F007D"/>
    <w:rsid w:val="178F74D9"/>
    <w:rsid w:val="179E3EA1"/>
    <w:rsid w:val="17A056D1"/>
    <w:rsid w:val="17C52753"/>
    <w:rsid w:val="17C57E8F"/>
    <w:rsid w:val="181A7334"/>
    <w:rsid w:val="18403461"/>
    <w:rsid w:val="1890723A"/>
    <w:rsid w:val="18BA3C1F"/>
    <w:rsid w:val="19593D2A"/>
    <w:rsid w:val="1988776F"/>
    <w:rsid w:val="19AB2189"/>
    <w:rsid w:val="1A0A00C9"/>
    <w:rsid w:val="1A2D01B8"/>
    <w:rsid w:val="1AAE7552"/>
    <w:rsid w:val="1B363CD9"/>
    <w:rsid w:val="1B6A25A0"/>
    <w:rsid w:val="1BD276B4"/>
    <w:rsid w:val="1BE43675"/>
    <w:rsid w:val="1BE93A56"/>
    <w:rsid w:val="1C1F1D32"/>
    <w:rsid w:val="1CE83979"/>
    <w:rsid w:val="1D5929B3"/>
    <w:rsid w:val="1D6E1C52"/>
    <w:rsid w:val="1DA57FAB"/>
    <w:rsid w:val="1DD55A6E"/>
    <w:rsid w:val="1E923447"/>
    <w:rsid w:val="1ED43525"/>
    <w:rsid w:val="1EE01536"/>
    <w:rsid w:val="1F173C0E"/>
    <w:rsid w:val="1F2D3BB3"/>
    <w:rsid w:val="1F5867A6"/>
    <w:rsid w:val="1F6538B5"/>
    <w:rsid w:val="1F7D256F"/>
    <w:rsid w:val="1F8345C2"/>
    <w:rsid w:val="1FA37075"/>
    <w:rsid w:val="202F0F46"/>
    <w:rsid w:val="216F08CE"/>
    <w:rsid w:val="21816606"/>
    <w:rsid w:val="21A1493D"/>
    <w:rsid w:val="21AC2CCE"/>
    <w:rsid w:val="22A12D66"/>
    <w:rsid w:val="22A72B65"/>
    <w:rsid w:val="230F485D"/>
    <w:rsid w:val="23B52D23"/>
    <w:rsid w:val="23B5355F"/>
    <w:rsid w:val="24387A79"/>
    <w:rsid w:val="244305C4"/>
    <w:rsid w:val="244E7A1E"/>
    <w:rsid w:val="246D24D1"/>
    <w:rsid w:val="249038EE"/>
    <w:rsid w:val="24AC0DC9"/>
    <w:rsid w:val="25525FC7"/>
    <w:rsid w:val="258506FB"/>
    <w:rsid w:val="25D52D1D"/>
    <w:rsid w:val="25DF10AE"/>
    <w:rsid w:val="26A22471"/>
    <w:rsid w:val="26B545DA"/>
    <w:rsid w:val="26C006F7"/>
    <w:rsid w:val="27050E90"/>
    <w:rsid w:val="27715FC1"/>
    <w:rsid w:val="28493AA6"/>
    <w:rsid w:val="2880617F"/>
    <w:rsid w:val="288B7D93"/>
    <w:rsid w:val="28B740DA"/>
    <w:rsid w:val="28DB3CD4"/>
    <w:rsid w:val="290D4AE9"/>
    <w:rsid w:val="29854BC6"/>
    <w:rsid w:val="29AE210A"/>
    <w:rsid w:val="2A683AA1"/>
    <w:rsid w:val="2A70229B"/>
    <w:rsid w:val="2A8A1A57"/>
    <w:rsid w:val="2AB4611E"/>
    <w:rsid w:val="2AEE4730"/>
    <w:rsid w:val="2B6C58CD"/>
    <w:rsid w:val="2C046D45"/>
    <w:rsid w:val="2C164A61"/>
    <w:rsid w:val="2CB20162"/>
    <w:rsid w:val="2CCE33F8"/>
    <w:rsid w:val="2CF4444F"/>
    <w:rsid w:val="2DD87F45"/>
    <w:rsid w:val="2E0D299D"/>
    <w:rsid w:val="2E667B44"/>
    <w:rsid w:val="2E7013BD"/>
    <w:rsid w:val="2E9B7ACA"/>
    <w:rsid w:val="307054F7"/>
    <w:rsid w:val="30A06735"/>
    <w:rsid w:val="30AC37CA"/>
    <w:rsid w:val="317648C7"/>
    <w:rsid w:val="320240A0"/>
    <w:rsid w:val="323F332B"/>
    <w:rsid w:val="328D33FB"/>
    <w:rsid w:val="32EE5A1E"/>
    <w:rsid w:val="33162246"/>
    <w:rsid w:val="331A1F70"/>
    <w:rsid w:val="333A4819"/>
    <w:rsid w:val="337F09A6"/>
    <w:rsid w:val="339C35B9"/>
    <w:rsid w:val="33A651CD"/>
    <w:rsid w:val="33E748EF"/>
    <w:rsid w:val="33E93BC5"/>
    <w:rsid w:val="348070AE"/>
    <w:rsid w:val="352765C3"/>
    <w:rsid w:val="35AA3319"/>
    <w:rsid w:val="35C51944"/>
    <w:rsid w:val="362706E4"/>
    <w:rsid w:val="366849D0"/>
    <w:rsid w:val="36970D78"/>
    <w:rsid w:val="370B7A5D"/>
    <w:rsid w:val="37737A0E"/>
    <w:rsid w:val="37CE559C"/>
    <w:rsid w:val="37F1025F"/>
    <w:rsid w:val="382F433C"/>
    <w:rsid w:val="383E6511"/>
    <w:rsid w:val="38650091"/>
    <w:rsid w:val="38811879"/>
    <w:rsid w:val="388A0DE6"/>
    <w:rsid w:val="38D821E6"/>
    <w:rsid w:val="390102EC"/>
    <w:rsid w:val="394C264B"/>
    <w:rsid w:val="3A097FD2"/>
    <w:rsid w:val="3A595F4B"/>
    <w:rsid w:val="3A6E266D"/>
    <w:rsid w:val="3ACC7F53"/>
    <w:rsid w:val="3B3C1E59"/>
    <w:rsid w:val="3B80352B"/>
    <w:rsid w:val="3BD52EB9"/>
    <w:rsid w:val="3C2C5732"/>
    <w:rsid w:val="3C8342D6"/>
    <w:rsid w:val="3CF01087"/>
    <w:rsid w:val="3D191A40"/>
    <w:rsid w:val="3D205459"/>
    <w:rsid w:val="3D301E70"/>
    <w:rsid w:val="3D527E27"/>
    <w:rsid w:val="3DA17D00"/>
    <w:rsid w:val="3DAB5CB2"/>
    <w:rsid w:val="3E6B6375"/>
    <w:rsid w:val="3EEC5FA9"/>
    <w:rsid w:val="3F06659F"/>
    <w:rsid w:val="3F5056EE"/>
    <w:rsid w:val="40495906"/>
    <w:rsid w:val="40B2786A"/>
    <w:rsid w:val="40B52A37"/>
    <w:rsid w:val="40C50AD3"/>
    <w:rsid w:val="40EB31FF"/>
    <w:rsid w:val="41101C13"/>
    <w:rsid w:val="41373360"/>
    <w:rsid w:val="41475E5F"/>
    <w:rsid w:val="41881E87"/>
    <w:rsid w:val="418F019B"/>
    <w:rsid w:val="42056EE1"/>
    <w:rsid w:val="421459A7"/>
    <w:rsid w:val="426339F7"/>
    <w:rsid w:val="42F609E7"/>
    <w:rsid w:val="43C348B8"/>
    <w:rsid w:val="43D56AEB"/>
    <w:rsid w:val="4430698E"/>
    <w:rsid w:val="44E9469A"/>
    <w:rsid w:val="452F4E0F"/>
    <w:rsid w:val="45A622AB"/>
    <w:rsid w:val="45B6056B"/>
    <w:rsid w:val="45CB0510"/>
    <w:rsid w:val="46182B8E"/>
    <w:rsid w:val="4664520C"/>
    <w:rsid w:val="46905CD0"/>
    <w:rsid w:val="47112DA6"/>
    <w:rsid w:val="472829CB"/>
    <w:rsid w:val="475016F4"/>
    <w:rsid w:val="47A97AA1"/>
    <w:rsid w:val="48212BE3"/>
    <w:rsid w:val="48247516"/>
    <w:rsid w:val="4886325D"/>
    <w:rsid w:val="48B72659"/>
    <w:rsid w:val="48CF4000"/>
    <w:rsid w:val="48F2194E"/>
    <w:rsid w:val="49264A0F"/>
    <w:rsid w:val="492C6F20"/>
    <w:rsid w:val="495C70E7"/>
    <w:rsid w:val="499754D4"/>
    <w:rsid w:val="49A17BDC"/>
    <w:rsid w:val="4BED6C79"/>
    <w:rsid w:val="4C2904FF"/>
    <w:rsid w:val="4C6912E9"/>
    <w:rsid w:val="4D21431B"/>
    <w:rsid w:val="4DD613AF"/>
    <w:rsid w:val="4E1B4533"/>
    <w:rsid w:val="4F2B6903"/>
    <w:rsid w:val="4F934CE7"/>
    <w:rsid w:val="4F9714A0"/>
    <w:rsid w:val="4FCE73FC"/>
    <w:rsid w:val="50244588"/>
    <w:rsid w:val="50B22EF2"/>
    <w:rsid w:val="510C449A"/>
    <w:rsid w:val="515B02CF"/>
    <w:rsid w:val="51FD0FB8"/>
    <w:rsid w:val="523B1443"/>
    <w:rsid w:val="52A24668"/>
    <w:rsid w:val="52A40D49"/>
    <w:rsid w:val="52C00D3D"/>
    <w:rsid w:val="534863AE"/>
    <w:rsid w:val="538234F0"/>
    <w:rsid w:val="53F0794B"/>
    <w:rsid w:val="53F14A05"/>
    <w:rsid w:val="547870E5"/>
    <w:rsid w:val="549B0264"/>
    <w:rsid w:val="54BF1F73"/>
    <w:rsid w:val="553B58E4"/>
    <w:rsid w:val="55745A14"/>
    <w:rsid w:val="55D04BDB"/>
    <w:rsid w:val="56355AFC"/>
    <w:rsid w:val="56AB4841"/>
    <w:rsid w:val="57220665"/>
    <w:rsid w:val="572F0E5E"/>
    <w:rsid w:val="577A0392"/>
    <w:rsid w:val="57B32401"/>
    <w:rsid w:val="57E722F1"/>
    <w:rsid w:val="588E594A"/>
    <w:rsid w:val="58B54896"/>
    <w:rsid w:val="58E10BDE"/>
    <w:rsid w:val="59A11982"/>
    <w:rsid w:val="59AE4AAE"/>
    <w:rsid w:val="59D65D1A"/>
    <w:rsid w:val="59E2474D"/>
    <w:rsid w:val="59F85DEA"/>
    <w:rsid w:val="5A882213"/>
    <w:rsid w:val="5A9C585F"/>
    <w:rsid w:val="5AD44891"/>
    <w:rsid w:val="5B0A2B6C"/>
    <w:rsid w:val="5B5560E4"/>
    <w:rsid w:val="5BE31309"/>
    <w:rsid w:val="5BE34A4E"/>
    <w:rsid w:val="5C0F0D95"/>
    <w:rsid w:val="5C4437EE"/>
    <w:rsid w:val="5CD268D5"/>
    <w:rsid w:val="5CDC4C66"/>
    <w:rsid w:val="5D142BC1"/>
    <w:rsid w:val="5D8F5D8E"/>
    <w:rsid w:val="5DAA43BA"/>
    <w:rsid w:val="5DE16A92"/>
    <w:rsid w:val="5E595457"/>
    <w:rsid w:val="5E797F0A"/>
    <w:rsid w:val="5E824444"/>
    <w:rsid w:val="5E86318D"/>
    <w:rsid w:val="5EC52588"/>
    <w:rsid w:val="5F1C684E"/>
    <w:rsid w:val="5F6138E3"/>
    <w:rsid w:val="5FA35228"/>
    <w:rsid w:val="5FB80D62"/>
    <w:rsid w:val="607757D2"/>
    <w:rsid w:val="60AD7EAA"/>
    <w:rsid w:val="60B37BB5"/>
    <w:rsid w:val="60E11ED9"/>
    <w:rsid w:val="60F063D7"/>
    <w:rsid w:val="61451322"/>
    <w:rsid w:val="61FE4354"/>
    <w:rsid w:val="623C7735"/>
    <w:rsid w:val="625F67D2"/>
    <w:rsid w:val="62A173E0"/>
    <w:rsid w:val="62F324FA"/>
    <w:rsid w:val="63074B8F"/>
    <w:rsid w:val="632A209C"/>
    <w:rsid w:val="63891A79"/>
    <w:rsid w:val="63EA5D47"/>
    <w:rsid w:val="64315C05"/>
    <w:rsid w:val="644C685D"/>
    <w:rsid w:val="6484536A"/>
    <w:rsid w:val="64CB576C"/>
    <w:rsid w:val="654308AD"/>
    <w:rsid w:val="654D2473"/>
    <w:rsid w:val="658713A2"/>
    <w:rsid w:val="65AE59DE"/>
    <w:rsid w:val="65C04CAC"/>
    <w:rsid w:val="65DC4915"/>
    <w:rsid w:val="65F016A0"/>
    <w:rsid w:val="66091326"/>
    <w:rsid w:val="66782EA9"/>
    <w:rsid w:val="66A81479"/>
    <w:rsid w:val="66E02A7B"/>
    <w:rsid w:val="66FF1E88"/>
    <w:rsid w:val="67335595"/>
    <w:rsid w:val="6771316C"/>
    <w:rsid w:val="67C21CB7"/>
    <w:rsid w:val="67CF7554"/>
    <w:rsid w:val="67DD3A75"/>
    <w:rsid w:val="682B2A31"/>
    <w:rsid w:val="685A0E40"/>
    <w:rsid w:val="685A46C3"/>
    <w:rsid w:val="68847BA6"/>
    <w:rsid w:val="68C272E9"/>
    <w:rsid w:val="695348DB"/>
    <w:rsid w:val="69955344"/>
    <w:rsid w:val="69B62418"/>
    <w:rsid w:val="69CB40C5"/>
    <w:rsid w:val="69D02F1D"/>
    <w:rsid w:val="69F76D33"/>
    <w:rsid w:val="6A5247FE"/>
    <w:rsid w:val="6A8D656F"/>
    <w:rsid w:val="6AD51173"/>
    <w:rsid w:val="6B9F0C1C"/>
    <w:rsid w:val="6BD43675"/>
    <w:rsid w:val="6BFD36C4"/>
    <w:rsid w:val="6CA86ED0"/>
    <w:rsid w:val="6CFD464D"/>
    <w:rsid w:val="6D020EFC"/>
    <w:rsid w:val="6D660588"/>
    <w:rsid w:val="6D706919"/>
    <w:rsid w:val="6E1E7D37"/>
    <w:rsid w:val="6E4941A0"/>
    <w:rsid w:val="6E5F07A0"/>
    <w:rsid w:val="6E816F19"/>
    <w:rsid w:val="6E845F45"/>
    <w:rsid w:val="6EA0762B"/>
    <w:rsid w:val="6ECD0DD4"/>
    <w:rsid w:val="6EF7549B"/>
    <w:rsid w:val="6F221B63"/>
    <w:rsid w:val="6F260556"/>
    <w:rsid w:val="6F314780"/>
    <w:rsid w:val="6F434296"/>
    <w:rsid w:val="6F4E5EAA"/>
    <w:rsid w:val="6F6E41E1"/>
    <w:rsid w:val="6F933393"/>
    <w:rsid w:val="6F9A0528"/>
    <w:rsid w:val="712D1592"/>
    <w:rsid w:val="716D5EA5"/>
    <w:rsid w:val="718F4062"/>
    <w:rsid w:val="71F0168F"/>
    <w:rsid w:val="721056AE"/>
    <w:rsid w:val="72E503E5"/>
    <w:rsid w:val="73055BBB"/>
    <w:rsid w:val="744359CE"/>
    <w:rsid w:val="746E71E1"/>
    <w:rsid w:val="74D20734"/>
    <w:rsid w:val="74DF3EAF"/>
    <w:rsid w:val="7502042B"/>
    <w:rsid w:val="755D6AD0"/>
    <w:rsid w:val="755E741F"/>
    <w:rsid w:val="759D4340"/>
    <w:rsid w:val="75F3743F"/>
    <w:rsid w:val="762B32F0"/>
    <w:rsid w:val="77263187"/>
    <w:rsid w:val="773B78A9"/>
    <w:rsid w:val="77C96214"/>
    <w:rsid w:val="788C75D7"/>
    <w:rsid w:val="78BF6934"/>
    <w:rsid w:val="78EE6441"/>
    <w:rsid w:val="790A5E70"/>
    <w:rsid w:val="7923094F"/>
    <w:rsid w:val="795E7C98"/>
    <w:rsid w:val="79707849"/>
    <w:rsid w:val="7A1C3F4C"/>
    <w:rsid w:val="7B972A4A"/>
    <w:rsid w:val="7BCB7426"/>
    <w:rsid w:val="7BCF3EB0"/>
    <w:rsid w:val="7BDB4BB9"/>
    <w:rsid w:val="7C1B2CAB"/>
    <w:rsid w:val="7C476FF2"/>
    <w:rsid w:val="7C8A0CB7"/>
    <w:rsid w:val="7D204AD7"/>
    <w:rsid w:val="7D572A32"/>
    <w:rsid w:val="7D8D1888"/>
    <w:rsid w:val="7DE45B1A"/>
    <w:rsid w:val="7DEE0E24"/>
    <w:rsid w:val="7E0E2EE7"/>
    <w:rsid w:val="7E4548B9"/>
    <w:rsid w:val="7E5E6199"/>
    <w:rsid w:val="7E976033"/>
    <w:rsid w:val="7EF32454"/>
    <w:rsid w:val="7F346740"/>
    <w:rsid w:val="7F5A75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semiHidden="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240" w:after="60" w:line="360" w:lineRule="auto"/>
      <w:jc w:val="center"/>
      <w:outlineLvl w:val="0"/>
    </w:pPr>
    <w:rPr>
      <w:rFonts w:ascii="Arial" w:hAnsi="Arial" w:eastAsia="黑体" w:cs="Arial"/>
      <w:b/>
      <w:kern w:val="44"/>
      <w:sz w:val="32"/>
      <w:szCs w:val="44"/>
    </w:rPr>
  </w:style>
  <w:style w:type="paragraph" w:styleId="3">
    <w:name w:val="heading 2"/>
    <w:basedOn w:val="1"/>
    <w:next w:val="1"/>
    <w:qFormat/>
    <w:uiPriority w:val="0"/>
    <w:pPr>
      <w:keepNext/>
      <w:keepLines/>
      <w:spacing w:before="260" w:after="260" w:line="360" w:lineRule="auto"/>
      <w:jc w:val="center"/>
      <w:outlineLvl w:val="1"/>
    </w:pPr>
    <w:rPr>
      <w:rFonts w:ascii="Arial" w:hAnsi="Arial" w:eastAsia="黑体"/>
      <w:bCs/>
      <w:sz w:val="32"/>
      <w:szCs w:val="32"/>
    </w:rPr>
  </w:style>
  <w:style w:type="paragraph" w:styleId="4">
    <w:name w:val="heading 3"/>
    <w:basedOn w:val="1"/>
    <w:next w:val="1"/>
    <w:qFormat/>
    <w:uiPriority w:val="0"/>
    <w:pPr>
      <w:spacing w:line="360" w:lineRule="auto"/>
      <w:jc w:val="center"/>
      <w:outlineLvl w:val="2"/>
    </w:pPr>
    <w:rPr>
      <w:rFonts w:ascii="宋体" w:hAnsi="宋体"/>
      <w:b/>
      <w:sz w:val="24"/>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4">
    <w:name w:val="Default Paragraph Font"/>
    <w:semiHidden/>
    <w:uiPriority w:val="0"/>
  </w:style>
  <w:style w:type="table" w:default="1" w:styleId="31">
    <w:name w:val="Normal Table"/>
    <w:semiHidden/>
    <w:uiPriority w:val="0"/>
    <w:tblPr>
      <w:tblStyle w:val="31"/>
      <w:tblCellMar>
        <w:top w:w="0" w:type="dxa"/>
        <w:left w:w="108" w:type="dxa"/>
        <w:bottom w:w="0" w:type="dxa"/>
        <w:right w:w="108" w:type="dxa"/>
      </w:tblCellMar>
    </w:tblPr>
  </w:style>
  <w:style w:type="paragraph" w:styleId="11">
    <w:name w:val="toc 7"/>
    <w:basedOn w:val="1"/>
    <w:next w:val="1"/>
    <w:uiPriority w:val="0"/>
    <w:pPr>
      <w:ind w:left="1260"/>
      <w:jc w:val="left"/>
    </w:pPr>
    <w:rPr>
      <w:rFonts w:ascii="等线" w:eastAsia="等线"/>
      <w:sz w:val="18"/>
      <w:szCs w:val="18"/>
    </w:rPr>
  </w:style>
  <w:style w:type="paragraph" w:styleId="12">
    <w:name w:val="table of authorities"/>
    <w:basedOn w:val="1"/>
    <w:next w:val="1"/>
    <w:semiHidden/>
    <w:uiPriority w:val="0"/>
    <w:pPr>
      <w:ind w:left="420" w:leftChars="200"/>
    </w:pPr>
  </w:style>
  <w:style w:type="paragraph" w:styleId="13">
    <w:name w:val="Document Map"/>
    <w:basedOn w:val="1"/>
    <w:semiHidden/>
    <w:uiPriority w:val="0"/>
    <w:pPr>
      <w:shd w:val="clear" w:color="auto" w:fill="000080"/>
    </w:pPr>
  </w:style>
  <w:style w:type="paragraph" w:styleId="14">
    <w:name w:val="toa heading"/>
    <w:basedOn w:val="1"/>
    <w:next w:val="1"/>
    <w:semiHidden/>
    <w:uiPriority w:val="0"/>
    <w:pPr>
      <w:spacing w:before="120"/>
    </w:pPr>
    <w:rPr>
      <w:rFonts w:ascii="Arial" w:hAnsi="Arial" w:cs="Arial"/>
      <w:sz w:val="24"/>
    </w:rPr>
  </w:style>
  <w:style w:type="paragraph" w:styleId="15">
    <w:name w:val="annotation text"/>
    <w:basedOn w:val="1"/>
    <w:semiHidden/>
    <w:uiPriority w:val="0"/>
    <w:pPr>
      <w:jc w:val="left"/>
    </w:pPr>
  </w:style>
  <w:style w:type="paragraph" w:styleId="16">
    <w:name w:val="Body Text"/>
    <w:basedOn w:val="1"/>
    <w:qFormat/>
    <w:uiPriority w:val="1"/>
    <w:rPr>
      <w:rFonts w:ascii="宋体" w:hAnsi="宋体" w:eastAsia="宋体" w:cs="宋体"/>
      <w:sz w:val="24"/>
      <w:szCs w:val="24"/>
      <w:lang w:val="zh-CN" w:eastAsia="zh-CN" w:bidi="zh-CN"/>
    </w:rPr>
  </w:style>
  <w:style w:type="paragraph" w:styleId="17">
    <w:name w:val="toc 5"/>
    <w:basedOn w:val="1"/>
    <w:next w:val="1"/>
    <w:uiPriority w:val="0"/>
    <w:pPr>
      <w:ind w:left="840"/>
      <w:jc w:val="left"/>
    </w:pPr>
    <w:rPr>
      <w:rFonts w:ascii="等线" w:eastAsia="等线"/>
      <w:sz w:val="18"/>
      <w:szCs w:val="18"/>
    </w:rPr>
  </w:style>
  <w:style w:type="paragraph" w:styleId="18">
    <w:name w:val="toc 3"/>
    <w:basedOn w:val="1"/>
    <w:next w:val="1"/>
    <w:uiPriority w:val="39"/>
    <w:pPr>
      <w:tabs>
        <w:tab w:val="right" w:leader="hyphen" w:pos="9192"/>
      </w:tabs>
      <w:ind w:left="420"/>
      <w:jc w:val="left"/>
    </w:pPr>
    <w:rPr>
      <w:rFonts w:ascii="等线" w:eastAsia="等线"/>
      <w:i/>
      <w:iCs/>
      <w:sz w:val="20"/>
      <w:szCs w:val="20"/>
    </w:rPr>
  </w:style>
  <w:style w:type="paragraph" w:styleId="19">
    <w:name w:val="toc 8"/>
    <w:basedOn w:val="1"/>
    <w:next w:val="1"/>
    <w:uiPriority w:val="0"/>
    <w:pPr>
      <w:ind w:left="1470"/>
      <w:jc w:val="left"/>
    </w:pPr>
    <w:rPr>
      <w:rFonts w:ascii="等线" w:eastAsia="等线"/>
      <w:sz w:val="18"/>
      <w:szCs w:val="18"/>
    </w:rPr>
  </w:style>
  <w:style w:type="paragraph" w:styleId="20">
    <w:name w:val="endnote text"/>
    <w:basedOn w:val="1"/>
    <w:semiHidden/>
    <w:uiPriority w:val="0"/>
    <w:pPr>
      <w:snapToGrid w:val="0"/>
      <w:jc w:val="left"/>
    </w:pPr>
  </w:style>
  <w:style w:type="paragraph" w:styleId="21">
    <w:name w:val="Balloon Text"/>
    <w:basedOn w:val="1"/>
    <w:semiHidden/>
    <w:uiPriority w:val="0"/>
    <w:rPr>
      <w:sz w:val="18"/>
      <w:szCs w:val="18"/>
    </w:rPr>
  </w:style>
  <w:style w:type="paragraph" w:styleId="22">
    <w:name w:val="footer"/>
    <w:basedOn w:val="1"/>
    <w:uiPriority w:val="0"/>
    <w:pPr>
      <w:tabs>
        <w:tab w:val="center" w:pos="4153"/>
        <w:tab w:val="right" w:pos="8306"/>
      </w:tabs>
      <w:snapToGrid w:val="0"/>
      <w:jc w:val="left"/>
    </w:pPr>
    <w:rPr>
      <w:sz w:val="18"/>
      <w:szCs w:val="18"/>
    </w:rPr>
  </w:style>
  <w:style w:type="paragraph" w:styleId="2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uiPriority w:val="39"/>
    <w:pPr>
      <w:spacing w:before="120" w:after="120"/>
      <w:jc w:val="left"/>
    </w:pPr>
    <w:rPr>
      <w:rFonts w:ascii="等线" w:eastAsia="等线"/>
      <w:b/>
      <w:bCs/>
      <w:caps/>
      <w:sz w:val="20"/>
      <w:szCs w:val="20"/>
    </w:rPr>
  </w:style>
  <w:style w:type="paragraph" w:styleId="25">
    <w:name w:val="toc 4"/>
    <w:basedOn w:val="1"/>
    <w:next w:val="1"/>
    <w:uiPriority w:val="0"/>
    <w:pPr>
      <w:ind w:left="630"/>
      <w:jc w:val="left"/>
    </w:pPr>
    <w:rPr>
      <w:rFonts w:ascii="等线" w:eastAsia="等线"/>
      <w:sz w:val="18"/>
      <w:szCs w:val="18"/>
    </w:rPr>
  </w:style>
  <w:style w:type="paragraph" w:styleId="26">
    <w:name w:val="toc 6"/>
    <w:basedOn w:val="1"/>
    <w:next w:val="1"/>
    <w:uiPriority w:val="0"/>
    <w:pPr>
      <w:ind w:left="1050"/>
      <w:jc w:val="left"/>
    </w:pPr>
    <w:rPr>
      <w:rFonts w:ascii="等线" w:eastAsia="等线"/>
      <w:sz w:val="18"/>
      <w:szCs w:val="18"/>
    </w:rPr>
  </w:style>
  <w:style w:type="paragraph" w:styleId="27">
    <w:name w:val="toc 2"/>
    <w:basedOn w:val="1"/>
    <w:next w:val="1"/>
    <w:uiPriority w:val="39"/>
    <w:pPr>
      <w:ind w:left="210"/>
      <w:jc w:val="left"/>
    </w:pPr>
    <w:rPr>
      <w:rFonts w:ascii="等线" w:eastAsia="等线"/>
      <w:smallCaps/>
      <w:sz w:val="20"/>
      <w:szCs w:val="20"/>
    </w:rPr>
  </w:style>
  <w:style w:type="paragraph" w:styleId="28">
    <w:name w:val="toc 9"/>
    <w:basedOn w:val="1"/>
    <w:next w:val="1"/>
    <w:uiPriority w:val="0"/>
    <w:pPr>
      <w:ind w:left="1680"/>
      <w:jc w:val="left"/>
    </w:pPr>
    <w:rPr>
      <w:rFonts w:ascii="等线" w:eastAsia="等线"/>
      <w:sz w:val="18"/>
      <w:szCs w:val="18"/>
    </w:rPr>
  </w:style>
  <w:style w:type="paragraph" w:styleId="29">
    <w:name w:val="Normal (Web)"/>
    <w:basedOn w:val="1"/>
    <w:uiPriority w:val="0"/>
    <w:pPr>
      <w:spacing w:before="100" w:beforeAutospacing="1" w:after="100" w:afterAutospacing="1"/>
      <w:ind w:left="0" w:right="0"/>
      <w:jc w:val="left"/>
    </w:pPr>
    <w:rPr>
      <w:kern w:val="0"/>
      <w:sz w:val="24"/>
      <w:lang w:val="en-US" w:eastAsia="zh-CN" w:bidi="ar"/>
    </w:rPr>
  </w:style>
  <w:style w:type="paragraph" w:styleId="30">
    <w:name w:val="annotation subject"/>
    <w:basedOn w:val="15"/>
    <w:next w:val="15"/>
    <w:semiHidden/>
    <w:uiPriority w:val="0"/>
    <w:rPr>
      <w:b/>
      <w:bCs/>
    </w:rPr>
  </w:style>
  <w:style w:type="table" w:styleId="32">
    <w:name w:val="Table Grid"/>
    <w:basedOn w:val="31"/>
    <w:uiPriority w:val="0"/>
    <w:pPr>
      <w:widowControl w:val="0"/>
      <w:jc w:val="both"/>
    </w:pPr>
    <w:tblPr>
      <w:tblStyle w:val="3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Table Theme"/>
    <w:basedOn w:val="31"/>
    <w:uiPriority w:val="0"/>
    <w:pPr>
      <w:widowControl w:val="0"/>
      <w:jc w:val="both"/>
    </w:pPr>
    <w:tblPr>
      <w:tblStyle w:val="3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endnote reference"/>
    <w:semiHidden/>
    <w:uiPriority w:val="0"/>
    <w:rPr>
      <w:vertAlign w:val="superscript"/>
    </w:rPr>
  </w:style>
  <w:style w:type="character" w:styleId="37">
    <w:name w:val="page number"/>
    <w:basedOn w:val="34"/>
    <w:uiPriority w:val="0"/>
  </w:style>
  <w:style w:type="character" w:styleId="38">
    <w:name w:val="FollowedHyperlink"/>
    <w:uiPriority w:val="0"/>
    <w:rPr>
      <w:color w:val="954F72"/>
      <w:u w:val="single"/>
    </w:rPr>
  </w:style>
  <w:style w:type="character" w:styleId="39">
    <w:name w:val="Hyperlink"/>
    <w:basedOn w:val="34"/>
    <w:uiPriority w:val="99"/>
    <w:rPr>
      <w:color w:val="0000FF"/>
      <w:u w:val="single"/>
    </w:rPr>
  </w:style>
  <w:style w:type="character" w:styleId="40">
    <w:name w:val="annotation reference"/>
    <w:semiHidden/>
    <w:uiPriority w:val="0"/>
    <w:rPr>
      <w:sz w:val="21"/>
      <w:szCs w:val="21"/>
    </w:rPr>
  </w:style>
  <w:style w:type="character" w:customStyle="1" w:styleId="41">
    <w:name w:val="未处理的提及"/>
    <w:unhideWhenUsed/>
    <w:uiPriority w:val="99"/>
    <w:rPr>
      <w:color w:val="605E5C"/>
      <w:shd w:val="clear" w:color="auto" w:fill="E1DFDD"/>
    </w:rPr>
  </w:style>
  <w:style w:type="character" w:customStyle="1" w:styleId="42">
    <w:name w:val="pubtime"/>
    <w:basedOn w:val="34"/>
    <w:uiPriority w:val="0"/>
    <w:rPr>
      <w:color w:val="000000"/>
      <w:sz w:val="18"/>
      <w:szCs w:val="18"/>
    </w:rPr>
  </w:style>
  <w:style w:type="paragraph" w:styleId="43">
    <w:name w:val="List Paragraph"/>
    <w:basedOn w:val="1"/>
    <w:qFormat/>
    <w:uiPriority w:val="34"/>
    <w:pPr>
      <w:ind w:firstLine="420" w:firstLineChars="200"/>
    </w:pPr>
    <w:rPr>
      <w:rFonts w:ascii="Calibri" w:hAnsi="Calibri"/>
      <w:szCs w:val="22"/>
    </w:rPr>
  </w:style>
  <w:style w:type="paragraph" w:styleId="44">
    <w:name w:val=""/>
    <w:semiHidden/>
    <w:uiPriority w:val="99"/>
    <w:rPr>
      <w:kern w:val="2"/>
      <w:sz w:val="21"/>
      <w:szCs w:val="24"/>
      <w:lang w:val="en-US" w:eastAsia="zh-CN" w:bidi="ar-SA"/>
    </w:rPr>
  </w:style>
  <w:style w:type="paragraph" w:customStyle="1" w:styleId="45">
    <w:name w:val="公开招标文件"/>
    <w:basedOn w:val="1"/>
    <w:uiPriority w:val="0"/>
    <w:pPr>
      <w:spacing w:line="1000" w:lineRule="exact"/>
      <w:jc w:val="center"/>
    </w:pPr>
    <w:rPr>
      <w:rFonts w:ascii="宋体" w:hAnsi="宋体" w:cs="宋体"/>
      <w:b/>
      <w:bCs/>
      <w:sz w:val="92"/>
      <w:szCs w:val="20"/>
    </w:rPr>
  </w:style>
  <w:style w:type="paragraph" w:styleId="46">
    <w:name w:val=""/>
    <w:basedOn w:val="1"/>
    <w:next w:val="1"/>
    <w:uiPriority w:val="0"/>
    <w:pPr>
      <w:pBdr>
        <w:bottom w:val="single" w:color="auto" w:sz="6" w:space="1"/>
      </w:pBdr>
      <w:jc w:val="center"/>
    </w:pPr>
    <w:rPr>
      <w:rFonts w:ascii="Arial" w:eastAsia="宋体"/>
      <w:vanish/>
      <w:sz w:val="16"/>
    </w:rPr>
  </w:style>
  <w:style w:type="paragraph" w:customStyle="1" w:styleId="47">
    <w:name w:val="标题6"/>
    <w:basedOn w:val="1"/>
    <w:next w:val="2"/>
    <w:uiPriority w:val="0"/>
    <w:pPr>
      <w:widowControl/>
      <w:snapToGrid w:val="0"/>
      <w:spacing w:before="50" w:beforeLines="50" w:after="50" w:afterLines="50" w:line="520" w:lineRule="atLeast"/>
      <w:ind w:firstLine="200" w:firstLineChars="200"/>
    </w:pPr>
    <w:rPr>
      <w:rFonts w:cs="Arial"/>
      <w:b/>
      <w:sz w:val="24"/>
    </w:rPr>
  </w:style>
  <w:style w:type="paragraph" w:customStyle="1" w:styleId="48">
    <w:name w:val="封面第一行"/>
    <w:basedOn w:val="1"/>
    <w:uiPriority w:val="0"/>
    <w:pPr>
      <w:spacing w:line="360" w:lineRule="auto"/>
      <w:jc w:val="center"/>
    </w:pPr>
    <w:rPr>
      <w:rFonts w:ascii="黑体" w:hAnsi="宋体" w:eastAsia="黑体" w:cs="宋体"/>
      <w:sz w:val="56"/>
      <w:szCs w:val="20"/>
    </w:rPr>
  </w:style>
  <w:style w:type="paragraph" w:customStyle="1" w:styleId="49">
    <w:name w:val="封面编号"/>
    <w:basedOn w:val="1"/>
    <w:uiPriority w:val="0"/>
    <w:pPr>
      <w:spacing w:line="360" w:lineRule="auto"/>
      <w:jc w:val="center"/>
    </w:pPr>
    <w:rPr>
      <w:rFonts w:ascii="黑体" w:hAnsi="宋体" w:eastAsia="黑体" w:cs="宋体"/>
      <w:b/>
      <w:bCs/>
      <w:sz w:val="38"/>
      <w:szCs w:val="20"/>
    </w:rPr>
  </w:style>
  <w:style w:type="paragraph" w:customStyle="1" w:styleId="50">
    <w:name w:val="Table Paragraph"/>
    <w:basedOn w:val="1"/>
    <w:qFormat/>
    <w:uiPriority w:val="1"/>
    <w:rPr>
      <w:rFonts w:ascii="宋体" w:hAnsi="宋体" w:eastAsia="宋体" w:cs="宋体"/>
      <w:lang w:val="zh-CN" w:eastAsia="zh-CN" w:bidi="zh-CN"/>
    </w:rPr>
  </w:style>
  <w:style w:type="paragraph" w:styleId="51">
    <w:name w:val=""/>
    <w:basedOn w:val="1"/>
    <w:next w:val="1"/>
    <w:uiPriority w:val="0"/>
    <w:pPr>
      <w:pBdr>
        <w:top w:val="single" w:color="auto" w:sz="6" w:space="1"/>
      </w:pBdr>
      <w:jc w:val="center"/>
    </w:pPr>
    <w:rPr>
      <w:rFonts w:ascii="Arial" w:eastAsia="宋体"/>
      <w:vanish/>
      <w:sz w:val="16"/>
    </w:rPr>
  </w:style>
  <w:style w:type="paragraph" w:styleId="52">
    <w:name w:val=""/>
    <w:basedOn w:val="2"/>
    <w:next w:val="1"/>
    <w:unhideWhenUsed/>
    <w:qFormat/>
    <w:uiPriority w:val="39"/>
    <w:pPr>
      <w:widowControl/>
      <w:spacing w:after="0" w:line="259" w:lineRule="auto"/>
      <w:jc w:val="left"/>
      <w:outlineLvl w:val="9"/>
    </w:pPr>
    <w:rPr>
      <w:rFonts w:ascii="等线 Light" w:hAnsi="等线 Light" w:eastAsia="等线 Light" w:cs="Times New Roman"/>
      <w:b w:val="0"/>
      <w:color w:val="2F5496"/>
      <w:kern w:val="0"/>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file:///C:/Users/len/AppData/Local/Temp/%25W@GJ$ACOF(TYDYECOKVDYB.png" TargetMode="External"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芳向电脑工作室</Company>
  <Pages>47</Pages>
  <Words>4439</Words>
  <Characters>25306</Characters>
  <Lines>210</Lines>
  <Paragraphs>59</Paragraphs>
  <TotalTime>0</TotalTime>
  <ScaleCrop>false</ScaleCrop>
  <LinksUpToDate>false</LinksUpToDate>
  <CharactersWithSpaces>29686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2017-10-10T07:48:00Z</dcterms:created>
  <dc:creator>于卓伟</dc:creator>
  <cp:lastModifiedBy>WPS_1701756769</cp:lastModifiedBy>
  <cp:lastPrinted>2019-01-04T07:42:36Z</cp:lastPrinted>
  <dcterms:modified xsi:type="dcterms:W3CDTF">2024-02-23T03:02:58Z</dcterms:modified>
  <cp:revision>47</cp:revision>
  <dc:title>公开招标文件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31145A3D783F49C5B7C4799533715DF8_13</vt:lpwstr>
  </property>
</Properties>
</file>