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24"/>
          <w:highlight w:val="none"/>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adjustRightInd/>
        <w:spacing w:line="360" w:lineRule="auto"/>
        <w:jc w:val="center"/>
        <w:rPr>
          <w:rFonts w:ascii="仿宋_GB2312" w:hAnsi="仿宋" w:eastAsia="仿宋_GB2312" w:cs="仿宋_GB2312"/>
          <w:b/>
          <w:color w:val="000000" w:themeColor="text1"/>
          <w:sz w:val="48"/>
          <w:szCs w:val="48"/>
          <w:highlight w:val="none"/>
          <w14:textFill>
            <w14:solidFill>
              <w14:schemeClr w14:val="tx1"/>
            </w14:solidFill>
          </w14:textFill>
        </w:rPr>
      </w:pPr>
    </w:p>
    <w:p>
      <w:pPr>
        <w:adjustRightInd/>
        <w:spacing w:line="360" w:lineRule="auto"/>
        <w:jc w:val="center"/>
        <w:rPr>
          <w:rFonts w:ascii="仿宋" w:hAnsi="仿宋" w:eastAsia="仿宋" w:cs="仿宋_GB2312"/>
          <w:color w:val="000000" w:themeColor="text1"/>
          <w:sz w:val="48"/>
          <w:szCs w:val="48"/>
          <w:highlight w:val="none"/>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S211钱塘段（江东大道至红十五线）公路工程全过程造价咨询服务项目</w:t>
      </w:r>
    </w:p>
    <w:p>
      <w:pPr>
        <w:adjustRightInd/>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招标文件</w:t>
      </w:r>
      <w:r>
        <w:rPr>
          <w:rFonts w:ascii="仿宋" w:hAnsi="仿宋" w:eastAsia="仿宋" w:cs="仿宋_GB2312"/>
          <w:b/>
          <w:color w:val="000000" w:themeColor="text1"/>
          <w:sz w:val="44"/>
          <w:szCs w:val="44"/>
          <w:highlight w:val="none"/>
          <w14:textFill>
            <w14:solidFill>
              <w14:schemeClr w14:val="tx1"/>
            </w14:solidFill>
          </w14:textFill>
        </w:rPr>
        <w:t>（电子招投标）</w:t>
      </w:r>
    </w:p>
    <w:p>
      <w:pPr>
        <w:snapToGrid w:val="0"/>
        <w:spacing w:line="360" w:lineRule="auto"/>
        <w:jc w:val="center"/>
        <w:rPr>
          <w:rFonts w:ascii="仿宋" w:hAnsi="仿宋" w:eastAsia="仿宋" w:cs="仿宋_GB2312"/>
          <w:color w:val="000000" w:themeColor="text1"/>
          <w:sz w:val="30"/>
          <w:szCs w:val="30"/>
          <w:highlight w:val="none"/>
          <w14:textFill>
            <w14:solidFill>
              <w14:schemeClr w14:val="tx1"/>
            </w14:solidFill>
          </w14:textFill>
        </w:rPr>
      </w:pPr>
      <w:r>
        <w:rPr>
          <w:rFonts w:hint="eastAsia" w:ascii="仿宋" w:hAnsi="仿宋" w:eastAsia="仿宋" w:cs="仿宋_GB2312"/>
          <w:color w:val="000000" w:themeColor="text1"/>
          <w:sz w:val="30"/>
          <w:szCs w:val="30"/>
          <w:highlight w:val="none"/>
          <w14:textFill>
            <w14:solidFill>
              <w14:schemeClr w14:val="tx1"/>
            </w14:solidFill>
          </w14:textFill>
        </w:rPr>
        <w:t>编号</w:t>
      </w:r>
      <w:r>
        <w:rPr>
          <w:rFonts w:ascii="仿宋" w:hAnsi="仿宋" w:eastAsia="仿宋" w:cs="仿宋_GB2312"/>
          <w:color w:val="000000" w:themeColor="text1"/>
          <w:sz w:val="30"/>
          <w:szCs w:val="30"/>
          <w:highlight w:val="none"/>
          <w14:textFill>
            <w14:solidFill>
              <w14:schemeClr w14:val="tx1"/>
            </w14:solidFill>
          </w14:textFill>
        </w:rPr>
        <w:t>:</w:t>
      </w:r>
      <w:r>
        <w:rPr>
          <w:rFonts w:hint="eastAsia" w:ascii="仿宋" w:hAnsi="仿宋" w:eastAsia="仿宋" w:cs="仿宋_GB2312"/>
          <w:color w:val="000000" w:themeColor="text1"/>
          <w:sz w:val="30"/>
          <w:szCs w:val="30"/>
          <w:highlight w:val="none"/>
          <w14:textFill>
            <w14:solidFill>
              <w14:schemeClr w14:val="tx1"/>
            </w14:solidFill>
          </w14:textFill>
        </w:rPr>
        <w:t>QTCG-GK-2022-130（3）</w:t>
      </w:r>
    </w:p>
    <w:p>
      <w:pPr>
        <w:adjustRightInd/>
        <w:spacing w:line="360" w:lineRule="auto"/>
        <w:rPr>
          <w:rFonts w:ascii="仿宋" w:hAnsi="仿宋" w:eastAsia="仿宋" w:cs="仿宋_GB2312"/>
          <w:color w:val="000000" w:themeColor="text1"/>
          <w:sz w:val="28"/>
          <w:szCs w:val="20"/>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r>
        <w:rPr>
          <w:rFonts w:ascii="仿宋" w:hAnsi="仿宋" w:eastAsia="仿宋" w:cs="仿宋_GB2312"/>
          <w:b/>
          <w:color w:val="000000" w:themeColor="text1"/>
          <w:sz w:val="44"/>
          <w:szCs w:val="44"/>
          <w:highlight w:val="none"/>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 xml:space="preserve">采购人：杭州市钱塘区交通运输局 </w:t>
      </w: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采购代理机构：浙江省成套工程有限公司</w:t>
      </w:r>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〇</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二二年九月</w:t>
      </w:r>
      <w:r>
        <w:rPr>
          <w:rFonts w:ascii="仿宋" w:hAnsi="仿宋" w:eastAsia="仿宋" w:cs="仿宋_GB2312"/>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目</w:t>
      </w:r>
      <w:r>
        <w:rPr>
          <w:rFonts w:ascii="仿宋" w:hAnsi="仿宋" w:eastAsia="仿宋" w:cs="仿宋_GB2312"/>
          <w:b/>
          <w:color w:val="000000" w:themeColor="text1"/>
          <w:sz w:val="48"/>
          <w:szCs w:val="48"/>
          <w:highlight w:val="none"/>
          <w14:textFill>
            <w14:solidFill>
              <w14:schemeClr w14:val="tx1"/>
            </w14:solidFill>
          </w14:textFill>
        </w:rPr>
        <w:t xml:space="preserve">  </w:t>
      </w:r>
      <w:r>
        <w:rPr>
          <w:rFonts w:hint="eastAsia" w:ascii="仿宋" w:hAnsi="仿宋" w:eastAsia="仿宋" w:cs="仿宋_GB2312"/>
          <w:b/>
          <w:color w:val="000000" w:themeColor="text1"/>
          <w:sz w:val="48"/>
          <w:szCs w:val="48"/>
          <w:highlight w:val="none"/>
          <w14:textFill>
            <w14:solidFill>
              <w14:schemeClr w14:val="tx1"/>
            </w14:solidFill>
          </w14:textFill>
        </w:rPr>
        <w:t>录</w:t>
      </w: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rPr>
          <w:rFonts w:ascii="仿宋" w:hAnsi="仿宋" w:eastAsia="仿宋" w:cs="仿宋_GB2312"/>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第一部分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第二部分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第三部分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第四部分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第五部分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第六部分</w:t>
      </w:r>
      <w:r>
        <w:rPr>
          <w:rFonts w:ascii="仿宋" w:hAnsi="仿宋" w:eastAsia="仿宋" w:cs="仿宋_GB2312"/>
          <w:color w:val="000000" w:themeColor="text1"/>
          <w:sz w:val="32"/>
          <w:szCs w:val="32"/>
          <w:highlight w:val="none"/>
          <w14:textFill>
            <w14:solidFill>
              <w14:schemeClr w14:val="tx1"/>
            </w14:solidFill>
          </w14:textFill>
        </w:rPr>
        <w:t xml:space="preserve">      </w:t>
      </w:r>
      <w:r>
        <w:rPr>
          <w:rFonts w:hint="eastAsia" w:ascii="仿宋" w:hAnsi="仿宋" w:eastAsia="仿宋" w:cs="仿宋_GB2312"/>
          <w:color w:val="000000" w:themeColor="text1"/>
          <w:sz w:val="32"/>
          <w:szCs w:val="32"/>
          <w:highlight w:val="none"/>
          <w14:textFill>
            <w14:solidFill>
              <w14:schemeClr w14:val="tx1"/>
            </w14:solidFill>
          </w14:textFill>
        </w:rPr>
        <w:t>应提交的有关格式范例</w:t>
      </w: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highlight w:val="none"/>
          <w14:textFill>
            <w14:solidFill>
              <w14:schemeClr w14:val="tx1"/>
            </w14:solidFill>
          </w14:textFill>
        </w:rPr>
      </w:pPr>
    </w:p>
    <w:p>
      <w:pPr>
        <w:spacing w:line="360" w:lineRule="auto"/>
        <w:rPr>
          <w:rFonts w:ascii="仿宋" w:hAnsi="仿宋" w:eastAsia="仿宋" w:cs="仿宋_GB2312"/>
          <w:color w:val="000000" w:themeColor="text1"/>
          <w:sz w:val="24"/>
          <w:highlight w:val="none"/>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highlight w:val="none"/>
          <w14:textFill>
            <w14:solidFill>
              <w14:schemeClr w14:val="tx1"/>
            </w14:solidFill>
          </w14:textFill>
        </w:rPr>
      </w:pPr>
      <w:bookmarkStart w:id="3" w:name="第一部分"/>
      <w:r>
        <w:rPr>
          <w:rFonts w:ascii="仿宋" w:hAnsi="仿宋" w:eastAsia="仿宋" w:cs="仿宋_GB2312"/>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highlight w:val="none"/>
          <w14:textFill>
            <w14:solidFill>
              <w14:schemeClr w14:val="tx1"/>
            </w14:solidFill>
          </w14:textFill>
        </w:rPr>
        <w:t>第一部分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20"/>
          <w:highlight w:val="none"/>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S211钱塘段（江东大道至红十五线）公路工程全过程造价咨询服务项目的潜在投标人应在政采云平台（</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rFonts w:hint="eastAsia"/>
          <w:color w:val="000000" w:themeColor="text1"/>
          <w:highlight w:val="none"/>
          <w14:textFill>
            <w14:solidFill>
              <w14:schemeClr w14:val="tx1"/>
            </w14:solidFill>
          </w14:textFill>
        </w:rPr>
        <w:fldChar w:fldCharType="separate"/>
      </w:r>
      <w:r>
        <w:rPr>
          <w:rStyle w:val="76"/>
          <w:rFonts w:ascii="仿宋_GB2312" w:hAnsi="仿宋" w:eastAsia="仿宋_GB2312" w:cs="Times New Roman"/>
          <w:snapToGrid/>
          <w:color w:val="000000" w:themeColor="text1"/>
          <w:kern w:val="2"/>
          <w:sz w:val="24"/>
          <w:szCs w:val="24"/>
          <w:highlight w:val="none"/>
          <w14:textFill>
            <w14:solidFill>
              <w14:schemeClr w14:val="tx1"/>
            </w14:solidFill>
          </w14:textFill>
        </w:rPr>
        <w:t>https://www.zcygov.cn/）获取（下载）招标文件，并于</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10</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17</w:t>
      </w:r>
      <w:r>
        <w:rPr>
          <w:rFonts w:hint="eastAsia" w:ascii="仿宋_GB2312" w:hAnsi="仿宋" w:eastAsia="仿宋_GB2312"/>
          <w:color w:val="000000" w:themeColor="text1"/>
          <w:sz w:val="24"/>
          <w:highlight w:val="none"/>
          <w:u w:val="single"/>
          <w14:textFill>
            <w14:solidFill>
              <w14:schemeClr w14:val="tx1"/>
            </w14:solidFill>
          </w14:textFill>
        </w:rPr>
        <w:t>日09点30分</w:t>
      </w:r>
      <w:r>
        <w:rPr>
          <w:rFonts w:hint="eastAsia" w:ascii="仿宋_GB2312" w:hAnsi="仿宋" w:eastAsia="仿宋_GB2312"/>
          <w:bCs/>
          <w:color w:val="000000" w:themeColor="text1"/>
          <w:sz w:val="24"/>
          <w:highlight w:val="none"/>
          <w:u w:val="single"/>
          <w14:textFill>
            <w14:solidFill>
              <w14:schemeClr w14:val="tx1"/>
            </w14:solidFill>
          </w14:textFill>
        </w:rPr>
        <w:t>00秒</w:t>
      </w:r>
      <w:r>
        <w:rPr>
          <w:rFonts w:hint="eastAsia" w:ascii="仿宋_GB2312" w:hAnsi="仿宋" w:eastAsia="仿宋_GB2312"/>
          <w:bCs/>
          <w:color w:val="000000" w:themeColor="text1"/>
          <w:sz w:val="24"/>
          <w:highlight w:val="none"/>
          <w:u w:val="single"/>
          <w14:textFill>
            <w14:solidFill>
              <w14:schemeClr w14:val="tx1"/>
            </w14:solidFill>
          </w14:textFill>
        </w:rPr>
        <w:fldChar w:fldCharType="end"/>
      </w:r>
      <w:r>
        <w:rPr>
          <w:rFonts w:hint="eastAsia" w:ascii="仿宋_GB2312" w:hAnsi="仿宋" w:eastAsia="仿宋_GB2312"/>
          <w:bCs/>
          <w:color w:val="000000" w:themeColor="text1"/>
          <w:sz w:val="24"/>
          <w:highlight w:val="none"/>
          <w14:textFill>
            <w14:solidFill>
              <w14:schemeClr w14:val="tx1"/>
            </w14:solidFill>
          </w14:textFill>
        </w:rPr>
        <w:t>（北京时间）前</w:t>
      </w:r>
      <w:r>
        <w:rPr>
          <w:rFonts w:hint="eastAsia" w:ascii="仿宋_GB2312" w:hAnsi="仿宋" w:eastAsia="仿宋_GB2312"/>
          <w:color w:val="000000" w:themeColor="text1"/>
          <w:sz w:val="24"/>
          <w:highlight w:val="none"/>
          <w14:textFill>
            <w14:solidFill>
              <w14:schemeClr w14:val="tx1"/>
            </w14:solidFill>
          </w14:textFill>
        </w:rPr>
        <w:t>递交（上传）投标文件。</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一、项目基本情况</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项目编号：</w:t>
      </w:r>
      <w:r>
        <w:rPr>
          <w:rFonts w:hint="eastAsia" w:ascii="仿宋_GB2312" w:hAnsi="仿宋" w:eastAsia="仿宋_GB2312"/>
          <w:color w:val="000000" w:themeColor="text1"/>
          <w:sz w:val="24"/>
          <w:highlight w:val="none"/>
          <w14:textFill>
            <w14:solidFill>
              <w14:schemeClr w14:val="tx1"/>
            </w14:solidFill>
          </w14:textFill>
        </w:rPr>
        <w:t>QTCG-GK-2022-130（3）</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b/>
          <w:color w:val="000000" w:themeColor="text1"/>
          <w:sz w:val="24"/>
          <w:highlight w:val="none"/>
          <w14:textFill>
            <w14:solidFill>
              <w14:schemeClr w14:val="tx1"/>
            </w14:solidFill>
          </w14:textFill>
        </w:rPr>
        <w:t xml:space="preserve"> 项目名称：</w:t>
      </w:r>
      <w:r>
        <w:rPr>
          <w:rFonts w:hint="eastAsia" w:ascii="仿宋_GB2312" w:hAnsi="仿宋" w:eastAsia="仿宋_GB2312"/>
          <w:color w:val="000000" w:themeColor="text1"/>
          <w:sz w:val="24"/>
          <w:highlight w:val="none"/>
          <w14:textFill>
            <w14:solidFill>
              <w14:schemeClr w14:val="tx1"/>
            </w14:solidFill>
          </w14:textFill>
        </w:rPr>
        <w:t>S211钱塘段（江东大道至红十五线）公路工程全过程造价咨询服务项目</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b/>
          <w:color w:val="000000" w:themeColor="text1"/>
          <w:sz w:val="24"/>
          <w:highlight w:val="none"/>
          <w14:textFill>
            <w14:solidFill>
              <w14:schemeClr w14:val="tx1"/>
            </w14:solidFill>
          </w14:textFill>
        </w:rPr>
        <w:t xml:space="preserve"> 预算金额（元）：</w:t>
      </w:r>
      <w:r>
        <w:rPr>
          <w:rFonts w:hint="eastAsia" w:ascii="仿宋_GB2312" w:hAnsi="仿宋" w:eastAsia="仿宋_GB2312"/>
          <w:color w:val="000000" w:themeColor="text1"/>
          <w:sz w:val="24"/>
          <w:highlight w:val="none"/>
          <w14:textFill>
            <w14:solidFill>
              <w14:schemeClr w14:val="tx1"/>
            </w14:solidFill>
          </w14:textFill>
        </w:rPr>
        <w:t>9000000</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最高限价（元）：</w:t>
      </w:r>
      <w:r>
        <w:rPr>
          <w:rFonts w:hint="eastAsia" w:ascii="仿宋_GB2312" w:hAnsi="仿宋" w:eastAsia="仿宋_GB2312"/>
          <w:color w:val="000000" w:themeColor="text1"/>
          <w:sz w:val="24"/>
          <w:highlight w:val="none"/>
          <w14:textFill>
            <w14:solidFill>
              <w14:schemeClr w14:val="tx1"/>
            </w14:solidFill>
          </w14:textFill>
        </w:rPr>
        <w:t>8769300</w:t>
      </w:r>
    </w:p>
    <w:p>
      <w:pPr>
        <w:pStyle w:val="6"/>
        <w:spacing w:line="360" w:lineRule="auto"/>
        <w:ind w:firstLine="480"/>
        <w:rPr>
          <w:rFonts w:ascii="仿宋_GB2312" w:hAnsi="仿宋" w:eastAsia="仿宋_GB2312"/>
          <w:bCs/>
          <w:snapToGrid/>
          <w:color w:val="000000" w:themeColor="text1"/>
          <w:kern w:val="2"/>
          <w:sz w:val="24"/>
          <w:szCs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采购需求：</w:t>
      </w:r>
      <w:r>
        <w:rPr>
          <w:rFonts w:hint="eastAsia" w:ascii="仿宋_GB2312" w:hAnsi="仿宋" w:eastAsia="仿宋_GB2312"/>
          <w:snapToGrid/>
          <w:color w:val="000000" w:themeColor="text1"/>
          <w:kern w:val="2"/>
          <w:sz w:val="24"/>
          <w:szCs w:val="24"/>
          <w:highlight w:val="none"/>
          <w14:textFill>
            <w14:solidFill>
              <w14:schemeClr w14:val="tx1"/>
            </w14:solidFill>
          </w14:textFill>
        </w:rPr>
        <w:t>S211钱塘段（江东大道至红十五线）公路工程全过程造价咨询服务项目</w:t>
      </w:r>
      <w:r>
        <w:rPr>
          <w:rFonts w:ascii="仿宋_GB2312" w:hAnsi="仿宋" w:eastAsia="仿宋_GB2312"/>
          <w:bCs/>
          <w:snapToGrid/>
          <w:color w:val="000000" w:themeColor="text1"/>
          <w:kern w:val="2"/>
          <w:sz w:val="24"/>
          <w:szCs w:val="24"/>
          <w:highlight w:val="none"/>
          <w14:textFill>
            <w14:solidFill>
              <w14:schemeClr w14:val="tx1"/>
            </w14:solidFill>
          </w14:textFill>
        </w:rPr>
        <w:t>。</w:t>
      </w:r>
      <w:r>
        <w:rPr>
          <w:rFonts w:hint="eastAsia" w:ascii="仿宋_GB2312" w:hAnsi="仿宋" w:eastAsia="仿宋_GB2312"/>
          <w:bCs/>
          <w:snapToGrid/>
          <w:color w:val="000000" w:themeColor="text1"/>
          <w:kern w:val="2"/>
          <w:sz w:val="24"/>
          <w:szCs w:val="24"/>
          <w:highlight w:val="none"/>
          <w14:textFill>
            <w14:solidFill>
              <w14:schemeClr w14:val="tx1"/>
            </w14:solidFill>
          </w14:textFill>
        </w:rPr>
        <w:t>详见招标文件第三部分采购需求。</w:t>
      </w:r>
    </w:p>
    <w:p>
      <w:pPr>
        <w:pStyle w:val="129"/>
        <w:ind w:firstLine="482"/>
        <w:outlineLvl w:val="2"/>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合同履约期限：</w:t>
      </w:r>
      <w:r>
        <w:rPr>
          <w:rFonts w:ascii="仿宋_GB2312" w:hAnsi="仿宋" w:eastAsia="仿宋_GB2312"/>
          <w:b/>
          <w:color w:val="000000" w:themeColor="text1"/>
          <w:szCs w:val="24"/>
          <w:highlight w:val="none"/>
          <w14:textFill>
            <w14:solidFill>
              <w14:schemeClr w14:val="tx1"/>
            </w14:solidFill>
          </w14:textFill>
        </w:rPr>
        <w:t>按采购文件要求</w:t>
      </w:r>
    </w:p>
    <w:p>
      <w:pPr>
        <w:pStyle w:val="6"/>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r>
        <w:rPr>
          <w:rFonts w:ascii="Wingdings" w:hAnsi="Wingdings" w:eastAsia="MS Gothic" w:cs="Arial"/>
          <w:color w:val="000000" w:themeColor="text1"/>
          <w:kern w:val="0"/>
          <w:sz w:val="24"/>
          <w:szCs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szCs w:val="24"/>
              <w:highlight w:val="none"/>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1.</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s="仿宋_GB2312"/>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_GB2312"/>
          <w:snapToGrid w:val="0"/>
          <w:color w:val="000000" w:themeColor="text1"/>
          <w:kern w:val="28"/>
          <w:sz w:val="24"/>
          <w:szCs w:val="20"/>
          <w:highlight w:val="none"/>
          <w14:textFill>
            <w14:solidFill>
              <w14:schemeClr w14:val="tx1"/>
            </w14:solidFill>
          </w14:textFill>
        </w:rPr>
        <w:t>落实政府采购政策需满足的资格要求：</w:t>
      </w:r>
      <w:r>
        <w:rPr>
          <w:rFonts w:ascii="Wingdings" w:hAnsi="Wingdings" w:eastAsia="MS Gothic" w:cs="Arial"/>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928616923"/>
          <w:showingPlcHdr/>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r>
        <w:rPr>
          <w:rFonts w:hint="eastAsia" w:ascii="仿宋_GB2312" w:hAnsi="仿宋" w:eastAsia="仿宋_GB2312"/>
          <w:color w:val="000000" w:themeColor="text1"/>
          <w:sz w:val="24"/>
          <w:highlight w:val="none"/>
          <w14:textFill>
            <w14:solidFill>
              <w14:schemeClr w14:val="tx1"/>
            </w14:solidFill>
          </w14:textFill>
        </w:rPr>
        <w:t>无；</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3.本项目的特定资格要求：</w:t>
      </w:r>
      <w:r>
        <w:rPr>
          <w:rFonts w:hint="eastAsia" w:ascii="仿宋_GB2312" w:hAnsi="仿宋" w:eastAsia="仿宋_GB2312"/>
          <w:color w:val="000000" w:themeColor="text1"/>
          <w:sz w:val="24"/>
          <w:highlight w:val="none"/>
          <w14:textFill>
            <w14:solidFill>
              <w14:schemeClr w14:val="tx1"/>
            </w14:solidFill>
          </w14:textFill>
        </w:rPr>
        <w:t>投标人承担财务跟踪审计工作的单位须具有会计师事务所执业证书；</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w:t>
      </w:r>
      <w:r>
        <w:rPr>
          <w:rFonts w:hint="eastAsia" w:ascii="仿宋_GB2312" w:hAnsi="仿宋" w:eastAsia="仿宋_GB2312"/>
          <w:color w:val="000000" w:themeColor="text1"/>
          <w:sz w:val="24"/>
          <w:highlight w:val="none"/>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w:t>
      </w:r>
      <w:r>
        <w:rPr>
          <w:rFonts w:hint="eastAsia" w:ascii="仿宋_GB2312" w:hAnsi="仿宋" w:eastAsia="仿宋_GB2312" w:cs="仿宋_GB2312"/>
          <w:color w:val="000000" w:themeColor="text1"/>
          <w:sz w:val="24"/>
          <w:highlight w:val="none"/>
          <w:lang w:eastAsia="zh-CN"/>
          <w14:textFill>
            <w14:solidFill>
              <w14:schemeClr w14:val="tx1"/>
            </w14:solidFill>
          </w14:textFill>
        </w:rPr>
        <w:t>、工程量清单编制</w:t>
      </w:r>
      <w:r>
        <w:rPr>
          <w:rFonts w:ascii="仿宋_GB2312" w:hAnsi="仿宋" w:eastAsia="仿宋_GB2312" w:cs="仿宋_GB2312"/>
          <w:color w:val="000000" w:themeColor="text1"/>
          <w:sz w:val="24"/>
          <w:highlight w:val="none"/>
          <w14:textFill>
            <w14:solidFill>
              <w14:schemeClr w14:val="tx1"/>
            </w14:solidFill>
          </w14:textFill>
        </w:rPr>
        <w:t>等服务后</w:t>
      </w:r>
      <w:r>
        <w:rPr>
          <w:rFonts w:hint="eastAsia" w:ascii="仿宋_GB2312" w:hAnsi="仿宋" w:eastAsia="仿宋_GB2312" w:cs="仿宋_GB2312"/>
          <w:color w:val="000000" w:themeColor="text1"/>
          <w:sz w:val="24"/>
          <w:highlight w:val="none"/>
          <w14:textFill>
            <w14:solidFill>
              <w14:schemeClr w14:val="tx1"/>
            </w14:solidFill>
          </w14:textFill>
        </w:rPr>
        <w:t>不得</w:t>
      </w:r>
      <w:r>
        <w:rPr>
          <w:rFonts w:ascii="仿宋_GB2312" w:hAnsi="仿宋" w:eastAsia="仿宋_GB2312" w:cs="仿宋_GB2312"/>
          <w:color w:val="000000" w:themeColor="text1"/>
          <w:sz w:val="24"/>
          <w:highlight w:val="none"/>
          <w14:textFill>
            <w14:solidFill>
              <w14:schemeClr w14:val="tx1"/>
            </w14:solidFill>
          </w14:textFill>
        </w:rPr>
        <w:t>再参加该采购项目的其他采购活动。</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5、本次招标接受联合体投标。联合体投标的，联合体成员单位不超过2家，组成联合体的各方不得再与其他单位组成联合体，否则视为否决投标，联合体投标的由联合体牵头单位负责投标事宜。</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三、获取招标文件</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14:textFill>
            <w14:solidFill>
              <w14:schemeClr w14:val="tx1"/>
            </w14:solidFill>
          </w14:textFill>
        </w:rPr>
        <w:t>/至</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10</w:t>
      </w:r>
      <w:r>
        <w:rPr>
          <w:rFonts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17</w:t>
      </w:r>
      <w:r>
        <w:rPr>
          <w:rFonts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14:textFill>
            <w14:solidFill>
              <w14:schemeClr w14:val="tx1"/>
            </w14:solidFill>
          </w14:textFill>
        </w:rPr>
        <w:t>，每天上午</w:t>
      </w:r>
      <w:r>
        <w:rPr>
          <w:rFonts w:ascii="仿宋_GB2312" w:hAnsi="仿宋" w:eastAsia="仿宋_GB2312"/>
          <w:color w:val="000000" w:themeColor="text1"/>
          <w:sz w:val="24"/>
          <w:highlight w:val="none"/>
          <w14:textFill>
            <w14:solidFill>
              <w14:schemeClr w14:val="tx1"/>
            </w14:solidFill>
          </w14:textFill>
        </w:rPr>
        <w:t xml:space="preserve">00:00至12:00 </w:t>
      </w:r>
      <w:r>
        <w:rPr>
          <w:rFonts w:hint="eastAsia" w:ascii="仿宋_GB2312" w:hAnsi="仿宋" w:eastAsia="仿宋_GB2312"/>
          <w:color w:val="000000" w:themeColor="text1"/>
          <w:sz w:val="24"/>
          <w:highlight w:val="none"/>
          <w14:textFill>
            <w14:solidFill>
              <w14:schemeClr w14:val="tx1"/>
            </w14:solidFill>
          </w14:textFill>
        </w:rPr>
        <w:t>，下午</w:t>
      </w:r>
      <w:r>
        <w:rPr>
          <w:rFonts w:ascii="仿宋_GB2312" w:hAnsi="仿宋" w:eastAsia="仿宋_GB2312"/>
          <w:color w:val="000000" w:themeColor="text1"/>
          <w:sz w:val="24"/>
          <w:highlight w:val="none"/>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售价（元）：</w:t>
      </w:r>
      <w:r>
        <w:rPr>
          <w:rFonts w:ascii="仿宋_GB2312" w:hAnsi="仿宋" w:eastAsia="仿宋_GB2312"/>
          <w:color w:val="000000" w:themeColor="text1"/>
          <w:sz w:val="24"/>
          <w:highlight w:val="none"/>
          <w14:textFill>
            <w14:solidFill>
              <w14:schemeClr w14:val="tx1"/>
            </w14:solidFill>
          </w14:textFill>
        </w:rPr>
        <w:t xml:space="preserve">0 </w:t>
      </w:r>
      <w:r>
        <w:rPr>
          <w:rFonts w:ascii="仿宋_GB2312" w:hAnsi="仿宋" w:eastAsia="仿宋_GB2312"/>
          <w:color w:val="000000" w:themeColor="text1"/>
          <w:sz w:val="24"/>
          <w:highlight w:val="none"/>
          <w14:textFill>
            <w14:solidFill>
              <w14:schemeClr w14:val="tx1"/>
            </w14:solidFill>
          </w14:textFill>
        </w:rPr>
        <w:tab/>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提交投标文件截止时间：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10</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17</w:t>
      </w:r>
      <w:r>
        <w:rPr>
          <w:rFonts w:hint="eastAsia" w:ascii="仿宋_GB2312" w:hAnsi="仿宋" w:eastAsia="仿宋_GB2312"/>
          <w:color w:val="000000" w:themeColor="text1"/>
          <w:sz w:val="24"/>
          <w:highlight w:val="none"/>
          <w:u w:val="single"/>
          <w14:textFill>
            <w14:solidFill>
              <w14:schemeClr w14:val="tx1"/>
            </w14:solidFill>
          </w14:textFill>
        </w:rPr>
        <w:t>日09点30分</w:t>
      </w:r>
      <w:r>
        <w:rPr>
          <w:rFonts w:hint="eastAsia" w:ascii="仿宋_GB2312" w:hAnsi="仿宋" w:eastAsia="仿宋_GB2312"/>
          <w:bCs/>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bCs/>
          <w:color w:val="000000" w:themeColor="text1"/>
          <w:sz w:val="24"/>
          <w:highlight w:val="none"/>
          <w:u w:val="singl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开标时间：</w:t>
      </w:r>
      <w:r>
        <w:rPr>
          <w:rFonts w:hint="eastAsia" w:ascii="仿宋_GB2312" w:hAnsi="仿宋" w:eastAsia="仿宋_GB2312"/>
          <w:color w:val="000000" w:themeColor="text1"/>
          <w:sz w:val="24"/>
          <w:highlight w:val="none"/>
          <w:u w:val="single"/>
          <w14:textFill>
            <w14:solidFill>
              <w14:schemeClr w14:val="tx1"/>
            </w14:solidFill>
          </w14:textFill>
        </w:rPr>
        <w:t>2022</w:t>
      </w:r>
      <w:r>
        <w:rPr>
          <w:rFonts w:ascii="仿宋_GB2312" w:hAnsi="仿宋" w:eastAsia="仿宋_GB2312"/>
          <w:color w:val="000000" w:themeColor="text1"/>
          <w:sz w:val="24"/>
          <w:highlight w:val="none"/>
          <w:u w:val="single"/>
          <w14:textFill>
            <w14:solidFill>
              <w14:schemeClr w14:val="tx1"/>
            </w14:solidFill>
          </w14:textFill>
        </w:rPr>
        <w:t>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10</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17</w:t>
      </w:r>
      <w:r>
        <w:rPr>
          <w:rFonts w:hint="eastAsia" w:ascii="仿宋_GB2312" w:hAnsi="仿宋" w:eastAsia="仿宋_GB2312"/>
          <w:color w:val="000000" w:themeColor="text1"/>
          <w:sz w:val="24"/>
          <w:highlight w:val="none"/>
          <w:u w:val="single"/>
          <w14:textFill>
            <w14:solidFill>
              <w14:schemeClr w14:val="tx1"/>
            </w14:solidFill>
          </w14:textFill>
        </w:rPr>
        <w:t>日09点30分</w:t>
      </w:r>
      <w:r>
        <w:rPr>
          <w:rFonts w:hint="eastAsia" w:ascii="仿宋_GB2312" w:hAnsi="仿宋" w:eastAsia="仿宋_GB2312"/>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开标地点（网址）：</w:t>
      </w:r>
      <w:r>
        <w:rPr>
          <w:rFonts w:ascii="仿宋_GB2312" w:hAnsi="仿宋" w:eastAsia="仿宋_GB2312"/>
          <w:color w:val="000000" w:themeColor="text1"/>
          <w:sz w:val="24"/>
          <w:highlight w:val="none"/>
          <w14:textFill>
            <w14:solidFill>
              <w14:schemeClr w14:val="tx1"/>
            </w14:solidFill>
          </w14:textFill>
        </w:rPr>
        <w:t>政</w:t>
      </w:r>
      <w:r>
        <w:rPr>
          <w:rFonts w:hint="eastAsia" w:ascii="仿宋_GB2312" w:hAnsi="仿宋" w:eastAsia="仿宋_GB2312"/>
          <w:color w:val="000000" w:themeColor="text1"/>
          <w:sz w:val="24"/>
          <w:highlight w:val="none"/>
          <w14:textFill>
            <w14:solidFill>
              <w14:schemeClr w14:val="tx1"/>
            </w14:solidFill>
          </w14:textFill>
        </w:rPr>
        <w:t>采云平台（</w:t>
      </w:r>
      <w:r>
        <w:rPr>
          <w:rFonts w:ascii="仿宋_GB2312" w:hAnsi="仿宋" w:eastAsia="仿宋_GB2312"/>
          <w:color w:val="000000" w:themeColor="text1"/>
          <w:sz w:val="24"/>
          <w:highlight w:val="none"/>
          <w14:textFill>
            <w14:solidFill>
              <w14:schemeClr w14:val="tx1"/>
            </w14:solidFill>
          </w14:textFill>
        </w:rPr>
        <w:t>https://www.zcygov.cn/）</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五、采购意向公开链接</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https://zfcg.czt.zj.gov.cn/innerUsed_noticeDetails/index.html?noticeId=8584845&amp;utm=web-government-front.49399a16.0.0.9c475590fe6711ecb1d6235a6faf9df4</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六、公告期限</w:t>
      </w:r>
      <w:r>
        <w:rPr>
          <w:rFonts w:ascii="仿宋_GB2312" w:hAnsi="仿宋" w:eastAsia="仿宋_GB2312"/>
          <w:b/>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自本公告发布之日起</w:t>
      </w:r>
      <w:r>
        <w:rPr>
          <w:rFonts w:ascii="仿宋_GB2312" w:hAnsi="仿宋" w:eastAsia="仿宋_GB2312"/>
          <w:color w:val="000000" w:themeColor="text1"/>
          <w:sz w:val="24"/>
          <w:highlight w:val="none"/>
          <w14:textFill>
            <w14:solidFill>
              <w14:schemeClr w14:val="tx1"/>
            </w14:solidFill>
          </w14:textFill>
        </w:rPr>
        <w:t>5个工作日。</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七、其他补充事宜</w:t>
      </w:r>
    </w:p>
    <w:p>
      <w:pPr>
        <w:pStyle w:val="58"/>
        <w:spacing w:before="0" w:beforeAutospacing="0" w:after="0" w:afterAutospacing="0" w:line="360" w:lineRule="auto"/>
        <w:ind w:firstLine="480" w:firstLineChars="200"/>
        <w:rPr>
          <w:rFonts w:ascii="仿宋_GB2312" w:hAnsi="仿宋" w:eastAsia="仿宋_GB2312" w:cs="仿宋_GB2312"/>
          <w:color w:val="000000" w:themeColor="text1"/>
          <w:kern w:val="2"/>
          <w:highlight w:val="none"/>
          <w14:textFill>
            <w14:solidFill>
              <w14:schemeClr w14:val="tx1"/>
            </w14:solidFill>
          </w14:textFill>
        </w:rPr>
      </w:pPr>
      <w:r>
        <w:rPr>
          <w:rFonts w:ascii="仿宋_GB2312" w:hAnsi="仿宋" w:eastAsia="仿宋_GB2312" w:cs="仿宋_GB2312"/>
          <w:color w:val="000000" w:themeColor="text1"/>
          <w:kern w:val="2"/>
          <w:highlight w:val="none"/>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8"/>
        <w:spacing w:before="0" w:beforeAutospacing="0" w:after="0" w:afterAutospacing="0" w:line="360" w:lineRule="auto"/>
        <w:rPr>
          <w:rFonts w:ascii="仿宋_GB2312" w:hAnsi="仿宋" w:eastAsia="仿宋_GB2312" w:cs="仿宋_GB2312"/>
          <w:color w:val="000000" w:themeColor="text1"/>
          <w:kern w:val="2"/>
          <w:highlight w:val="none"/>
          <w14:textFill>
            <w14:solidFill>
              <w14:schemeClr w14:val="tx1"/>
            </w14:solidFill>
          </w14:textFill>
        </w:rPr>
      </w:pPr>
      <w:r>
        <w:rPr>
          <w:rFonts w:ascii="仿宋_GB2312" w:hAnsi="仿宋" w:eastAsia="仿宋_GB2312" w:cs="仿宋_GB2312"/>
          <w:color w:val="000000" w:themeColor="text1"/>
          <w:kern w:val="2"/>
          <w:highlight w:val="none"/>
          <w14:textFill>
            <w14:solidFill>
              <w14:schemeClr w14:val="tx1"/>
            </w14:solidFill>
          </w14:textFill>
        </w:rPr>
        <w:t>   </w:t>
      </w:r>
      <w:r>
        <w:rPr>
          <w:rFonts w:hint="eastAsia" w:ascii="仿宋_GB2312" w:hAnsi="仿宋" w:eastAsia="仿宋_GB2312" w:cs="仿宋_GB2312"/>
          <w:color w:val="000000" w:themeColor="text1"/>
          <w:kern w:val="2"/>
          <w:highlight w:val="none"/>
          <w14:textFill>
            <w14:solidFill>
              <w14:schemeClr w14:val="tx1"/>
            </w14:solidFill>
          </w14:textFill>
        </w:rPr>
        <w:t xml:space="preserve"> </w:t>
      </w:r>
      <w:r>
        <w:rPr>
          <w:rFonts w:ascii="仿宋_GB2312" w:hAnsi="仿宋" w:eastAsia="仿宋_GB2312" w:cs="仿宋_GB2312"/>
          <w:color w:val="000000" w:themeColor="text1"/>
          <w:kern w:val="2"/>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8"/>
        <w:spacing w:before="0" w:beforeAutospacing="0" w:after="0" w:afterAutospacing="0" w:line="360" w:lineRule="auto"/>
        <w:rPr>
          <w:rFonts w:ascii="仿宋_GB2312" w:hAnsi="仿宋" w:eastAsia="仿宋_GB2312" w:cs="仿宋_GB2312"/>
          <w:color w:val="000000" w:themeColor="text1"/>
          <w:kern w:val="2"/>
          <w:highlight w:val="none"/>
          <w14:textFill>
            <w14:solidFill>
              <w14:schemeClr w14:val="tx1"/>
            </w14:solidFill>
          </w14:textFill>
        </w:rPr>
      </w:pPr>
      <w:r>
        <w:rPr>
          <w:rFonts w:ascii="仿宋_GB2312" w:hAnsi="仿宋" w:eastAsia="仿宋_GB2312" w:cs="仿宋_GB2312"/>
          <w:color w:val="000000" w:themeColor="text1"/>
          <w:kern w:val="2"/>
          <w:highlight w:val="none"/>
          <w14:textFill>
            <w14:solidFill>
              <w14:schemeClr w14:val="tx1"/>
            </w14:solidFill>
          </w14:textFill>
        </w:rPr>
        <w:t>   </w:t>
      </w:r>
      <w:r>
        <w:rPr>
          <w:rFonts w:hint="eastAsia" w:ascii="仿宋_GB2312" w:hAnsi="仿宋" w:eastAsia="仿宋_GB2312" w:cs="仿宋_GB2312"/>
          <w:color w:val="000000" w:themeColor="text1"/>
          <w:kern w:val="2"/>
          <w:highlight w:val="none"/>
          <w14:textFill>
            <w14:solidFill>
              <w14:schemeClr w14:val="tx1"/>
            </w14:solidFill>
          </w14:textFill>
        </w:rPr>
        <w:t xml:space="preserve"> </w:t>
      </w:r>
      <w:r>
        <w:rPr>
          <w:rFonts w:ascii="仿宋_GB2312" w:hAnsi="仿宋" w:eastAsia="仿宋_GB2312" w:cs="仿宋_GB2312"/>
          <w:color w:val="000000" w:themeColor="text1"/>
          <w:kern w:val="2"/>
          <w:highlight w:val="none"/>
          <w14:textFill>
            <w14:solidFill>
              <w14:schemeClr w14:val="tx1"/>
            </w14:solidFill>
          </w14:textFill>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hint="eastAsia" w:ascii="仿宋_GB2312" w:hAnsi="仿宋" w:eastAsia="仿宋_GB2312" w:cs="仿宋_GB2312"/>
          <w:color w:val="000000" w:themeColor="text1"/>
          <w:sz w:val="24"/>
          <w:highlight w:val="none"/>
          <w14:textFill>
            <w14:solidFill>
              <w14:schemeClr w14:val="tx1"/>
            </w14:solidFill>
          </w14:textFill>
        </w:rPr>
        <w:t>①</w:t>
      </w:r>
      <w:r>
        <w:rPr>
          <w:rFonts w:ascii="仿宋_GB2312" w:hAnsi="仿宋" w:eastAsia="仿宋_GB2312" w:cs="仿宋_GB2312"/>
          <w:color w:val="000000" w:themeColor="text1"/>
          <w:sz w:val="24"/>
          <w:highlight w:val="none"/>
          <w14:textFill>
            <w14:solidFill>
              <w14:schemeClr w14:val="tx1"/>
            </w14:solidFill>
          </w14:textFill>
        </w:rPr>
        <w:t>电子招投标：本项目以数据电文形式，依托“政府采购云平台（www.zcygov.cn）”进行招投标活动，不接受纸质投标文件</w:t>
      </w:r>
      <w:r>
        <w:rPr>
          <w:rFonts w:hint="eastAsia" w:ascii="仿宋_GB2312" w:hAnsi="仿宋" w:eastAsia="仿宋_GB2312" w:cs="仿宋_GB2312"/>
          <w:color w:val="000000" w:themeColor="text1"/>
          <w:sz w:val="24"/>
          <w:highlight w:val="none"/>
          <w14:textFill>
            <w14:solidFill>
              <w14:schemeClr w14:val="tx1"/>
            </w14:solidFill>
          </w14:textFill>
        </w:rPr>
        <w:t>；②</w:t>
      </w:r>
      <w:r>
        <w:rPr>
          <w:rFonts w:ascii="仿宋_GB2312" w:hAnsi="仿宋" w:eastAsia="仿宋_GB2312" w:cs="仿宋_GB2312"/>
          <w:color w:val="000000" w:themeColor="text1"/>
          <w:sz w:val="24"/>
          <w:highlight w:val="none"/>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w:t>
      </w:r>
      <w:r>
        <w:rPr>
          <w:rFonts w:hint="eastAsia" w:ascii="仿宋_GB2312" w:hAnsi="仿宋" w:eastAsia="仿宋_GB2312" w:cs="仿宋_GB2312"/>
          <w:color w:val="000000" w:themeColor="text1"/>
          <w:sz w:val="24"/>
          <w:highlight w:val="none"/>
          <w14:textFill>
            <w14:solidFill>
              <w14:schemeClr w14:val="tx1"/>
            </w14:solidFill>
          </w14:textFill>
        </w:rPr>
        <w:t>；③</w:t>
      </w:r>
      <w:r>
        <w:rPr>
          <w:rFonts w:ascii="仿宋_GB2312" w:hAnsi="仿宋" w:eastAsia="仿宋_GB2312" w:cs="仿宋_GB2312"/>
          <w:color w:val="000000" w:themeColor="text1"/>
          <w:sz w:val="24"/>
          <w:highlight w:val="none"/>
          <w14:textFill>
            <w14:solidFill>
              <w14:schemeClr w14:val="tx1"/>
            </w14:solidFill>
          </w14:textFill>
        </w:rPr>
        <w:t>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采云平台；进入“项目采购”应用，在获取采购文件菜单中选择项目，获取招标文件；④</w:t>
      </w:r>
      <w:r>
        <w:rPr>
          <w:rFonts w:ascii="仿宋_GB2312" w:hAnsi="仿宋" w:eastAsia="仿宋_GB2312" w:cs="仿宋_GB2312"/>
          <w:color w:val="000000" w:themeColor="text1"/>
          <w:sz w:val="24"/>
          <w:highlight w:val="none"/>
          <w14:textFill>
            <w14:solidFill>
              <w14:schemeClr w14:val="tx1"/>
            </w14:solidFill>
          </w14:textFill>
        </w:rPr>
        <w:t>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hint="eastAsia" w:ascii="仿宋_GB2312" w:hAnsi="仿宋" w:eastAsia="仿宋_GB2312"/>
          <w:color w:val="000000" w:themeColor="text1"/>
          <w:sz w:val="24"/>
          <w:highlight w:val="none"/>
          <w14:textFill>
            <w14:solidFill>
              <w14:schemeClr w14:val="tx1"/>
            </w14:solidFill>
          </w14:textFill>
        </w:rPr>
        <w:t>⑤</w:t>
      </w:r>
      <w:r>
        <w:rPr>
          <w:rFonts w:ascii="仿宋_GB2312" w:hAnsi="仿宋" w:eastAsia="仿宋_GB2312"/>
          <w:color w:val="000000" w:themeColor="text1"/>
          <w:sz w:val="24"/>
          <w:highlight w:val="none"/>
          <w14:textFill>
            <w14:solidFill>
              <w14:schemeClr w14:val="tx1"/>
            </w14:solidFill>
          </w14:textFill>
        </w:rPr>
        <w:t>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⑥</w:t>
      </w:r>
      <w:r>
        <w:rPr>
          <w:rFonts w:ascii="仿宋_GB2312" w:hAnsi="仿宋" w:eastAsia="仿宋_GB2312"/>
          <w:color w:val="000000" w:themeColor="text1"/>
          <w:sz w:val="24"/>
          <w:highlight w:val="none"/>
          <w14:textFill>
            <w14:solidFill>
              <w14:schemeClr w14:val="tx1"/>
            </w14:solidFill>
          </w14:textFill>
        </w:rPr>
        <w:t>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不予处理；⑦</w:t>
      </w:r>
      <w:r>
        <w:rPr>
          <w:rFonts w:ascii="仿宋_GB2312" w:hAnsi="仿宋" w:eastAsia="仿宋_GB2312"/>
          <w:color w:val="000000" w:themeColor="text1"/>
          <w:sz w:val="24"/>
          <w:highlight w:val="none"/>
          <w14:textFill>
            <w14:solidFill>
              <w14:schemeClr w14:val="tx1"/>
            </w14:solidFill>
          </w14:textFill>
        </w:rPr>
        <w:t>不提供招标文件纸质版</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⑧</w:t>
      </w:r>
      <w:r>
        <w:rPr>
          <w:rFonts w:ascii="仿宋_GB2312" w:hAnsi="仿宋" w:eastAsia="仿宋_GB2312" w:cs="仿宋_GB2312"/>
          <w:color w:val="000000" w:themeColor="text1"/>
          <w:sz w:val="24"/>
          <w:highlight w:val="none"/>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⑨</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000000" w:themeColor="text1"/>
          <w:sz w:val="24"/>
          <w:highlight w:val="none"/>
          <w14:textFill>
            <w14:solidFill>
              <w14:schemeClr w14:val="tx1"/>
            </w14:solidFill>
          </w14:textFill>
        </w:rPr>
        <w:t>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八、对本次采购提出询问、质疑、投诉，请按以下方式联系</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1.采购人信息</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名    称：</w:t>
      </w:r>
      <w:r>
        <w:rPr>
          <w:rFonts w:hint="eastAsia" w:ascii="仿宋_GB2312" w:hAnsi="仿宋" w:eastAsia="仿宋_GB2312"/>
          <w:color w:val="000000" w:themeColor="text1"/>
          <w:sz w:val="24"/>
          <w:highlight w:val="none"/>
          <w14:textFill>
            <w14:solidFill>
              <w14:schemeClr w14:val="tx1"/>
            </w14:solidFill>
          </w14:textFill>
        </w:rPr>
        <w:t>杭州市钱塘区交通运输局</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地    址：</w:t>
      </w:r>
      <w:r>
        <w:rPr>
          <w:rFonts w:hint="eastAsia" w:ascii="仿宋_GB2312" w:hAnsi="仿宋" w:eastAsia="仿宋_GB2312"/>
          <w:color w:val="000000" w:themeColor="text1"/>
          <w:sz w:val="24"/>
          <w:highlight w:val="none"/>
          <w14:textFill>
            <w14:solidFill>
              <w14:schemeClr w14:val="tx1"/>
            </w14:solidFill>
          </w14:textFill>
        </w:rPr>
        <w:t>杭州市钱塘区青六北路499号钱塘中心4号楼</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传</w:t>
      </w:r>
      <w:r>
        <w:rPr>
          <w:rFonts w:ascii="仿宋_GB2312" w:hAnsi="仿宋" w:eastAsia="仿宋_GB2312"/>
          <w:color w:val="000000" w:themeColor="text1"/>
          <w:sz w:val="24"/>
          <w:highlight w:val="none"/>
          <w14:textFill>
            <w14:solidFill>
              <w14:schemeClr w14:val="tx1"/>
            </w14:solidFill>
          </w14:textFill>
        </w:rPr>
        <w:t xml:space="preserve">    真：0571-82987894</w:t>
      </w:r>
    </w:p>
    <w:p>
      <w:pPr>
        <w:spacing w:line="360" w:lineRule="auto"/>
        <w:ind w:firstLine="480"/>
        <w:rPr>
          <w:rFonts w:ascii="仿宋_GB2312" w:hAnsi="仿宋" w:eastAsia="仿宋"/>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项目联系人（询问）：余先生</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项目联系方式（询问）：0571-82987892</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质疑联系人：</w:t>
      </w:r>
      <w:r>
        <w:rPr>
          <w:rFonts w:hint="eastAsia" w:ascii="仿宋_GB2312" w:hAnsi="仿宋" w:eastAsia="仿宋_GB2312"/>
          <w:color w:val="000000" w:themeColor="text1"/>
          <w:sz w:val="24"/>
          <w:highlight w:val="none"/>
          <w14:textFill>
            <w14:solidFill>
              <w14:schemeClr w14:val="tx1"/>
            </w14:solidFill>
          </w14:textFill>
        </w:rPr>
        <w:t>李先生</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质疑联系方式：0571-8298789</w:t>
      </w:r>
      <w:r>
        <w:rPr>
          <w:rFonts w:hint="eastAsia" w:ascii="仿宋_GB2312" w:hAnsi="仿宋" w:eastAsia="仿宋_GB2312"/>
          <w:color w:val="000000" w:themeColor="text1"/>
          <w:sz w:val="24"/>
          <w:highlight w:val="none"/>
          <w14:textFill>
            <w14:solidFill>
              <w14:schemeClr w14:val="tx1"/>
            </w14:solidFill>
          </w14:textFill>
        </w:rPr>
        <w:t>3</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2.采购代理机构信息            </w:t>
      </w:r>
    </w:p>
    <w:p>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名</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称：</w:t>
      </w:r>
      <w:r>
        <w:rPr>
          <w:rFonts w:ascii="仿宋_GB2312" w:hAnsi="仿宋" w:eastAsia="仿宋_GB2312"/>
          <w:color w:val="000000" w:themeColor="text1"/>
          <w:sz w:val="24"/>
          <w:highlight w:val="none"/>
          <w14:textFill>
            <w14:solidFill>
              <w14:schemeClr w14:val="tx1"/>
            </w14:solidFill>
          </w14:textFill>
        </w:rPr>
        <w:t>浙江省成套工程有限公司</w:t>
      </w:r>
    </w:p>
    <w:p>
      <w:pPr>
        <w:spacing w:line="360" w:lineRule="auto"/>
        <w:ind w:firstLine="480"/>
        <w:rPr>
          <w:rFonts w:ascii="仿宋_GB2312" w:hAnsi="仿宋" w:eastAsia="仿宋"/>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址：杭州市西湖区古墩路</w:t>
      </w:r>
      <w:r>
        <w:rPr>
          <w:rFonts w:ascii="仿宋_GB2312" w:hAnsi="仿宋" w:eastAsia="仿宋_GB2312"/>
          <w:color w:val="000000" w:themeColor="text1"/>
          <w:sz w:val="24"/>
          <w:highlight w:val="none"/>
          <w14:textFill>
            <w14:solidFill>
              <w14:schemeClr w14:val="tx1"/>
            </w14:solidFill>
          </w14:textFill>
        </w:rPr>
        <w:t>701号紫金广场A座12楼 1209室</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传    真：0571-85058255</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项目联系人（询问）：章日</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项目联系方式（询问）：0571-85058</w:t>
      </w:r>
      <w:r>
        <w:rPr>
          <w:rFonts w:hint="eastAsia" w:ascii="仿宋_GB2312" w:hAnsi="仿宋" w:eastAsia="仿宋_GB2312"/>
          <w:color w:val="000000" w:themeColor="text1"/>
          <w:sz w:val="24"/>
          <w:highlight w:val="none"/>
          <w14:textFill>
            <w14:solidFill>
              <w14:schemeClr w14:val="tx1"/>
            </w14:solidFill>
          </w14:textFill>
        </w:rPr>
        <w:t>255</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质疑联系人：</w:t>
      </w:r>
      <w:r>
        <w:rPr>
          <w:rFonts w:hint="eastAsia" w:ascii="仿宋_GB2312" w:hAnsi="仿宋" w:eastAsia="仿宋_GB2312"/>
          <w:color w:val="000000" w:themeColor="text1"/>
          <w:sz w:val="24"/>
          <w:highlight w:val="none"/>
          <w14:textFill>
            <w14:solidFill>
              <w14:schemeClr w14:val="tx1"/>
            </w14:solidFill>
          </w14:textFill>
        </w:rPr>
        <w:t>赵海峰</w:t>
      </w:r>
    </w:p>
    <w:p>
      <w:pPr>
        <w:spacing w:line="360" w:lineRule="auto"/>
        <w:rPr>
          <w:rFonts w:ascii="仿宋"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质疑联系方式：0571-85058</w:t>
      </w:r>
      <w:r>
        <w:rPr>
          <w:rFonts w:hint="eastAsia" w:ascii="仿宋_GB2312" w:hAnsi="仿宋" w:eastAsia="仿宋_GB2312"/>
          <w:color w:val="000000" w:themeColor="text1"/>
          <w:sz w:val="24"/>
          <w:highlight w:val="none"/>
          <w14:textFill>
            <w14:solidFill>
              <w14:schemeClr w14:val="tx1"/>
            </w14:solidFill>
          </w14:textFill>
        </w:rPr>
        <w:t>600</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3.同级政府采购监督管理部门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名    称：</w:t>
      </w:r>
      <w:r>
        <w:rPr>
          <w:rFonts w:hint="eastAsia" w:ascii="仿宋_GB2312" w:hAnsi="仿宋" w:eastAsia="仿宋_GB2312"/>
          <w:color w:val="000000" w:themeColor="text1"/>
          <w:sz w:val="24"/>
          <w:highlight w:val="none"/>
          <w14:textFill>
            <w14:solidFill>
              <w14:schemeClr w14:val="tx1"/>
            </w14:solidFill>
          </w14:textFill>
        </w:rPr>
        <w:t xml:space="preserve">杭州市钱塘区财政局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地    址：</w:t>
      </w:r>
      <w:r>
        <w:rPr>
          <w:rFonts w:hint="eastAsia" w:ascii="仿宋_GB2312" w:hAnsi="仿宋" w:eastAsia="仿宋_GB2312"/>
          <w:color w:val="000000" w:themeColor="text1"/>
          <w:sz w:val="24"/>
          <w:highlight w:val="none"/>
          <w14:textFill>
            <w14:solidFill>
              <w14:schemeClr w14:val="tx1"/>
            </w14:solidFill>
          </w14:textFill>
        </w:rPr>
        <w:t>杭州市钱塘区青六北路499号钱塘中心5号楼</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传    真：0571-82988295</w:t>
      </w:r>
      <w:r>
        <w:rPr>
          <w:rFonts w:hint="eastAsia"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联系人 ：任女士</w:t>
      </w:r>
      <w:r>
        <w:rPr>
          <w:rFonts w:hint="eastAsia"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监督投诉电话：0571-82987260</w:t>
      </w:r>
      <w:r>
        <w:rPr>
          <w:rFonts w:hint="eastAsia" w:ascii="仿宋_GB2312" w:hAnsi="仿宋" w:eastAsia="仿宋_GB2312"/>
          <w:color w:val="000000" w:themeColor="text1"/>
          <w:sz w:val="24"/>
          <w:highlight w:val="non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若对项目采购电子交易系统操作有疑问，可登录政采云（</w:t>
      </w:r>
      <w:r>
        <w:rPr>
          <w:rFonts w:ascii="仿宋_GB2312" w:hAnsi="仿宋" w:eastAsia="仿宋_GB2312"/>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highlight w:val="none"/>
          <w14:textFill>
            <w14:solidFill>
              <w14:schemeClr w14:val="tx1"/>
            </w14:solidFill>
          </w14:textFill>
        </w:rPr>
        <w:t>采云服务热线</w:t>
      </w:r>
      <w:r>
        <w:rPr>
          <w:rFonts w:ascii="仿宋_GB2312" w:hAnsi="仿宋" w:eastAsia="仿宋_GB2312"/>
          <w:color w:val="000000" w:themeColor="text1"/>
          <w:sz w:val="24"/>
          <w:highlight w:val="none"/>
          <w14:textFill>
            <w14:solidFill>
              <w14:schemeClr w14:val="tx1"/>
            </w14:solidFill>
          </w14:textFill>
        </w:rPr>
        <w:t>400-881-7190获取热线服务帮助。</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CA问题联系电话（人工）：</w:t>
      </w:r>
      <w:r>
        <w:rPr>
          <w:rFonts w:hint="eastAsia" w:ascii="仿宋_GB2312" w:hAnsi="仿宋" w:eastAsia="仿宋_GB2312"/>
          <w:color w:val="000000" w:themeColor="text1"/>
          <w:sz w:val="24"/>
          <w:highlight w:val="none"/>
          <w14:textFill>
            <w14:solidFill>
              <w14:schemeClr w14:val="tx1"/>
            </w14:solidFill>
          </w14:textFill>
        </w:rPr>
        <w:t>汇信</w:t>
      </w:r>
      <w:r>
        <w:rPr>
          <w:rFonts w:ascii="仿宋_GB2312" w:hAnsi="仿宋" w:eastAsia="仿宋_GB2312"/>
          <w:color w:val="000000" w:themeColor="text1"/>
          <w:sz w:val="24"/>
          <w:highlight w:val="none"/>
          <w14:textFill>
            <w14:solidFill>
              <w14:schemeClr w14:val="tx1"/>
            </w14:solidFill>
          </w14:textFill>
        </w:rPr>
        <w:t>CA 400-888-4636；天谷CA 400-087-8198。</w:t>
      </w:r>
    </w:p>
    <w:p>
      <w:pPr>
        <w:pStyle w:val="33"/>
        <w:spacing w:line="360" w:lineRule="auto"/>
        <w:ind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6"/>
          <w:szCs w:val="20"/>
          <w:highlight w:val="none"/>
          <w14:textFill>
            <w14:solidFill>
              <w14:schemeClr w14:val="tx1"/>
            </w14:solidFill>
          </w14:textFill>
        </w:rPr>
      </w:pPr>
      <w:r>
        <w:rPr>
          <w:rFonts w:ascii="仿宋" w:hAnsi="仿宋" w:eastAsia="仿宋" w:cs="仿宋_GB2312"/>
          <w:b/>
          <w:color w:val="000000" w:themeColor="text1"/>
          <w:sz w:val="36"/>
          <w:szCs w:val="20"/>
          <w:highlight w:val="none"/>
          <w14:textFill>
            <w14:solidFill>
              <w14:schemeClr w14:val="tx1"/>
            </w14:solidFill>
          </w14:textFill>
        </w:rPr>
        <w:br w:type="page"/>
      </w:r>
      <w:r>
        <w:rPr>
          <w:rFonts w:hint="eastAsia" w:ascii="仿宋" w:hAnsi="仿宋" w:eastAsia="仿宋" w:cs="仿宋_GB2312"/>
          <w:b/>
          <w:color w:val="000000" w:themeColor="text1"/>
          <w:sz w:val="36"/>
          <w:szCs w:val="20"/>
          <w:highlight w:val="none"/>
          <w14:textFill>
            <w14:solidFill>
              <w14:schemeClr w14:val="tx1"/>
            </w14:solidFill>
          </w14:textFill>
        </w:rPr>
        <w:t>第二部分</w:t>
      </w:r>
      <w:bookmarkEnd w:id="8"/>
      <w:r>
        <w:rPr>
          <w:rFonts w:ascii="仿宋" w:hAnsi="仿宋" w:eastAsia="仿宋" w:cs="仿宋_GB2312"/>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_GB2312" w:hAnsi="仿宋" w:eastAsia="仿宋_GB2312" w:cs="仿宋_GB2312"/>
                <w:color w:val="000000" w:themeColor="text1"/>
                <w:sz w:val="24"/>
                <w:highlight w:val="none"/>
                <w14:textFill>
                  <w14:solidFill>
                    <w14:schemeClr w14:val="tx1"/>
                  </w14:solidFill>
                </w14:textFill>
              </w:rPr>
              <w:t>开标一览表（报价表）</w:t>
            </w:r>
            <w:r>
              <w:rPr>
                <w:rFonts w:hint="eastAsia" w:ascii="仿宋_GB2312" w:hAnsi="仿宋" w:eastAsia="仿宋_GB2312"/>
                <w:color w:val="000000" w:themeColor="text1"/>
                <w:sz w:val="24"/>
                <w:highlight w:val="none"/>
                <w14:textFill>
                  <w14:solidFill>
                    <w14:schemeClr w14:val="tx1"/>
                  </w14:solidFill>
                </w14:textFill>
              </w:rPr>
              <w:t>是报价的唯一载体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仿宋_GB2312" w:hAnsi="仿宋" w:eastAsia="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投标报价超过招标文件中规定的预算金额或者最高限价的</w:t>
            </w:r>
            <w:r>
              <w:rPr>
                <w:rFonts w:ascii="仿宋_GB2312" w:hAnsi="仿宋" w:eastAsia="仿宋_GB2312"/>
                <w:b/>
                <w:color w:val="000000" w:themeColor="text1"/>
                <w:kern w:val="0"/>
                <w:sz w:val="24"/>
                <w:highlight w:val="none"/>
                <w:lang w:val="zh-CN"/>
                <w14:textFill>
                  <w14:solidFill>
                    <w14:schemeClr w14:val="tx1"/>
                  </w14:solidFill>
                </w14:textFill>
              </w:rPr>
              <w:t>;</w:t>
            </w:r>
          </w:p>
          <w:p>
            <w:pPr>
              <w:spacing w:line="360" w:lineRule="auto"/>
              <w:ind w:firstLine="241" w:firstLineChars="1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000000" w:themeColor="text1"/>
                <w:sz w:val="24"/>
                <w:szCs w:val="21"/>
                <w:highlight w:val="none"/>
                <w14:textFill>
                  <w14:solidFill>
                    <w14:schemeClr w14:val="tx1"/>
                  </w14:solidFill>
                </w14:textFill>
              </w:rPr>
              <w:t>;</w:t>
            </w:r>
          </w:p>
          <w:p>
            <w:pPr>
              <w:spacing w:line="360" w:lineRule="auto"/>
              <w:ind w:firstLine="241" w:firstLineChars="1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投标人对根据修正原则修正后的报价不确认的</w:t>
            </w:r>
            <w:r>
              <w:rPr>
                <w:rFonts w:hint="eastAsia" w:ascii="仿宋_GB2312" w:hAnsi="仿宋" w:eastAsia="仿宋_GB2312"/>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1）资格证明文件：见招标文件第二部分11.1。</w:t>
            </w:r>
          </w:p>
          <w:p>
            <w:pPr>
              <w:spacing w:line="360" w:lineRule="auto"/>
              <w:rPr>
                <w:rFonts w:ascii="Arial" w:hAnsi="Arial" w:eastAsia="黑体" w:cs="Arial"/>
                <w:snapToGrid w:val="0"/>
                <w:color w:val="000000" w:themeColor="text1"/>
                <w:kern w:val="0"/>
                <w:szCs w:val="21"/>
                <w:highlight w:val="none"/>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olor w:val="000000" w:themeColor="text1"/>
                <w:sz w:val="24"/>
                <w:szCs w:val="20"/>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1）</w:t>
            </w:r>
            <w:r>
              <w:rPr>
                <w:rFonts w:hint="eastAsia" w:ascii="仿宋" w:hAnsi="仿宋" w:eastAsia="仿宋"/>
                <w:snapToGrid w:val="0"/>
                <w:color w:val="000000" w:themeColor="text1"/>
                <w:kern w:val="28"/>
                <w:sz w:val="24"/>
                <w:highlight w:val="none"/>
                <w14:textFill>
                  <w14:solidFill>
                    <w14:schemeClr w14:val="tx1"/>
                  </w14:solidFill>
                </w14:textFill>
              </w:rPr>
              <w:t>样品：</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2）</w:t>
            </w:r>
            <w:r>
              <w:rPr>
                <w:rFonts w:hint="eastAsia" w:ascii="仿宋" w:hAnsi="仿宋" w:eastAsia="仿宋"/>
                <w:snapToGrid w:val="0"/>
                <w:color w:val="000000" w:themeColor="text1"/>
                <w:kern w:val="28"/>
                <w:sz w:val="24"/>
                <w:highlight w:val="none"/>
                <w14:textFill>
                  <w14:solidFill>
                    <w14:schemeClr w14:val="tx1"/>
                  </w14:solidFill>
                </w14:textFill>
              </w:rPr>
              <w:t>样品制作的标准和要求：</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3）样品的评审方法以及评审标准</w:t>
            </w:r>
            <w:r>
              <w:rPr>
                <w:rFonts w:hint="eastAsia" w:ascii="仿宋" w:hAnsi="仿宋" w:eastAsia="仿宋"/>
                <w:snapToGrid w:val="0"/>
                <w:color w:val="000000" w:themeColor="text1"/>
                <w:kern w:val="28"/>
                <w:sz w:val="24"/>
                <w:highlight w:val="none"/>
                <w14:textFill>
                  <w14:solidFill>
                    <w14:schemeClr w14:val="tx1"/>
                  </w14:solidFill>
                </w14:textFill>
              </w:rPr>
              <w:t>：详见</w:t>
            </w:r>
            <w:r>
              <w:rPr>
                <w:rFonts w:hint="eastAsia" w:ascii="仿宋_GB2312" w:hAnsi="仿宋" w:eastAsia="仿宋_GB2312"/>
                <w:color w:val="000000" w:themeColor="text1"/>
                <w:sz w:val="24"/>
                <w:highlight w:val="none"/>
                <w:u w:val="single"/>
                <w14:textFill>
                  <w14:solidFill>
                    <w14:schemeClr w14:val="tx1"/>
                  </w14:solidFill>
                </w14:textFill>
              </w:rPr>
              <w:t>评标办法</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4）是否需要随样品提交检测报告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5）提供样品的时间：</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kern w:val="28"/>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5934854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74071719"/>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p>
          <w:p>
            <w:pPr>
              <w:snapToGrid w:val="0"/>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2）方案讲解演示可选择</w:t>
            </w:r>
            <w:r>
              <w:rPr>
                <w:rFonts w:hint="eastAsia" w:ascii="仿宋_GB2312" w:hAnsi="仿宋" w:eastAsia="仿宋_GB2312"/>
                <w:color w:val="000000" w:themeColor="text1"/>
                <w:kern w:val="0"/>
                <w:sz w:val="24"/>
                <w:highlight w:val="none"/>
                <w14:textFill>
                  <w14:solidFill>
                    <w14:schemeClr w14:val="tx1"/>
                  </w14:solidFill>
                </w14:textFill>
              </w:rPr>
              <w:t>以下其中一种方式：</w:t>
            </w:r>
          </w:p>
          <w:p>
            <w:pPr>
              <w:snapToGrid w:val="0"/>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方式二：交易中心现场讲解演示。现场讲解地点为</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28425707"/>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本项目不允许采购进口产品。</w:t>
            </w:r>
          </w:p>
          <w:p>
            <w:pPr>
              <w:spacing w:line="360" w:lineRule="auto"/>
              <w:rPr>
                <w:color w:val="000000" w:themeColor="text1"/>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52852824"/>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MS Gothic" w:hAnsi="MS Gothic" w:eastAsia="MS Gothic" w:cs="Arial"/>
                <w:color w:val="000000" w:themeColor="text1"/>
                <w:kern w:val="0"/>
                <w:sz w:val="24"/>
                <w:highlight w:val="none"/>
                <w14:textFill>
                  <w14:solidFill>
                    <w14:schemeClr w14:val="tx1"/>
                  </w14:solidFill>
                </w14:textFill>
              </w:rPr>
              <w:t>☐</w:t>
            </w:r>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货物类，单一产品或</w:t>
            </w:r>
            <w:r>
              <w:rPr>
                <w:rFonts w:hint="eastAsia" w:ascii="仿宋_GB2312" w:hAnsi="仿宋" w:eastAsia="仿宋_GB2312"/>
                <w:color w:val="000000" w:themeColor="text1"/>
                <w:kern w:val="0"/>
                <w:sz w:val="24"/>
                <w:highlight w:val="none"/>
                <w14:textFill>
                  <w14:solidFill>
                    <w14:schemeClr w14:val="tx1"/>
                  </w14:solidFill>
                </w14:textFill>
              </w:rPr>
              <w:t>核心产品为：</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Wingdings" w:hAnsi="Wingdings" w:eastAsia="MS Gothic" w:cs="Arial"/>
                <w:color w:val="000000" w:themeColor="text1"/>
                <w:kern w:val="0"/>
                <w:sz w:val="24"/>
                <w:highlight w:val="none"/>
                <w14:textFill>
                  <w14:solidFill>
                    <w14:schemeClr w14:val="tx1"/>
                  </w14:solidFill>
                </w14:textFill>
              </w:rPr>
              <w:t></w:t>
            </w:r>
            <w:r>
              <w:rPr>
                <w:rFonts w:ascii="仿宋_GB2312" w:hAnsi="仿宋" w:eastAsia="仿宋_GB2312" w:cs="Arial"/>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一、说明</w:t>
            </w:r>
          </w:p>
          <w:p>
            <w:pPr>
              <w:snapToGrid w:val="0"/>
              <w:spacing w:line="312" w:lineRule="auto"/>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t>1、企业类型</w:t>
            </w:r>
          </w:p>
          <w:p>
            <w:pPr>
              <w:snapToGrid w:val="0"/>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1）中小企业</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snapToGrid w:val="0"/>
              <w:spacing w:line="312"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在服务采购项目中，服务由中小企业承接，即提供服务的人员为中小企业依照《中华人民共和国劳动民法典》订立劳动合同的从业人员。可享受相关中小企业扶持政策。</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符合上述条件的中小企业参加货物采购活动中，货物由中小企业制造，即货物由中小企业生产且使用该中小企业商号或者注册商标的，可享受相关中小企业扶持政策。</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投标文件中须同时出具《政府采购促进中小企业发展管理办法》【财库（</w:t>
            </w:r>
            <w:r>
              <w:rPr>
                <w:rFonts w:ascii="仿宋" w:hAnsi="仿宋" w:eastAsia="仿宋" w:cs="仿宋"/>
                <w:color w:val="000000" w:themeColor="text1"/>
                <w:sz w:val="24"/>
                <w:highlight w:val="none"/>
                <w14:textFill>
                  <w14:solidFill>
                    <w14:schemeClr w14:val="tx1"/>
                  </w14:solidFill>
                </w14:textFill>
              </w:rPr>
              <w:t>2020）46号】规定的《中小企业声明函》，否则不得享受价格扣除。</w:t>
            </w:r>
          </w:p>
          <w:p>
            <w:pPr>
              <w:snapToGrid w:val="0"/>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2）残疾人福利性单位</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符合《关于促进残疾人就业政府采购政策的通知》（财库〔</w:t>
            </w:r>
            <w:r>
              <w:rPr>
                <w:rFonts w:ascii="仿宋" w:hAnsi="仿宋" w:eastAsia="仿宋" w:cs="仿宋"/>
                <w:color w:val="000000" w:themeColor="text1"/>
                <w:sz w:val="24"/>
                <w:highlight w:val="none"/>
                <w14:textFill>
                  <w14:solidFill>
                    <w14:schemeClr w14:val="tx1"/>
                  </w14:solidFill>
                </w14:textFill>
              </w:rPr>
              <w:t>2017〕141号）规定的条件并提供提供《残疾人福利性单位声明函》的残疾人福利性单位视同小型、微型企业；</w:t>
            </w:r>
          </w:p>
          <w:p>
            <w:pPr>
              <w:snapToGrid w:val="0"/>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3）监狱企业</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根据《关于政府采购支持监狱企业发展有关问题的通知》（财库</w:t>
            </w:r>
            <w:r>
              <w:rPr>
                <w:rFonts w:ascii="仿宋" w:hAnsi="仿宋" w:eastAsia="仿宋" w:cs="仿宋"/>
                <w:color w:val="000000" w:themeColor="text1"/>
                <w:sz w:val="24"/>
                <w:highlight w:val="none"/>
                <w14:textFill>
                  <w14:solidFill>
                    <w14:schemeClr w14:val="tx1"/>
                  </w14:solidFill>
                </w14:textFill>
              </w:rPr>
              <w:t>[2014]68号）的规定，投标人提供由省级以上监狱管理局、戒毒管理局（含新疆生产建设兵团）出具的属于监狱企业证明文件的，视同为小型和微型企业。</w:t>
            </w:r>
          </w:p>
          <w:p>
            <w:pPr>
              <w:snapToGrid w:val="0"/>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二、针对本项目的相关规定</w:t>
            </w:r>
          </w:p>
          <w:p>
            <w:pPr>
              <w:snapToGrid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1.本项目对符合规定的小微企业（含小型企业）报价给予</w:t>
            </w:r>
            <w:r>
              <w:rPr>
                <w:rFonts w:hint="eastAsia" w:ascii="仿宋" w:hAnsi="仿宋" w:eastAsia="仿宋" w:cs="仿宋"/>
                <w:color w:val="000000" w:themeColor="text1"/>
                <w:sz w:val="24"/>
                <w:highlight w:val="none"/>
                <w14:textFill>
                  <w14:solidFill>
                    <w14:schemeClr w14:val="tx1"/>
                  </w14:solidFill>
                </w14:textFill>
              </w:rPr>
              <w:t>2</w:t>
            </w:r>
            <w:r>
              <w:rPr>
                <w:rFonts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的扣除。</w:t>
            </w:r>
          </w:p>
          <w:p>
            <w:pPr>
              <w:pStyle w:val="4"/>
              <w:rPr>
                <w:color w:val="000000" w:themeColor="text1"/>
                <w:highlight w:val="none"/>
                <w:lang w:val="en-US"/>
                <w14:textFill>
                  <w14:solidFill>
                    <w14:schemeClr w14:val="tx1"/>
                  </w14:solidFill>
                </w14:textFill>
              </w:rPr>
            </w:pPr>
            <w:r>
              <w:rPr>
                <w:rFonts w:ascii="仿宋" w:eastAsia="仿宋" w:cs="仿宋"/>
                <w:color w:val="000000" w:themeColor="text1"/>
                <w:sz w:val="24"/>
                <w:highlight w:val="none"/>
                <w14:textFill>
                  <w14:solidFill>
                    <w14:schemeClr w14:val="tx1"/>
                  </w14:solidFill>
                </w14:textFill>
              </w:rPr>
              <w:t>2.本项目采购标的对应的中小企业计划分标准所属行业为：其他服务业。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8727868"/>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s="Arial"/>
                <w:color w:val="000000" w:themeColor="text1"/>
                <w:kern w:val="0"/>
                <w:sz w:val="24"/>
                <w:highlight w:val="none"/>
                <w14:textFill>
                  <w14:solidFill>
                    <w14:schemeClr w14:val="tx1"/>
                  </w14:solidFill>
                </w14:textFill>
              </w:rPr>
              <w:t>无</w:t>
            </w:r>
          </w:p>
          <w:p>
            <w:pPr>
              <w:pStyle w:val="24"/>
              <w:rPr>
                <w:rFonts w:ascii="仿宋_GB2312" w:hAnsi="仿宋" w:eastAsia="仿宋_GB2312"/>
                <w:color w:val="000000" w:themeColor="text1"/>
                <w:kern w:val="0"/>
                <w:highlight w:val="none"/>
                <w14:textFill>
                  <w14:solidFill>
                    <w14:schemeClr w14:val="tx1"/>
                  </w14:solidFill>
                </w14:textFill>
              </w:rPr>
            </w:pPr>
            <w:r>
              <w:rPr>
                <w:rFonts w:hint="eastAsia" w:ascii="MS Gothic" w:hAnsi="MS Gothic" w:eastAsia="MS Gothic"/>
                <w:color w:val="000000" w:themeColor="text1"/>
                <w:kern w:val="0"/>
                <w:szCs w:val="24"/>
                <w:highlight w:val="none"/>
                <w:lang w:val="en-US"/>
                <w14:textFill>
                  <w14:solidFill>
                    <w14:schemeClr w14:val="tx1"/>
                  </w14:solidFill>
                </w14:textFill>
              </w:rPr>
              <w:t>☐</w:t>
            </w:r>
            <w:r>
              <w:rPr>
                <w:rFonts w:ascii="仿宋_GB2312" w:hAnsi="仿宋" w:eastAsia="仿宋_GB2312"/>
                <w:color w:val="000000" w:themeColor="text1"/>
                <w:kern w:val="0"/>
                <w:highlight w:val="none"/>
                <w14:textFill>
                  <w14:solidFill>
                    <w14:schemeClr w14:val="tx1"/>
                  </w14:solidFill>
                </w14:textFill>
              </w:rPr>
              <w:t>B</w:t>
            </w:r>
            <w:r>
              <w:rPr>
                <w:rFonts w:hint="eastAsia" w:ascii="仿宋_GB2312" w:hAnsi="仿宋" w:eastAsia="仿宋_GB2312"/>
                <w:color w:val="000000" w:themeColor="text1"/>
                <w:kern w:val="0"/>
                <w:highlight w:val="none"/>
                <w:lang w:val="en-US"/>
                <w14:textFill>
                  <w14:solidFill>
                    <w14:schemeClr w14:val="tx1"/>
                  </w14:solidFill>
                </w14:textFill>
              </w:rPr>
              <w:t xml:space="preserve"> 政府</w:t>
            </w:r>
            <w:r>
              <w:rPr>
                <w:rFonts w:hint="eastAsia" w:eastAsia="仿宋_GB2312"/>
                <w:color w:val="000000" w:themeColor="text1"/>
                <w:highlight w:val="none"/>
                <w:lang w:val="en-US"/>
                <w14:textFill>
                  <w14:solidFill>
                    <w14:schemeClr w14:val="tx1"/>
                  </w14:solidFill>
                </w14:textFill>
              </w:rPr>
              <w:t>强制采购节能产品</w:t>
            </w:r>
            <w:r>
              <w:rPr>
                <w:rFonts w:hint="eastAsia" w:ascii="仿宋_GB2312" w:hAnsi="仿宋" w:eastAsia="仿宋_GB2312"/>
                <w:color w:val="000000" w:themeColor="text1"/>
                <w:kern w:val="0"/>
                <w:highlight w:val="none"/>
                <w14:textFill>
                  <w14:solidFill>
                    <w14:schemeClr w14:val="tx1"/>
                  </w14:solidFill>
                </w14:textFill>
              </w:rPr>
              <w:t>：</w:t>
            </w:r>
          </w:p>
          <w:p>
            <w:pPr>
              <w:pStyle w:val="24"/>
              <w:ind w:firstLine="480" w:firstLineChars="200"/>
              <w:rPr>
                <w:rFonts w:ascii="仿宋_GB2312" w:hAnsi="仿宋" w:eastAsia="仿宋_GB2312"/>
                <w:color w:val="000000" w:themeColor="text1"/>
                <w:highlight w:val="none"/>
                <w:u w:val="single"/>
                <w:lang w:val="en-US"/>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w:t>
            </w:r>
            <w:r>
              <w:rPr>
                <w:rFonts w:hint="eastAsia" w:ascii="仿宋_GB2312" w:hAnsi="仿宋" w:eastAsia="仿宋_GB2312"/>
                <w:color w:val="000000" w:themeColor="text1"/>
                <w:highlight w:val="none"/>
                <w:lang w:val="en-US"/>
                <w14:textFill>
                  <w14:solidFill>
                    <w14:schemeClr w14:val="tx1"/>
                  </w14:solidFill>
                </w14:textFill>
              </w:rPr>
              <w:t>1</w:t>
            </w:r>
            <w:r>
              <w:rPr>
                <w:rFonts w:hint="eastAsia" w:ascii="仿宋_GB2312" w:hAnsi="仿宋" w:eastAsia="仿宋_GB2312"/>
                <w:color w:val="000000" w:themeColor="text1"/>
                <w:highlight w:val="none"/>
                <w14:textFill>
                  <w14:solidFill>
                    <w14:schemeClr w14:val="tx1"/>
                  </w14:solidFill>
                </w14:textFill>
              </w:rPr>
              <w:t>）</w:t>
            </w:r>
            <w:r>
              <w:rPr>
                <w:rFonts w:hint="eastAsia"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olor w:val="000000" w:themeColor="text1"/>
                <w:highlight w:val="none"/>
                <w:u w:val="single"/>
                <w:lang w:val="en-US"/>
                <w14:textFill>
                  <w14:solidFill>
                    <w14:schemeClr w14:val="tx1"/>
                  </w14:solidFill>
                </w14:textFill>
              </w:rPr>
              <w:t xml:space="preserve">   </w:t>
            </w:r>
            <w:r>
              <w:rPr>
                <w:rFonts w:hint="eastAsia" w:ascii="仿宋_GB2312" w:hAnsi="仿宋" w:eastAsia="仿宋_GB2312"/>
                <w:color w:val="000000" w:themeColor="text1"/>
                <w:highlight w:val="none"/>
                <w:lang w:val="en-US"/>
                <w14:textFill>
                  <w14:solidFill>
                    <w14:schemeClr w14:val="tx1"/>
                  </w14:solidFill>
                </w14:textFill>
              </w:rPr>
              <w:t>；</w:t>
            </w:r>
          </w:p>
          <w:p>
            <w:pPr>
              <w:pStyle w:val="24"/>
              <w:ind w:firstLine="480" w:firstLineChars="200"/>
              <w:rPr>
                <w:rFonts w:ascii="仿宋_GB2312" w:hAnsi="仿宋" w:eastAsia="仿宋_GB2312"/>
                <w:color w:val="000000" w:themeColor="text1"/>
                <w:highlight w:val="none"/>
                <w:lang w:val="en-US"/>
                <w14:textFill>
                  <w14:solidFill>
                    <w14:schemeClr w14:val="tx1"/>
                  </w14:solidFill>
                </w14:textFill>
              </w:rPr>
            </w:pPr>
            <w:r>
              <w:rPr>
                <w:rFonts w:hint="eastAsia" w:ascii="仿宋_GB2312" w:hAnsi="仿宋" w:eastAsia="仿宋_GB2312"/>
                <w:color w:val="000000" w:themeColor="text1"/>
                <w:highlight w:val="none"/>
                <w:lang w:val="en-US"/>
                <w14:textFill>
                  <w14:solidFill>
                    <w14:schemeClr w14:val="tx1"/>
                  </w14:solidFill>
                </w14:textFill>
              </w:rPr>
              <w:t>（2）……</w:t>
            </w:r>
          </w:p>
          <w:p>
            <w:pPr>
              <w:pStyle w:val="24"/>
              <w:rPr>
                <w:rFonts w:ascii="仿宋_GB2312" w:hAnsi="仿宋" w:eastAsia="仿宋_GB2312"/>
                <w:color w:val="000000" w:themeColor="text1"/>
                <w:kern w:val="0"/>
                <w:highlight w:val="none"/>
                <w14:textFill>
                  <w14:solidFill>
                    <w14:schemeClr w14:val="tx1"/>
                  </w14:solidFill>
                </w14:textFill>
              </w:rPr>
            </w:pPr>
            <w:r>
              <w:rPr>
                <w:rFonts w:hint="eastAsia" w:ascii="MS Gothic" w:hAnsi="MS Gothic" w:eastAsia="MS Gothic"/>
                <w:color w:val="000000" w:themeColor="text1"/>
                <w:kern w:val="0"/>
                <w:szCs w:val="24"/>
                <w:highlight w:val="none"/>
                <w:lang w:val="en-US"/>
                <w14:textFill>
                  <w14:solidFill>
                    <w14:schemeClr w14:val="tx1"/>
                  </w14:solidFill>
                </w14:textFill>
              </w:rPr>
              <w:t>☐</w:t>
            </w:r>
            <w:r>
              <w:rPr>
                <w:rFonts w:hint="eastAsia" w:ascii="仿宋_GB2312" w:hAnsi="仿宋" w:eastAsia="仿宋_GB2312"/>
                <w:color w:val="000000" w:themeColor="text1"/>
                <w:kern w:val="0"/>
                <w:highlight w:val="none"/>
                <w:lang w:val="en-US"/>
                <w14:textFill>
                  <w14:solidFill>
                    <w14:schemeClr w14:val="tx1"/>
                  </w14:solidFill>
                </w14:textFill>
              </w:rPr>
              <w:t xml:space="preserve">C </w:t>
            </w:r>
            <w:r>
              <w:rPr>
                <w:rFonts w:hint="eastAsia" w:eastAsia="仿宋_GB2312"/>
                <w:color w:val="000000" w:themeColor="text1"/>
                <w:highlight w:val="none"/>
                <w:lang w:val="en-US"/>
                <w14:textFill>
                  <w14:solidFill>
                    <w14:schemeClr w14:val="tx1"/>
                  </w14:solidFill>
                </w14:textFill>
              </w:rPr>
              <w:t>政府优先采购节能产品</w:t>
            </w:r>
            <w:r>
              <w:rPr>
                <w:rFonts w:hint="eastAsia" w:ascii="仿宋_GB2312" w:hAnsi="仿宋" w:eastAsia="仿宋_GB2312"/>
                <w:color w:val="000000" w:themeColor="text1"/>
                <w:kern w:val="0"/>
                <w:highlight w:val="none"/>
                <w14:textFill>
                  <w14:solidFill>
                    <w14:schemeClr w14:val="tx1"/>
                  </w14:solidFill>
                </w14:textFill>
              </w:rPr>
              <w:t>：</w:t>
            </w:r>
          </w:p>
          <w:p>
            <w:pPr>
              <w:pStyle w:val="24"/>
              <w:ind w:firstLine="480" w:firstLineChars="200"/>
              <w:rPr>
                <w:rFonts w:ascii="仿宋_GB2312" w:hAnsi="仿宋" w:eastAsia="仿宋_GB2312"/>
                <w:color w:val="000000" w:themeColor="text1"/>
                <w:highlight w:val="none"/>
                <w:u w:val="single"/>
                <w:lang w:val="en-US"/>
                <w14:textFill>
                  <w14:solidFill>
                    <w14:schemeClr w14:val="tx1"/>
                  </w14:solidFill>
                </w14:textFill>
              </w:rPr>
            </w:pPr>
            <w:r>
              <w:rPr>
                <w:rFonts w:hint="eastAsia" w:ascii="仿宋_GB2312" w:hAnsi="仿宋" w:eastAsia="仿宋_GB2312"/>
                <w:color w:val="000000" w:themeColor="text1"/>
                <w:kern w:val="0"/>
                <w:highlight w:val="none"/>
                <w:lang w:val="en-US"/>
                <w14:textFill>
                  <w14:solidFill>
                    <w14:schemeClr w14:val="tx1"/>
                  </w14:solidFill>
                </w14:textFill>
              </w:rPr>
              <w:t>（1）</w:t>
            </w:r>
            <w:r>
              <w:rPr>
                <w:rFonts w:hint="eastAsia"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olor w:val="000000" w:themeColor="text1"/>
                <w:highlight w:val="none"/>
                <w:u w:val="single"/>
                <w:lang w:val="en-US"/>
                <w14:textFill>
                  <w14:solidFill>
                    <w14:schemeClr w14:val="tx1"/>
                  </w14:solidFill>
                </w14:textFill>
              </w:rPr>
              <w:t xml:space="preserve">   </w:t>
            </w:r>
            <w:r>
              <w:rPr>
                <w:rFonts w:hint="eastAsia" w:ascii="仿宋_GB2312" w:hAnsi="仿宋" w:eastAsia="仿宋_GB2312"/>
                <w:color w:val="000000" w:themeColor="text1"/>
                <w:highlight w:val="none"/>
                <w:lang w:val="en-US"/>
                <w14:textFill>
                  <w14:solidFill>
                    <w14:schemeClr w14:val="tx1"/>
                  </w14:solidFill>
                </w14:textFill>
              </w:rPr>
              <w:t>；</w:t>
            </w:r>
          </w:p>
          <w:p>
            <w:pPr>
              <w:pStyle w:val="24"/>
              <w:ind w:firstLine="480" w:firstLineChars="200"/>
              <w:rPr>
                <w:rFonts w:ascii="仿宋_GB2312" w:hAnsi="仿宋" w:eastAsia="仿宋_GB2312"/>
                <w:color w:val="000000" w:themeColor="text1"/>
                <w:highlight w:val="none"/>
                <w:lang w:val="en-US"/>
                <w14:textFill>
                  <w14:solidFill>
                    <w14:schemeClr w14:val="tx1"/>
                  </w14:solidFill>
                </w14:textFill>
              </w:rPr>
            </w:pPr>
            <w:r>
              <w:rPr>
                <w:rFonts w:hint="eastAsia" w:ascii="仿宋_GB2312" w:hAnsi="仿宋" w:eastAsia="仿宋_GB2312"/>
                <w:color w:val="000000" w:themeColor="text1"/>
                <w:highlight w:val="none"/>
                <w:lang w:val="en-US"/>
                <w14:textFill>
                  <w14:solidFill>
                    <w14:schemeClr w14:val="tx1"/>
                  </w14:solidFill>
                </w14:textFill>
              </w:rPr>
              <w:t>（2）……</w:t>
            </w:r>
          </w:p>
          <w:p>
            <w:pPr>
              <w:pStyle w:val="24"/>
              <w:rPr>
                <w:rFonts w:ascii="仿宋_GB2312" w:hAnsi="仿宋" w:eastAsia="仿宋_GB2312"/>
                <w:color w:val="000000" w:themeColor="text1"/>
                <w:kern w:val="0"/>
                <w:highlight w:val="none"/>
                <w14:textFill>
                  <w14:solidFill>
                    <w14:schemeClr w14:val="tx1"/>
                  </w14:solidFill>
                </w14:textFill>
              </w:rPr>
            </w:pPr>
            <w:sdt>
              <w:sdtPr>
                <w:rPr>
                  <w:rFonts w:hint="eastAsia" w:ascii="仿宋_GB2312" w:hAnsi="仿宋" w:eastAsia="仿宋_GB2312"/>
                  <w:color w:val="000000" w:themeColor="text1"/>
                  <w:kern w:val="0"/>
                  <w:highlight w:val="none"/>
                  <w14:textFill>
                    <w14:solidFill>
                      <w14:schemeClr w14:val="tx1"/>
                    </w14:solidFill>
                  </w14:textFill>
                </w:rPr>
                <w:id w:val="474885559"/>
              </w:sdtPr>
              <w:sdtEndPr>
                <w:rPr>
                  <w:rFonts w:hint="eastAsia" w:ascii="仿宋_GB2312" w:hAnsi="仿宋" w:eastAsia="仿宋_GB2312"/>
                  <w:color w:val="000000" w:themeColor="text1"/>
                  <w:kern w:val="0"/>
                  <w:highlight w:val="none"/>
                  <w14:textFill>
                    <w14:solidFill>
                      <w14:schemeClr w14:val="tx1"/>
                    </w14:solidFill>
                  </w14:textFill>
                </w:rPr>
              </w:sdtEndPr>
              <w:sdtContent>
                <w:r>
                  <w:rPr>
                    <w:rFonts w:hint="eastAsia" w:ascii="MS Gothic" w:hAnsi="MS Gothic" w:eastAsia="MS Gothic"/>
                    <w:color w:val="000000" w:themeColor="text1"/>
                    <w:kern w:val="0"/>
                    <w:szCs w:val="24"/>
                    <w:highlight w:val="none"/>
                    <w:lang w:val="en-US"/>
                    <w14:textFill>
                      <w14:solidFill>
                        <w14:schemeClr w14:val="tx1"/>
                      </w14:solidFill>
                    </w14:textFill>
                  </w:rPr>
                  <w:t>☐</w:t>
                </w:r>
              </w:sdtContent>
            </w:sdt>
            <w:r>
              <w:rPr>
                <w:rFonts w:hint="eastAsia" w:ascii="仿宋_GB2312" w:hAnsi="仿宋" w:eastAsia="仿宋_GB2312"/>
                <w:color w:val="000000" w:themeColor="text1"/>
                <w:kern w:val="0"/>
                <w:highlight w:val="none"/>
                <w:lang w:val="en-US"/>
                <w14:textFill>
                  <w14:solidFill>
                    <w14:schemeClr w14:val="tx1"/>
                  </w14:solidFill>
                </w14:textFill>
              </w:rPr>
              <w:t xml:space="preserve">D </w:t>
            </w:r>
            <w:r>
              <w:rPr>
                <w:rFonts w:hint="eastAsia" w:eastAsia="仿宋_GB2312"/>
                <w:color w:val="000000" w:themeColor="text1"/>
                <w:highlight w:val="none"/>
                <w:lang w:val="en-US"/>
                <w14:textFill>
                  <w14:solidFill>
                    <w14:schemeClr w14:val="tx1"/>
                  </w14:solidFill>
                </w14:textFill>
              </w:rPr>
              <w:t>政府优先采购环境标志产品</w:t>
            </w:r>
            <w:r>
              <w:rPr>
                <w:rFonts w:hint="eastAsia" w:ascii="仿宋_GB2312" w:hAnsi="仿宋" w:eastAsia="仿宋_GB2312"/>
                <w:color w:val="000000" w:themeColor="text1"/>
                <w:kern w:val="0"/>
                <w:highlight w:val="none"/>
                <w14:textFill>
                  <w14:solidFill>
                    <w14:schemeClr w14:val="tx1"/>
                  </w14:solidFill>
                </w14:textFill>
              </w:rPr>
              <w:t>：</w:t>
            </w:r>
          </w:p>
          <w:p>
            <w:pPr>
              <w:pStyle w:val="24"/>
              <w:ind w:firstLine="480" w:firstLineChars="200"/>
              <w:rPr>
                <w:rFonts w:ascii="仿宋_GB2312" w:hAnsi="仿宋" w:eastAsia="仿宋_GB2312"/>
                <w:color w:val="000000" w:themeColor="text1"/>
                <w:highlight w:val="none"/>
                <w:u w:val="single"/>
                <w:lang w:val="en-US"/>
                <w14:textFill>
                  <w14:solidFill>
                    <w14:schemeClr w14:val="tx1"/>
                  </w14:solidFill>
                </w14:textFill>
              </w:rPr>
            </w:pPr>
            <w:r>
              <w:rPr>
                <w:rFonts w:hint="eastAsia" w:ascii="仿宋_GB2312" w:hAnsi="仿宋" w:eastAsia="仿宋_GB2312"/>
                <w:color w:val="000000" w:themeColor="text1"/>
                <w:kern w:val="0"/>
                <w:highlight w:val="none"/>
                <w:lang w:val="en-US"/>
                <w14:textFill>
                  <w14:solidFill>
                    <w14:schemeClr w14:val="tx1"/>
                  </w14:solidFill>
                </w14:textFill>
              </w:rPr>
              <w:t>（1）</w:t>
            </w:r>
            <w:r>
              <w:rPr>
                <w:rFonts w:hint="eastAsia"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olor w:val="000000" w:themeColor="text1"/>
                <w:highlight w:val="none"/>
                <w:u w:val="single"/>
                <w:lang w:val="en-US"/>
                <w14:textFill>
                  <w14:solidFill>
                    <w14:schemeClr w14:val="tx1"/>
                  </w14:solidFill>
                </w14:textFill>
              </w:rPr>
              <w:t xml:space="preserve">   </w:t>
            </w:r>
            <w:r>
              <w:rPr>
                <w:rFonts w:hint="eastAsia" w:ascii="仿宋_GB2312" w:hAnsi="仿宋" w:eastAsia="仿宋_GB2312"/>
                <w:color w:val="000000" w:themeColor="text1"/>
                <w:highlight w:val="none"/>
                <w:lang w:val="en-US"/>
                <w14:textFill>
                  <w14:solidFill>
                    <w14:schemeClr w14:val="tx1"/>
                  </w14:solidFill>
                </w14:textFill>
              </w:rPr>
              <w:t>；</w:t>
            </w:r>
          </w:p>
          <w:p>
            <w:pPr>
              <w:pStyle w:val="24"/>
              <w:ind w:firstLine="480" w:firstLineChars="200"/>
              <w:rPr>
                <w:rFonts w:ascii="仿宋_GB2312" w:hAnsi="仿宋" w:eastAsia="仿宋_GB2312"/>
                <w:color w:val="000000" w:themeColor="text1"/>
                <w:highlight w:val="none"/>
                <w:lang w:val="en-US"/>
                <w14:textFill>
                  <w14:solidFill>
                    <w14:schemeClr w14:val="tx1"/>
                  </w14:solidFill>
                </w14:textFill>
              </w:rPr>
            </w:pPr>
            <w:r>
              <w:rPr>
                <w:rFonts w:hint="eastAsia" w:ascii="仿宋_GB2312" w:hAnsi="仿宋" w:eastAsia="仿宋_GB2312"/>
                <w:color w:val="000000" w:themeColor="text1"/>
                <w:highlight w:val="none"/>
                <w:lang w:val="en-US"/>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000000" w:themeColor="text1"/>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000000" w:themeColor="text1"/>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olor w:val="000000" w:themeColor="text1"/>
                <w:kern w:val="28"/>
                <w:sz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olor w:val="000000" w:themeColor="text1"/>
                <w:sz w:val="24"/>
                <w:highlight w:val="none"/>
                <w14:textFill>
                  <w14:solidFill>
                    <w14:schemeClr w14:val="tx1"/>
                  </w14:solidFill>
                </w14:textFill>
              </w:rPr>
              <w:t>杭州市古墩路</w:t>
            </w:r>
            <w:r>
              <w:rPr>
                <w:rFonts w:ascii="仿宋_GB2312" w:hAnsi="仿宋" w:eastAsia="仿宋_GB2312"/>
                <w:color w:val="000000" w:themeColor="text1"/>
                <w:sz w:val="24"/>
                <w:highlight w:val="none"/>
                <w14:textFill>
                  <w14:solidFill>
                    <w14:schemeClr w14:val="tx1"/>
                  </w14:solidFill>
                </w14:textFill>
              </w:rPr>
              <w:t>701号紫金广场A座1209室</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；备份投标文件签收人员：赵海峰；联系电话：</w:t>
            </w:r>
            <w:r>
              <w:rPr>
                <w:rFonts w:ascii="仿宋_GB2312" w:hAnsi="仿宋" w:eastAsia="仿宋_GB2312"/>
                <w:color w:val="000000" w:themeColor="text1"/>
                <w:sz w:val="24"/>
                <w:highlight w:val="none"/>
                <w14:textFill>
                  <w14:solidFill>
                    <w14:schemeClr w14:val="tx1"/>
                  </w14:solidFill>
                </w14:textFill>
              </w:rPr>
              <w:t>13758140470</w:t>
            </w:r>
            <w:r>
              <w:rPr>
                <w:rFonts w:hint="eastAsia" w:ascii="仿宋_GB2312" w:hAnsi="仿宋" w:eastAsia="仿宋_GB2312" w:cs="仿宋_GB2312"/>
                <w:color w:val="000000" w:themeColor="text1"/>
                <w:sz w:val="24"/>
                <w:szCs w:val="24"/>
                <w:highlight w:val="none"/>
                <w14:textFill>
                  <w14:solidFill>
                    <w14:schemeClr w14:val="tx1"/>
                  </w14:solidFill>
                </w14:textFill>
              </w:rPr>
              <w:t>。</w:t>
            </w: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1、本项目的采购代理费由中标人支付，以中标金额作为收费的计算基数，费用按计价【2002】1980号文规定的60%收取。结算方式及时间为：中标之日起5个工作日之内一次性支付给招标代理公司。</w:t>
            </w:r>
          </w:p>
          <w:p>
            <w:pPr>
              <w:spacing w:line="360" w:lineRule="auto"/>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 xml:space="preserve">收款单位（户名）：浙江省成套工程有限公司 </w:t>
            </w:r>
          </w:p>
          <w:p>
            <w:pPr>
              <w:spacing w:line="360" w:lineRule="auto"/>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开户银行：杭州联合农村合作银行三墩支行</w:t>
            </w:r>
          </w:p>
          <w:p>
            <w:pPr>
              <w:spacing w:line="360" w:lineRule="auto"/>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银行账号：201000065548152</w:t>
            </w:r>
          </w:p>
          <w:p>
            <w:pPr>
              <w:spacing w:line="360" w:lineRule="auto"/>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2、本项目采用联合体投标的，参加联合体的供应商均应当具备政府采购法第二十二条规定的条件，并应当在响应文件中提交联合体协议（格式自拟），载明联合体各方承担的工作和义务。联合体各方应当共同与采购人签订采购合同，就采购合同约定的事项对采购人承担连带责任。</w:t>
            </w:r>
          </w:p>
        </w:tc>
      </w:tr>
    </w:tbl>
    <w:p>
      <w:pPr>
        <w:rPr>
          <w:rFonts w:ascii="仿宋" w:hAnsi="仿宋" w:eastAsia="仿宋" w:cs="仿宋_GB2312"/>
          <w:b/>
          <w:color w:val="000000" w:themeColor="text1"/>
          <w:sz w:val="32"/>
          <w:szCs w:val="20"/>
          <w:highlight w:val="none"/>
          <w14:textFill>
            <w14:solidFill>
              <w14:schemeClr w14:val="tx1"/>
            </w14:solidFill>
          </w14:textFill>
        </w:rPr>
      </w:pPr>
      <w:r>
        <w:rPr>
          <w:rFonts w:ascii="仿宋" w:hAnsi="仿宋" w:eastAsia="仿宋" w:cs="仿宋_GB2312"/>
          <w:b/>
          <w:color w:val="000000" w:themeColor="text1"/>
          <w:sz w:val="32"/>
          <w:szCs w:val="20"/>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bookmarkEnd w:id="10"/>
    <w:p>
      <w:pPr>
        <w:adjustRightInd/>
        <w:spacing w:line="360" w:lineRule="auto"/>
        <w:ind w:firstLine="3845" w:firstLineChars="1197"/>
        <w:outlineLvl w:val="0"/>
        <w:rPr>
          <w:rFonts w:ascii="仿宋_GB2312" w:hAnsi="仿宋" w:eastAsia="仿宋_GB2312" w:cs="仿宋_GB2312"/>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仿宋_GB2312" w:hAnsi="仿宋" w:eastAsia="仿宋_GB2312" w:cs="仿宋_GB2312"/>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 xml:space="preserve">1. </w:t>
      </w:r>
      <w:r>
        <w:rPr>
          <w:rFonts w:hint="eastAsia" w:ascii="仿宋_GB2312" w:hAnsi="仿宋" w:eastAsia="仿宋_GB2312"/>
          <w:b/>
          <w:color w:val="000000" w:themeColor="text1"/>
          <w:sz w:val="24"/>
          <w:highlight w:val="none"/>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2.1 </w:t>
      </w:r>
      <w:r>
        <w:rPr>
          <w:rFonts w:hint="eastAsia" w:ascii="仿宋_GB2312" w:hAnsi="仿宋" w:eastAsia="仿宋_GB2312"/>
          <w:color w:val="000000" w:themeColor="text1"/>
          <w:sz w:val="24"/>
          <w:highlight w:val="none"/>
          <w14:textFill>
            <w14:solidFill>
              <w14:schemeClr w14:val="tx1"/>
            </w14:solidFill>
          </w14:textFill>
        </w:rPr>
        <w:t>“采购人”系指招标公告中载明的本项目的采购人。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2.2 </w:t>
      </w:r>
      <w:r>
        <w:rPr>
          <w:rFonts w:hint="eastAsia" w:ascii="仿宋_GB2312" w:hAnsi="仿宋" w:eastAsia="仿宋_GB2312"/>
          <w:color w:val="000000" w:themeColor="text1"/>
          <w:sz w:val="24"/>
          <w:highlight w:val="none"/>
          <w14:textFill>
            <w14:solidFill>
              <w14:schemeClr w14:val="tx1"/>
            </w14:solidFill>
          </w14:textFill>
        </w:rPr>
        <w:t>“采购机构”系指招标公告中载明的本项目的采购机构。</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2.3 </w:t>
      </w:r>
      <w:r>
        <w:rPr>
          <w:rFonts w:hint="eastAsia" w:ascii="仿宋_GB2312" w:hAnsi="仿宋" w:eastAsia="仿宋_GB2312"/>
          <w:color w:val="000000" w:themeColor="text1"/>
          <w:sz w:val="24"/>
          <w:highlight w:val="none"/>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2.4 </w:t>
      </w:r>
      <w:r>
        <w:rPr>
          <w:rFonts w:hint="eastAsia" w:ascii="仿宋_GB2312" w:hAnsi="仿宋" w:eastAsia="仿宋_GB2312"/>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2.5项目建设单位系指“中电建路桥集团（杭州）大江东投资发展有限公司”；</w:t>
      </w:r>
    </w:p>
    <w:p>
      <w:pPr>
        <w:spacing w:line="360" w:lineRule="auto"/>
        <w:ind w:firstLine="480" w:firstLineChars="200"/>
        <w:rPr>
          <w:color w:val="000000" w:themeColor="text1"/>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2.6项目业主单位系指“杭州市钱塘区交通运输局”；</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r>
        <w:rPr>
          <w:rFonts w:hint="eastAsia" w:ascii="仿宋_GB2312" w:hAnsi="仿宋" w:eastAsia="仿宋_GB2312"/>
          <w:color w:val="000000" w:themeColor="text1"/>
          <w:sz w:val="24"/>
          <w:highlight w:val="none"/>
          <w14:textFill>
            <w14:solidFill>
              <w14:schemeClr w14:val="tx1"/>
            </w14:solidFill>
          </w14:textFill>
        </w:rPr>
        <w:t>7</w:t>
      </w:r>
      <w:r>
        <w:rPr>
          <w:rFonts w:ascii="仿宋_GB2312" w:hAnsi="仿宋" w:eastAsia="仿宋_GB2312"/>
          <w:color w:val="000000" w:themeColor="text1"/>
          <w:sz w:val="24"/>
          <w:highlight w:val="none"/>
          <w14:textFill>
            <w14:solidFill>
              <w14:schemeClr w14:val="tx1"/>
            </w14:solidFill>
          </w14:textFill>
        </w:rPr>
        <w:t>“电子签名”系指数据电文中以电子形式所含、所附用于识别签名人身份并表明签名人认可其中内容的数据；</w:t>
      </w:r>
      <w:r>
        <w:rPr>
          <w:rFonts w:hint="eastAsia" w:ascii="仿宋" w:hAnsi="仿宋" w:eastAsia="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highlight w:val="none"/>
          <w14:textFill>
            <w14:solidFill>
              <w14:schemeClr w14:val="tx1"/>
            </w14:solidFill>
          </w14:textFill>
        </w:rPr>
        <w:t>4）</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r>
        <w:rPr>
          <w:rFonts w:hint="eastAsia" w:ascii="仿宋_GB2312" w:hAnsi="仿宋" w:eastAsia="仿宋_GB2312"/>
          <w:color w:val="000000" w:themeColor="text1"/>
          <w:sz w:val="24"/>
          <w:highlight w:val="none"/>
          <w14:textFill>
            <w14:solidFill>
              <w14:schemeClr w14:val="tx1"/>
            </w14:solidFill>
          </w14:textFill>
        </w:rPr>
        <w:t>8</w:t>
      </w:r>
      <w:r>
        <w:rPr>
          <w:rFonts w:ascii="仿宋_GB2312" w:hAnsi="仿宋" w:eastAsia="仿宋_GB2312"/>
          <w:color w:val="000000" w:themeColor="text1"/>
          <w:sz w:val="24"/>
          <w:highlight w:val="none"/>
          <w14:textFill>
            <w14:solidFill>
              <w14:schemeClr w14:val="tx1"/>
            </w14:solidFill>
          </w14:textFill>
        </w:rPr>
        <w:t>“电子交易平台”是指本项目政府采购活动所依托的政府采购云平台（https://www.zcygov.cn/）。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r>
        <w:rPr>
          <w:rFonts w:hint="eastAsia" w:ascii="仿宋_GB2312" w:hAnsi="仿宋" w:eastAsia="仿宋_GB2312"/>
          <w:color w:val="000000" w:themeColor="text1"/>
          <w:sz w:val="24"/>
          <w:highlight w:val="none"/>
          <w14:textFill>
            <w14:solidFill>
              <w14:schemeClr w14:val="tx1"/>
            </w14:solidFill>
          </w14:textFill>
        </w:rPr>
        <w:t>9“▲”</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MS Gothic" w:cs="Arial"/>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924730588"/>
              <w:showingPlcHdr/>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sdt>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spacing w:line="360" w:lineRule="auto"/>
        <w:ind w:firstLine="241" w:firstLineChars="1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3.</w:t>
      </w:r>
      <w:r>
        <w:rPr>
          <w:rFonts w:ascii="仿宋_GB2312" w:hAnsi="仿宋" w:eastAsia="仿宋_GB2312"/>
          <w:color w:val="000000" w:themeColor="text1"/>
          <w:highlight w:val="none"/>
          <w14:textFill>
            <w14:solidFill>
              <w14:schemeClr w14:val="tx1"/>
            </w14:solidFill>
          </w14:textFill>
        </w:rPr>
        <w:t xml:space="preserve"> </w:t>
      </w:r>
      <w:r>
        <w:rPr>
          <w:rFonts w:hint="eastAsia" w:ascii="仿宋_GB2312" w:hAnsi="仿宋" w:eastAsia="仿宋_GB2312"/>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3.1 </w:t>
      </w:r>
      <w:r>
        <w:rPr>
          <w:rFonts w:hint="eastAsia" w:ascii="仿宋_GB2312" w:hAnsi="仿宋" w:eastAsia="仿宋_GB2312"/>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w:t>
      </w:r>
      <w:r>
        <w:rPr>
          <w:rFonts w:hint="eastAsia" w:ascii="仿宋_GB2312" w:eastAsia="仿宋_GB2312"/>
          <w:bCs/>
          <w:color w:val="000000" w:themeColor="text1"/>
          <w:sz w:val="24"/>
          <w:highlight w:val="none"/>
          <w14:textFill>
            <w14:solidFill>
              <w14:schemeClr w14:val="tx1"/>
            </w14:solidFill>
          </w14:textFill>
        </w:rPr>
        <w:t>支持创新发展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3.4.1 采购人优先采购被认定</w:t>
      </w:r>
      <w:r>
        <w:rPr>
          <w:rFonts w:hint="eastAsia" w:ascii="仿宋_GB2312" w:hAnsi="仿宋" w:eastAsia="仿宋_GB2312"/>
          <w:color w:val="000000" w:themeColor="text1"/>
          <w:sz w:val="24"/>
          <w:highlight w:val="none"/>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3.4.2首台套产品</w:t>
      </w:r>
      <w:r>
        <w:rPr>
          <w:rFonts w:hint="eastAsia" w:ascii="仿宋_GB2312" w:hAnsi="仿宋" w:eastAsia="仿宋_GB2312"/>
          <w:color w:val="000000" w:themeColor="text1"/>
          <w:sz w:val="24"/>
          <w:highlight w:val="none"/>
          <w14:textFill>
            <w14:solidFill>
              <w14:schemeClr w14:val="tx1"/>
            </w14:solidFill>
          </w14:textFill>
        </w:rPr>
        <w:t>被纳入《首台套产品推广应用指导目录》之日起</w:t>
      </w:r>
      <w:r>
        <w:rPr>
          <w:rFonts w:ascii="仿宋_GB2312" w:hAnsi="仿宋" w:eastAsia="仿宋_GB2312"/>
          <w:color w:val="000000" w:themeColor="text1"/>
          <w:sz w:val="24"/>
          <w:highlight w:val="none"/>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highlight w:val="none"/>
          <w14:textFill>
            <w14:solidFill>
              <w14:schemeClr w14:val="tx1"/>
            </w14:solidFill>
          </w14:textFill>
        </w:rPr>
        <w:t>自认定之日起</w:t>
      </w:r>
      <w:r>
        <w:rPr>
          <w:rFonts w:ascii="仿宋_GB2312" w:hAnsi="仿宋" w:eastAsia="仿宋_GB2312"/>
          <w:color w:val="000000" w:themeColor="text1"/>
          <w:sz w:val="24"/>
          <w:highlight w:val="none"/>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highlight w:val="none"/>
          <w14:textFill>
            <w14:solidFill>
              <w14:schemeClr w14:val="tx1"/>
            </w14:solidFill>
          </w14:textFill>
        </w:rPr>
        <w:t>时业绩分值为满分。</w:t>
      </w: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3.5中小企业信用融资：</w:t>
      </w:r>
      <w:r>
        <w:rPr>
          <w:rFonts w:hint="eastAsia" w:ascii="仿宋_GB2312" w:hAnsi="仿宋" w:eastAsia="仿宋_GB2312"/>
          <w:snapToGrid w:val="0"/>
          <w:color w:val="000000" w:themeColor="text1"/>
          <w:kern w:val="28"/>
          <w:sz w:val="24"/>
          <w:highlight w:val="none"/>
          <w14:textFill>
            <w14:solidFill>
              <w14:schemeClr w14:val="tx1"/>
            </w14:solidFill>
          </w14:textFill>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000000" w:themeColor="text1"/>
          <w:sz w:val="24"/>
          <w:highlight w:val="none"/>
          <w14:textFill>
            <w14:solidFill>
              <w14:schemeClr w14:val="tx1"/>
            </w14:solidFill>
          </w14:textFill>
        </w:rPr>
        <w:cr/>
      </w:r>
      <w:r>
        <w:rPr>
          <w:rFonts w:ascii="仿宋_GB2312" w:hAnsi="仿宋" w:eastAsia="仿宋_GB2312"/>
          <w:b/>
          <w:color w:val="000000" w:themeColor="text1"/>
          <w:sz w:val="24"/>
          <w:highlight w:val="none"/>
          <w14:textFill>
            <w14:solidFill>
              <w14:schemeClr w14:val="tx1"/>
            </w14:solidFill>
          </w14:textFill>
        </w:rPr>
        <w:t xml:space="preserve">4. </w:t>
      </w:r>
      <w:r>
        <w:rPr>
          <w:rFonts w:hint="eastAsia" w:ascii="仿宋_GB2312" w:hAnsi="仿宋" w:eastAsia="仿宋_GB2312"/>
          <w:b/>
          <w:color w:val="000000" w:themeColor="text1"/>
          <w:sz w:val="24"/>
          <w:highlight w:val="none"/>
          <w14:textFill>
            <w14:solidFill>
              <w14:schemeClr w14:val="tx1"/>
            </w14:solidFill>
          </w14:textFill>
        </w:rPr>
        <w:t>询问、质疑、投诉</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33"/>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　　</w:t>
      </w:r>
      <w:r>
        <w:rPr>
          <w:rFonts w:ascii="仿宋_GB2312" w:hAnsi="仿宋" w:eastAsia="仿宋_GB2312" w:cs="微软雅黑"/>
          <w:color w:val="000000" w:themeColor="text1"/>
          <w:kern w:val="0"/>
          <w:sz w:val="24"/>
          <w:highlight w:val="none"/>
          <w:lang w:val="zh-CN"/>
          <w14:textFill>
            <w14:solidFill>
              <w14:schemeClr w14:val="tx1"/>
            </w14:solidFill>
          </w14:textFill>
        </w:rPr>
        <w:t>4.2.3.1</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供应商的姓名或者名称、地址、邮编、联系人及联系电话；</w:t>
      </w:r>
    </w:p>
    <w:p>
      <w:pPr>
        <w:pStyle w:val="33"/>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　　</w:t>
      </w:r>
      <w:r>
        <w:rPr>
          <w:rFonts w:ascii="仿宋_GB2312" w:hAnsi="仿宋" w:eastAsia="仿宋_GB2312" w:cs="微软雅黑"/>
          <w:color w:val="000000" w:themeColor="text1"/>
          <w:kern w:val="0"/>
          <w:sz w:val="24"/>
          <w:highlight w:val="none"/>
          <w:lang w:val="zh-CN"/>
          <w14:textFill>
            <w14:solidFill>
              <w14:schemeClr w14:val="tx1"/>
            </w14:solidFill>
          </w14:textFill>
        </w:rPr>
        <w:t>4.2.3.2</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质疑项目的名称、编号；</w:t>
      </w:r>
    </w:p>
    <w:p>
      <w:pPr>
        <w:pStyle w:val="33"/>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　　</w:t>
      </w:r>
      <w:r>
        <w:rPr>
          <w:rFonts w:ascii="仿宋_GB2312" w:hAnsi="仿宋" w:eastAsia="仿宋_GB2312" w:cs="微软雅黑"/>
          <w:color w:val="000000" w:themeColor="text1"/>
          <w:kern w:val="0"/>
          <w:sz w:val="24"/>
          <w:highlight w:val="none"/>
          <w:lang w:val="zh-CN"/>
          <w14:textFill>
            <w14:solidFill>
              <w14:schemeClr w14:val="tx1"/>
            </w14:solidFill>
          </w14:textFill>
        </w:rPr>
        <w:t>4.2.3.3</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具体、明确的质疑事项和与质疑事项相关的请求；</w:t>
      </w:r>
    </w:p>
    <w:p>
      <w:pPr>
        <w:pStyle w:val="33"/>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　　</w:t>
      </w:r>
      <w:r>
        <w:rPr>
          <w:rFonts w:ascii="仿宋_GB2312" w:hAnsi="仿宋" w:eastAsia="仿宋_GB2312" w:cs="微软雅黑"/>
          <w:color w:val="000000" w:themeColor="text1"/>
          <w:kern w:val="0"/>
          <w:sz w:val="24"/>
          <w:highlight w:val="none"/>
          <w:lang w:val="zh-CN"/>
          <w14:textFill>
            <w14:solidFill>
              <w14:schemeClr w14:val="tx1"/>
            </w14:solidFill>
          </w14:textFill>
        </w:rPr>
        <w:t>4.2.3.4</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事实依据；</w:t>
      </w:r>
    </w:p>
    <w:p>
      <w:pPr>
        <w:pStyle w:val="33"/>
        <w:spacing w:line="360" w:lineRule="auto"/>
        <w:ind w:firstLine="480" w:firstLineChars="2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　　</w:t>
      </w:r>
      <w:r>
        <w:rPr>
          <w:rFonts w:ascii="仿宋_GB2312" w:hAnsi="仿宋" w:eastAsia="仿宋_GB2312" w:cs="微软雅黑"/>
          <w:color w:val="000000" w:themeColor="text1"/>
          <w:kern w:val="0"/>
          <w:sz w:val="24"/>
          <w:highlight w:val="none"/>
          <w:lang w:val="zh-CN"/>
          <w14:textFill>
            <w14:solidFill>
              <w14:schemeClr w14:val="tx1"/>
            </w14:solidFill>
          </w14:textFill>
        </w:rPr>
        <w:t>4.2.3.5</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必要的法律依据；</w:t>
      </w:r>
    </w:p>
    <w:p>
      <w:pPr>
        <w:pStyle w:val="33"/>
        <w:spacing w:line="360" w:lineRule="auto"/>
        <w:ind w:firstLine="960" w:firstLineChars="400"/>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4.2.3.6</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质疑函范本及制作说明详见附件</w:t>
      </w:r>
      <w:r>
        <w:rPr>
          <w:rFonts w:ascii="仿宋_GB2312" w:hAnsi="仿宋" w:eastAsia="仿宋_GB2312"/>
          <w:color w:val="000000" w:themeColor="text1"/>
          <w:highlight w:val="none"/>
          <w14:textFill>
            <w14:solidFill>
              <w14:schemeClr w14:val="tx1"/>
            </w14:solidFill>
          </w14:textFill>
        </w:rPr>
        <w:t>2。</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highlight w:val="none"/>
          <w14:textFill>
            <w14:solidFill>
              <w14:schemeClr w14:val="tx1"/>
            </w14:solidFill>
          </w14:textFill>
        </w:rPr>
        <w:t>2021〕17号）,</w:t>
      </w:r>
      <w:r>
        <w:rPr>
          <w:rFonts w:hint="eastAsia" w:ascii="仿宋_GB2312" w:hAnsi="仿宋" w:eastAsia="仿宋_GB2312"/>
          <w:color w:val="000000" w:themeColor="text1"/>
          <w:highlight w:val="none"/>
          <w14:textFill>
            <w14:solidFill>
              <w14:schemeClr w14:val="tx1"/>
            </w14:solidFill>
          </w14:textFill>
        </w:rPr>
        <w:t>采购人或者采购机构在质疑回复后</w:t>
      </w:r>
      <w:r>
        <w:rPr>
          <w:rFonts w:ascii="仿宋_GB2312" w:hAnsi="仿宋" w:eastAsia="仿宋_GB2312"/>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highlight w:val="none"/>
          <w14:textFill>
            <w14:solidFill>
              <w14:schemeClr w14:val="tx1"/>
            </w14:solidFill>
          </w14:textFill>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4.3.1质疑供应商对采购人、采购机构的答复不满意或者采购人、采购机构未在规定的时间内</w:t>
      </w:r>
      <w:r>
        <w:rPr>
          <w:rFonts w:hint="eastAsia" w:ascii="仿宋_GB2312" w:hAnsi="仿宋" w:eastAsia="仿宋_GB2312"/>
          <w:color w:val="000000" w:themeColor="text1"/>
          <w:highlight w:val="none"/>
          <w14:textFill>
            <w14:solidFill>
              <w14:schemeClr w14:val="tx1"/>
            </w14:solidFill>
          </w14:textFill>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w:t>
      </w:r>
      <w:r>
        <w:rPr>
          <w:rFonts w:ascii="仿宋_GB2312" w:hAnsi="仿宋" w:eastAsia="仿宋_GB2312" w:cs="微软雅黑"/>
          <w:color w:val="000000" w:themeColor="text1"/>
          <w:highlight w:val="none"/>
          <w:lang w:val="zh-CN"/>
          <w14:textFill>
            <w14:solidFill>
              <w14:schemeClr w14:val="tx1"/>
            </w14:solidFill>
          </w14:textFill>
        </w:rPr>
        <w:t>2</w:t>
      </w:r>
      <w:r>
        <w:rPr>
          <w:rFonts w:hint="eastAsia" w:ascii="仿宋_GB2312" w:hAnsi="仿宋" w:eastAsia="仿宋_GB2312"/>
          <w:color w:val="000000" w:themeColor="text1"/>
          <w:highlight w:val="none"/>
          <w14:textFill>
            <w14:solidFill>
              <w14:schemeClr w14:val="tx1"/>
            </w14:solidFill>
          </w14:textFill>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4.3.3供应</w:t>
      </w:r>
      <w:r>
        <w:rPr>
          <w:rFonts w:hint="eastAsia" w:ascii="仿宋_GB2312" w:hAnsi="仿宋" w:eastAsia="仿宋_GB2312"/>
          <w:color w:val="000000" w:themeColor="text1"/>
          <w:highlight w:val="none"/>
          <w14:textFill>
            <w14:solidFill>
              <w14:schemeClr w14:val="tx1"/>
            </w14:solidFill>
          </w14:textFill>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4.3.</w:t>
      </w:r>
      <w:r>
        <w:rPr>
          <w:rFonts w:hint="eastAsia" w:ascii="仿宋_GB2312" w:hAnsi="仿宋" w:eastAsia="仿宋_GB2312"/>
          <w:color w:val="000000" w:themeColor="text1"/>
          <w:highlight w:val="none"/>
          <w14:textFill>
            <w14:solidFill>
              <w14:schemeClr w14:val="tx1"/>
            </w14:solidFill>
          </w14:textFill>
        </w:rPr>
        <w:t>4</w:t>
      </w:r>
      <w:r>
        <w:rPr>
          <w:rFonts w:ascii="仿宋_GB2312" w:hAnsi="仿宋" w:eastAsia="仿宋_GB2312"/>
          <w:color w:val="000000" w:themeColor="text1"/>
          <w:highlight w:val="none"/>
          <w14:textFill>
            <w14:solidFill>
              <w14:schemeClr w14:val="tx1"/>
            </w14:solidFill>
          </w14:textFill>
        </w:rPr>
        <w:t xml:space="preserve"> </w:t>
      </w:r>
      <w:r>
        <w:rPr>
          <w:rFonts w:hint="eastAsia" w:ascii="仿宋_GB2312" w:hAnsi="仿宋" w:eastAsia="仿宋_GB2312"/>
          <w:color w:val="000000" w:themeColor="text1"/>
          <w:highlight w:val="none"/>
          <w14:textFill>
            <w14:solidFill>
              <w14:schemeClr w14:val="tx1"/>
            </w14:solidFill>
          </w14:textFill>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投诉书范本及制作说明详见附件</w:t>
      </w:r>
      <w:r>
        <w:rPr>
          <w:rFonts w:ascii="仿宋_GB2312" w:hAnsi="仿宋" w:eastAsia="仿宋_GB2312"/>
          <w:color w:val="000000" w:themeColor="text1"/>
          <w:highlight w:val="none"/>
          <w14:textFill>
            <w14:solidFill>
              <w14:schemeClr w14:val="tx1"/>
            </w14:solidFill>
          </w14:textFill>
        </w:rPr>
        <w:t>3。</w:t>
      </w:r>
    </w:p>
    <w:p>
      <w:pPr>
        <w:pStyle w:val="129"/>
        <w:snapToGrid w:val="0"/>
        <w:spacing w:before="0"/>
        <w:ind w:firstLine="360"/>
        <w:rPr>
          <w:rFonts w:ascii="仿宋_GB2312" w:hAnsi="仿宋" w:eastAsia="仿宋_GB2312" w:cs="仿宋_GB2312"/>
          <w:color w:val="000000" w:themeColor="text1"/>
          <w:sz w:val="18"/>
          <w:szCs w:val="18"/>
          <w:highlight w:val="none"/>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2"/>
          <w:szCs w:val="20"/>
          <w:highlight w:val="none"/>
          <w14:textFill>
            <w14:solidFill>
              <w14:schemeClr w14:val="tx1"/>
            </w14:solidFill>
          </w14:textFill>
        </w:rPr>
      </w:pPr>
      <w:r>
        <w:rPr>
          <w:rFonts w:ascii="仿宋_GB2312" w:hAnsi="仿宋" w:eastAsia="仿宋_GB2312" w:cs="仿宋_GB2312"/>
          <w:b/>
          <w:color w:val="000000" w:themeColor="text1"/>
          <w:sz w:val="32"/>
          <w:szCs w:val="20"/>
          <w:highlight w:val="none"/>
          <w14:textFill>
            <w14:solidFill>
              <w14:schemeClr w14:val="tx1"/>
            </w14:solidFill>
          </w14:textFill>
        </w:rPr>
        <w:t xml:space="preserve">      二、招标文件的构成、澄清、修改</w:t>
      </w:r>
    </w:p>
    <w:p>
      <w:pPr>
        <w:pStyle w:val="33"/>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5．招标文件的构成</w:t>
      </w:r>
    </w:p>
    <w:p>
      <w:pPr>
        <w:pStyle w:val="33"/>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pStyle w:val="33"/>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6. </w:t>
      </w:r>
      <w:r>
        <w:rPr>
          <w:rFonts w:hint="eastAsia" w:ascii="仿宋_GB2312" w:hAnsi="仿宋" w:eastAsia="仿宋_GB2312" w:cs="仿宋_GB2312"/>
          <w:b/>
          <w:color w:val="000000" w:themeColor="text1"/>
          <w:sz w:val="24"/>
          <w:szCs w:val="24"/>
          <w:highlight w:val="none"/>
          <w14:textFill>
            <w14:solidFill>
              <w14:schemeClr w14:val="tx1"/>
            </w14:solidFill>
          </w14:textFill>
        </w:rPr>
        <w:t>招标文件的澄清、修改</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color w:val="000000" w:themeColor="text1"/>
          <w:sz w:val="18"/>
          <w:szCs w:val="18"/>
          <w:highlight w:val="none"/>
          <w:lang w:val="en-US"/>
          <w14:textFill>
            <w14:solidFill>
              <w14:schemeClr w14:val="tx1"/>
            </w14:solidFill>
          </w14:textFill>
        </w:rPr>
      </w:pPr>
      <w:r>
        <w:rPr>
          <w:rFonts w:ascii="仿宋_GB2312" w:hAnsi="仿宋" w:eastAsia="仿宋_GB2312" w:cs="仿宋_GB2312"/>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仿宋_GB2312" w:hAnsi="仿宋" w:eastAsia="仿宋_GB2312" w:cs="仿宋_GB2312"/>
          <w:b/>
          <w:color w:val="000000" w:themeColor="text1"/>
          <w:sz w:val="30"/>
          <w:szCs w:val="20"/>
          <w:highlight w:val="none"/>
          <w14:textFill>
            <w14:solidFill>
              <w14:schemeClr w14:val="tx1"/>
            </w14:solidFill>
          </w14:textFill>
        </w:rPr>
      </w:pPr>
      <w:r>
        <w:rPr>
          <w:rFonts w:hint="eastAsia" w:ascii="仿宋_GB2312" w:hAnsi="仿宋" w:eastAsia="仿宋_GB2312" w:cs="仿宋_GB2312"/>
          <w:b/>
          <w:color w:val="000000" w:themeColor="text1"/>
          <w:sz w:val="30"/>
          <w:szCs w:val="20"/>
          <w:highlight w:val="none"/>
          <w14:textFill>
            <w14:solidFill>
              <w14:schemeClr w14:val="tx1"/>
            </w14:solidFill>
          </w14:textFill>
        </w:rPr>
        <w:t>三、投标</w:t>
      </w:r>
    </w:p>
    <w:p>
      <w:pPr>
        <w:pStyle w:val="33"/>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7. </w:t>
      </w:r>
      <w:r>
        <w:rPr>
          <w:rFonts w:hint="eastAsia" w:ascii="仿宋_GB2312" w:hAnsi="仿宋" w:eastAsia="仿宋_GB2312" w:cs="仿宋_GB2312"/>
          <w:b/>
          <w:color w:val="000000" w:themeColor="text1"/>
          <w:sz w:val="24"/>
          <w:szCs w:val="24"/>
          <w:highlight w:val="none"/>
          <w14:textFill>
            <w14:solidFill>
              <w14:schemeClr w14:val="tx1"/>
            </w14:solidFill>
          </w14:textFill>
        </w:rPr>
        <w:t>招标文件的获取</w:t>
      </w:r>
    </w:p>
    <w:p>
      <w:pPr>
        <w:spacing w:line="360" w:lineRule="auto"/>
        <w:ind w:firstLine="480" w:firstLineChars="200"/>
        <w:rPr>
          <w:rFonts w:ascii="仿宋_GB2312" w:hAnsi="仿宋" w:eastAsia="仿宋_GB2312" w:cs="仿宋_GB2312"/>
          <w:snapToGrid w:val="0"/>
          <w:color w:val="000000" w:themeColor="text1"/>
          <w:kern w:val="28"/>
          <w:sz w:val="24"/>
          <w:highlight w:val="none"/>
          <w14:textFill>
            <w14:solidFill>
              <w14:schemeClr w14:val="tx1"/>
            </w14:solidFill>
          </w14:textFill>
        </w:rPr>
      </w:pPr>
      <w:r>
        <w:rPr>
          <w:rFonts w:hint="eastAsia" w:ascii="仿宋_GB2312" w:hAnsi="仿宋" w:eastAsia="仿宋_GB2312" w:cs="仿宋_GB2312"/>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8.开标前答疑会或现场考察</w:t>
      </w:r>
    </w:p>
    <w:p>
      <w:pPr>
        <w:pStyle w:val="33"/>
        <w:spacing w:line="360" w:lineRule="auto"/>
        <w:ind w:firstLine="480" w:firstLineChars="2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pStyle w:val="33"/>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10.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 xml:space="preserve">11. </w:t>
      </w:r>
      <w:r>
        <w:rPr>
          <w:rFonts w:hint="eastAsia" w:ascii="仿宋_GB2312" w:hAnsi="仿宋" w:eastAsia="仿宋_GB2312" w:cs="仿宋_GB2312"/>
          <w:b/>
          <w:color w:val="000000" w:themeColor="text1"/>
          <w:sz w:val="24"/>
          <w:szCs w:val="24"/>
          <w:highlight w:val="none"/>
          <w14:textFill>
            <w14:solidFill>
              <w14:schemeClr w14:val="tx1"/>
            </w14:solidFill>
          </w14:textFill>
        </w:rPr>
        <w:t>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11.2.3符合性审查资料；</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11.2.4投标人业绩</w:t>
      </w:r>
      <w:r>
        <w:rPr>
          <w:rFonts w:hint="eastAsia" w:ascii="仿宋_GB2312" w:hAnsi="仿宋" w:eastAsia="仿宋_GB2312" w:cs="仿宋_GB2312"/>
          <w:color w:val="000000" w:themeColor="text1"/>
          <w:sz w:val="24"/>
          <w:highlight w:val="none"/>
          <w14:textFill>
            <w14:solidFill>
              <w14:schemeClr w14:val="tx1"/>
            </w14:solidFill>
          </w14:textFill>
        </w:rPr>
        <w:t>（如有）</w:t>
      </w:r>
      <w:r>
        <w:rPr>
          <w:rFonts w:ascii="仿宋_GB2312" w:hAnsi="仿宋" w:eastAsia="仿宋_GB2312" w:cs="仿宋_GB2312"/>
          <w:color w:val="000000" w:themeColor="text1"/>
          <w:sz w:val="24"/>
          <w:highlight w:val="none"/>
          <w14:textFill>
            <w14:solidFill>
              <w14:schemeClr w14:val="tx1"/>
            </w14:solidFill>
          </w14:textFill>
        </w:rPr>
        <w:t>；</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14:textFill>
            <w14:solidFill>
              <w14:schemeClr w14:val="tx1"/>
            </w14:solidFill>
          </w14:textFill>
        </w:rPr>
        <w:t>5</w:t>
      </w:r>
      <w:r>
        <w:rPr>
          <w:rFonts w:ascii="仿宋_GB2312" w:hAnsi="仿宋" w:eastAsia="仿宋_GB2312" w:cs="仿宋_GB2312"/>
          <w:color w:val="000000" w:themeColor="text1"/>
          <w:sz w:val="24"/>
          <w:highlight w:val="none"/>
          <w14:textFill>
            <w14:solidFill>
              <w14:schemeClr w14:val="tx1"/>
            </w14:solidFill>
          </w14:textFill>
        </w:rPr>
        <w:t>项目负责人能力；</w:t>
      </w:r>
    </w:p>
    <w:p>
      <w:pPr>
        <w:pStyle w:val="2"/>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12.2.6 财务主审能力；</w:t>
      </w:r>
    </w:p>
    <w:p>
      <w:pPr>
        <w:pStyle w:val="2"/>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14:textFill>
            <w14:solidFill>
              <w14:schemeClr w14:val="tx1"/>
            </w14:solidFill>
          </w14:textFill>
        </w:rPr>
        <w:t>7</w:t>
      </w:r>
      <w:r>
        <w:rPr>
          <w:rFonts w:ascii="仿宋_GB2312" w:hAnsi="仿宋" w:eastAsia="仿宋_GB2312" w:cs="仿宋_GB2312"/>
          <w:color w:val="000000" w:themeColor="text1"/>
          <w:sz w:val="24"/>
          <w:highlight w:val="none"/>
          <w14:textFill>
            <w14:solidFill>
              <w14:schemeClr w14:val="tx1"/>
            </w14:solidFill>
          </w14:textFill>
        </w:rPr>
        <w:t>项目组人员配置及分工（需提供拟派本项目人员汇总表，驻场各专业人员须单独注明，项目组人员专业结构搭配合理）；</w:t>
      </w:r>
    </w:p>
    <w:p>
      <w:pPr>
        <w:pStyle w:val="2"/>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11.2.8 管理体系证书（如有）</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11.2.9造价咨询服务大纲；</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①造价咨询服务技术方案；</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②造价咨询服务理念；</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③造价咨询服务组织实施；</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④造价咨询服务相关人员的组织分工；</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⑤造价咨询服务的痕迹管理方案；</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⑥驻场人员安排方案；</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⑦造价咨询服务的管理体系方案；</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⑧服务成果文件的编制方案；</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11.2.10造价咨询服务质量承诺、内部质量管理制度；</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12.2.11造价咨询服务的疑难点考虑；</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12.2.12 合理化建议；</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12.2.13 工作时效性及本地化服务能力；</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12.2.14误差率承诺情况；</w:t>
      </w:r>
    </w:p>
    <w:p>
      <w:pPr>
        <w:snapToGrid w:val="0"/>
        <w:spacing w:line="480" w:lineRule="exact"/>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15</w:t>
      </w:r>
      <w:r>
        <w:rPr>
          <w:rFonts w:ascii="仿宋_GB2312" w:hAnsi="仿宋" w:eastAsia="仿宋_GB2312" w:cs="仿宋_GB2312"/>
          <w:color w:val="000000" w:themeColor="text1"/>
          <w:sz w:val="24"/>
          <w:highlight w:val="none"/>
          <w14:textFill>
            <w14:solidFill>
              <w14:schemeClr w14:val="tx1"/>
            </w14:solidFill>
          </w14:textFill>
        </w:rPr>
        <w:t>商务技术偏离表；</w:t>
      </w:r>
    </w:p>
    <w:p>
      <w:pPr>
        <w:snapToGrid w:val="0"/>
        <w:spacing w:line="480" w:lineRule="exact"/>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14:textFill>
            <w14:solidFill>
              <w14:schemeClr w14:val="tx1"/>
            </w14:solidFill>
          </w14:textFill>
        </w:rPr>
        <w:t>16</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480" w:lineRule="exact"/>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w:t>
      </w:r>
      <w:r>
        <w:rPr>
          <w:rFonts w:hint="eastAsia" w:ascii="仿宋_GB2312" w:hAnsi="仿宋" w:eastAsia="仿宋_GB2312" w:cs="仿宋_GB2312"/>
          <w:color w:val="000000" w:themeColor="text1"/>
          <w:sz w:val="24"/>
          <w:highlight w:val="none"/>
          <w14:textFill>
            <w14:solidFill>
              <w14:schemeClr w14:val="tx1"/>
            </w14:solidFill>
          </w14:textFill>
        </w:rPr>
        <w:t>17</w:t>
      </w:r>
      <w:r>
        <w:rPr>
          <w:rFonts w:ascii="仿宋_GB2312" w:hAnsi="仿宋" w:eastAsia="仿宋_GB2312" w:cs="仿宋_GB2312"/>
          <w:color w:val="000000" w:themeColor="text1"/>
          <w:sz w:val="24"/>
          <w:highlight w:val="none"/>
          <w14:textFill>
            <w14:solidFill>
              <w14:schemeClr w14:val="tx1"/>
            </w14:solidFill>
          </w14:textFill>
        </w:rPr>
        <w:t>投标方针对评分规则需要说明的其他文件和说明（格式自拟）。</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pStyle w:val="33"/>
        <w:ind w:firstLine="480" w:firstLineChars="200"/>
        <w:rPr>
          <w:rFonts w:hAnsi="宋体" w:cs="宋体"/>
          <w:color w:val="000000" w:themeColor="text1"/>
          <w:kern w:val="0"/>
          <w:highlight w:val="none"/>
          <w14:textFill>
            <w14:solidFill>
              <w14:schemeClr w14:val="tx1"/>
            </w14:solidFill>
          </w14:textFill>
        </w:rPr>
      </w:pPr>
      <w:r>
        <w:rPr>
          <w:rFonts w:ascii="仿宋_GB2312" w:hAnsi="仿宋" w:eastAsia="仿宋_GB2312" w:cs="仿宋_GB2312"/>
          <w:snapToGrid/>
          <w:color w:val="000000" w:themeColor="text1"/>
          <w:kern w:val="0"/>
          <w:sz w:val="24"/>
          <w:szCs w:val="24"/>
          <w:highlight w:val="none"/>
          <w14:textFill>
            <w14:solidFill>
              <w14:schemeClr w14:val="tx1"/>
            </w14:solidFill>
          </w14:textFill>
        </w:rPr>
        <w:t>11.4投标报价：</w:t>
      </w:r>
    </w:p>
    <w:p>
      <w:pPr>
        <w:pStyle w:val="33"/>
        <w:spacing w:line="360" w:lineRule="auto"/>
        <w:ind w:firstLine="482"/>
        <w:rPr>
          <w:rFonts w:ascii="仿宋" w:hAnsi="仿宋" w:eastAsia="仿宋" w:cs="仿宋"/>
          <w:color w:val="000000" w:themeColor="text1"/>
          <w:kern w:val="0"/>
          <w:sz w:val="24"/>
          <w:szCs w:val="24"/>
          <w:highlight w:val="none"/>
          <w14:textFill>
            <w14:solidFill>
              <w14:schemeClr w14:val="tx1"/>
            </w14:solidFill>
          </w14:textFill>
        </w:rPr>
      </w:pPr>
      <w:r>
        <w:rPr>
          <w:rFonts w:ascii="仿宋" w:hAnsi="仿宋" w:eastAsia="仿宋" w:cs="仿宋"/>
          <w:color w:val="000000" w:themeColor="text1"/>
          <w:kern w:val="0"/>
          <w:sz w:val="24"/>
          <w:szCs w:val="24"/>
          <w:highlight w:val="none"/>
          <w14:textFill>
            <w14:solidFill>
              <w14:schemeClr w14:val="tx1"/>
            </w14:solidFill>
          </w14:textFill>
        </w:rPr>
        <w:t>11</w:t>
      </w:r>
      <w:r>
        <w:rPr>
          <w:rFonts w:ascii="仿宋_GB2312" w:hAnsi="仿宋" w:eastAsia="仿宋_GB2312" w:cs="仿宋_GB2312"/>
          <w:snapToGrid/>
          <w:color w:val="000000" w:themeColor="text1"/>
          <w:kern w:val="0"/>
          <w:sz w:val="24"/>
          <w:szCs w:val="24"/>
          <w:highlight w:val="none"/>
          <w14:textFill>
            <w14:solidFill>
              <w14:schemeClr w14:val="tx1"/>
            </w14:solidFill>
          </w14:textFill>
        </w:rPr>
        <w:t>.4</w:t>
      </w:r>
      <w:r>
        <w:rPr>
          <w:rFonts w:ascii="仿宋" w:hAnsi="仿宋" w:eastAsia="仿宋" w:cs="仿宋"/>
          <w:color w:val="000000" w:themeColor="text1"/>
          <w:kern w:val="0"/>
          <w:sz w:val="24"/>
          <w:szCs w:val="24"/>
          <w:highlight w:val="none"/>
          <w14:textFill>
            <w14:solidFill>
              <w14:schemeClr w14:val="tx1"/>
            </w14:solidFill>
          </w14:textFill>
        </w:rPr>
        <w:t>.1本次招标的</w:t>
      </w:r>
      <w:r>
        <w:rPr>
          <w:rFonts w:hint="eastAsia" w:ascii="仿宋" w:hAnsi="仿宋" w:eastAsia="仿宋" w:cs="仿宋"/>
          <w:color w:val="000000" w:themeColor="text1"/>
          <w:kern w:val="0"/>
          <w:sz w:val="24"/>
          <w:szCs w:val="24"/>
          <w:highlight w:val="none"/>
          <w14:textFill>
            <w14:solidFill>
              <w14:schemeClr w14:val="tx1"/>
            </w14:solidFill>
          </w14:textFill>
        </w:rPr>
        <w:t>全过程造价咨询服务投标报价应包括为完成本工程全过程造价咨询服务可能发生的各项费用，包括且不限于</w:t>
      </w:r>
    </w:p>
    <w:p>
      <w:pPr>
        <w:pStyle w:val="33"/>
        <w:spacing w:line="360" w:lineRule="auto"/>
        <w:ind w:firstLine="482"/>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建设期（含建设前期）工程跟踪审计（含工程量清单及预算、招标控制价的审核）、建设期（含建设前期）财务跟踪审计、竣工工程结算审核（或审价）、协助和指导建设单位编制财务决算报告、配合协助建设单位做好竣工决算审批工作、竣工财务决算审计、业主认为需要审计的其他内容以及为提供上述服务所产生人工费、现场测量费、交通、住宿、差旅费、管理费、通讯费、利润、进驻施工现场人员工伤保险费和意外伤害保险费、税金、风险费以及政策和行业规定的各项税费，凡未列入的均将被认为已包含在投标总价中；以上各项造价咨询及审计均含管线迁改工程；不包括招标代理工作。</w:t>
      </w:r>
    </w:p>
    <w:p>
      <w:pPr>
        <w:pStyle w:val="33"/>
        <w:spacing w:line="360" w:lineRule="auto"/>
        <w:ind w:firstLine="482"/>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工程结算审核追加费用按《浙江省建设工程造价咨询服务基准收费标准》（浙价服〔2009〕84号）规定执行，并由送审方承担，由项目建设单位代扣。</w:t>
      </w:r>
    </w:p>
    <w:p>
      <w:pPr>
        <w:snapToGrid w:val="0"/>
        <w:spacing w:line="360" w:lineRule="auto"/>
        <w:ind w:firstLine="482" w:firstLineChars="200"/>
        <w:jc w:val="left"/>
        <w:rPr>
          <w:rFonts w:ascii="仿宋" w:hAnsi="仿宋" w:eastAsia="仿宋" w:cs="仿宋"/>
          <w:b/>
          <w:snapToGrid w:val="0"/>
          <w:color w:val="000000" w:themeColor="text1"/>
          <w:kern w:val="0"/>
          <w:sz w:val="24"/>
          <w:highlight w:val="none"/>
          <w14:textFill>
            <w14:solidFill>
              <w14:schemeClr w14:val="tx1"/>
            </w14:solidFill>
          </w14:textFill>
        </w:rPr>
      </w:pPr>
      <w:r>
        <w:rPr>
          <w:rFonts w:hint="eastAsia" w:ascii="仿宋" w:hAnsi="仿宋" w:eastAsia="仿宋" w:cs="仿宋"/>
          <w:b/>
          <w:snapToGrid w:val="0"/>
          <w:color w:val="000000" w:themeColor="text1"/>
          <w:kern w:val="0"/>
          <w:sz w:val="24"/>
          <w:highlight w:val="none"/>
          <w14:textFill>
            <w14:solidFill>
              <w14:schemeClr w14:val="tx1"/>
            </w14:solidFill>
          </w14:textFill>
        </w:rPr>
        <w:t>如上述没有提及但该项目仍需要的内容，请投标人自行考虑一并计入投标报价中（未计入的，视为投标人的优惠）。</w:t>
      </w:r>
    </w:p>
    <w:p>
      <w:pPr>
        <w:pStyle w:val="25"/>
        <w:snapToGrid w:val="0"/>
        <w:ind w:firstLine="482"/>
        <w:rPr>
          <w:rFonts w:ascii="仿宋" w:hAnsi="仿宋" w:eastAsia="仿宋" w:cs="仿宋"/>
          <w:b/>
          <w:bCs/>
          <w:snapToGrid w:val="0"/>
          <w:color w:val="000000" w:themeColor="text1"/>
          <w:kern w:val="0"/>
          <w:highlight w:val="none"/>
          <w14:textFill>
            <w14:solidFill>
              <w14:schemeClr w14:val="tx1"/>
            </w14:solidFill>
          </w14:textFill>
        </w:rPr>
      </w:pPr>
      <w:r>
        <w:rPr>
          <w:rFonts w:ascii="仿宋" w:hAnsi="仿宋" w:eastAsia="仿宋" w:cs="仿宋"/>
          <w:b/>
          <w:bCs/>
          <w:snapToGrid w:val="0"/>
          <w:color w:val="000000" w:themeColor="text1"/>
          <w:kern w:val="0"/>
          <w:highlight w:val="none"/>
          <w14:textFill>
            <w14:solidFill>
              <w14:schemeClr w14:val="tx1"/>
            </w14:solidFill>
          </w14:textFill>
        </w:rPr>
        <w:t>11.4.2本次报价方式为</w:t>
      </w:r>
      <w:r>
        <w:rPr>
          <w:rFonts w:hint="eastAsia" w:ascii="仿宋" w:hAnsi="仿宋" w:eastAsia="仿宋" w:cs="仿宋"/>
          <w:b/>
          <w:bCs/>
          <w:snapToGrid w:val="0"/>
          <w:color w:val="000000" w:themeColor="text1"/>
          <w:kern w:val="0"/>
          <w:highlight w:val="none"/>
          <w14:textFill>
            <w14:solidFill>
              <w14:schemeClr w14:val="tx1"/>
            </w14:solidFill>
          </w14:textFill>
        </w:rPr>
        <w:t>一次性报价。</w:t>
      </w:r>
    </w:p>
    <w:p>
      <w:pPr>
        <w:pStyle w:val="25"/>
        <w:snapToGrid w:val="0"/>
        <w:ind w:firstLine="482"/>
        <w:rPr>
          <w:rFonts w:ascii="仿宋" w:hAnsi="仿宋" w:eastAsia="仿宋" w:cs="仿宋"/>
          <w:b/>
          <w:bCs/>
          <w:snapToGrid w:val="0"/>
          <w:color w:val="000000" w:themeColor="text1"/>
          <w:kern w:val="0"/>
          <w:highlight w:val="none"/>
          <w14:textFill>
            <w14:solidFill>
              <w14:schemeClr w14:val="tx1"/>
            </w14:solidFill>
          </w14:textFill>
        </w:rPr>
      </w:pPr>
      <w:r>
        <w:rPr>
          <w:rFonts w:hint="eastAsia" w:ascii="仿宋" w:hAnsi="仿宋" w:eastAsia="仿宋" w:cs="仿宋"/>
          <w:b/>
          <w:bCs/>
          <w:snapToGrid w:val="0"/>
          <w:color w:val="000000" w:themeColor="text1"/>
          <w:kern w:val="0"/>
          <w:highlight w:val="none"/>
          <w14:textFill>
            <w14:solidFill>
              <w14:schemeClr w14:val="tx1"/>
            </w14:solidFill>
          </w14:textFill>
        </w:rPr>
        <w:t>投标人应认真计算可能发生的各相关费用并计入报价内，在项目实施过程中不得藉此要求增加任何费用，并不得出现选择性的报价。</w:t>
      </w:r>
    </w:p>
    <w:p>
      <w:pPr>
        <w:widowControl/>
        <w:snapToGrid w:val="0"/>
        <w:spacing w:line="360" w:lineRule="auto"/>
        <w:ind w:firstLine="482"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ascii="仿宋" w:hAnsi="仿宋" w:eastAsia="仿宋" w:cs="仿宋"/>
          <w:b/>
          <w:snapToGrid w:val="0"/>
          <w:color w:val="000000" w:themeColor="text1"/>
          <w:kern w:val="0"/>
          <w:sz w:val="24"/>
          <w:highlight w:val="none"/>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.4</w:t>
      </w:r>
      <w:r>
        <w:rPr>
          <w:rFonts w:ascii="仿宋" w:hAnsi="仿宋" w:eastAsia="仿宋" w:cs="仿宋"/>
          <w:b/>
          <w:snapToGrid w:val="0"/>
          <w:color w:val="000000" w:themeColor="text1"/>
          <w:kern w:val="0"/>
          <w:sz w:val="24"/>
          <w:highlight w:val="none"/>
          <w14:textFill>
            <w14:solidFill>
              <w14:schemeClr w14:val="tx1"/>
            </w14:solidFill>
          </w14:textFill>
        </w:rPr>
        <w:t>.3本项目采购代理服务费由中标人向采购代理机构支付，相关成本支出由投标人自行考虑。采购代理服务费计取标准见前附表。</w:t>
      </w:r>
    </w:p>
    <w:p>
      <w:pPr>
        <w:snapToGrid w:val="0"/>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ascii="仿宋" w:hAnsi="仿宋" w:eastAsia="仿宋" w:cs="仿宋"/>
          <w:snapToGrid w:val="0"/>
          <w:color w:val="000000" w:themeColor="text1"/>
          <w:kern w:val="0"/>
          <w:sz w:val="24"/>
          <w:highlight w:val="none"/>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.4</w:t>
      </w:r>
      <w:r>
        <w:rPr>
          <w:rFonts w:ascii="仿宋" w:hAnsi="仿宋" w:eastAsia="仿宋" w:cs="仿宋"/>
          <w:snapToGrid w:val="0"/>
          <w:color w:val="000000" w:themeColor="text1"/>
          <w:kern w:val="0"/>
          <w:sz w:val="24"/>
          <w:highlight w:val="none"/>
          <w14:textFill>
            <w14:solidFill>
              <w14:schemeClr w14:val="tx1"/>
            </w14:solidFill>
          </w14:textFill>
        </w:rPr>
        <w:t>.4本项目只允许一次报价，不允许以开标后调整的报价作为评标的依据（但按本采购文件投标须知投标文件错误的修正并经评标委员会认定或经投标人确认同意的除外）。</w:t>
      </w:r>
    </w:p>
    <w:p>
      <w:pPr>
        <w:snapToGrid w:val="0"/>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ascii="仿宋" w:hAnsi="仿宋" w:eastAsia="仿宋" w:cs="仿宋"/>
          <w:snapToGrid w:val="0"/>
          <w:color w:val="000000" w:themeColor="text1"/>
          <w:kern w:val="0"/>
          <w:sz w:val="24"/>
          <w:highlight w:val="none"/>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.4</w:t>
      </w:r>
      <w:r>
        <w:rPr>
          <w:rFonts w:ascii="仿宋" w:hAnsi="仿宋" w:eastAsia="仿宋" w:cs="仿宋"/>
          <w:snapToGrid w:val="0"/>
          <w:color w:val="000000" w:themeColor="text1"/>
          <w:kern w:val="0"/>
          <w:sz w:val="24"/>
          <w:highlight w:val="none"/>
          <w14:textFill>
            <w14:solidFill>
              <w14:schemeClr w14:val="tx1"/>
            </w14:solidFill>
          </w14:textFill>
        </w:rPr>
        <w:t>.5其它需在报价中考虑的因素：</w:t>
      </w:r>
    </w:p>
    <w:p>
      <w:pPr>
        <w:numPr>
          <w:ilvl w:val="0"/>
          <w:numId w:val="1"/>
        </w:numPr>
        <w:tabs>
          <w:tab w:val="left" w:pos="993"/>
        </w:tabs>
        <w:snapToGrid w:val="0"/>
        <w:spacing w:line="360" w:lineRule="auto"/>
        <w:ind w:left="0" w:firstLine="420"/>
        <w:jc w:val="left"/>
        <w:rPr>
          <w:rFonts w:ascii="仿宋" w:hAnsi="仿宋" w:eastAsia="仿宋" w:cs="仿宋"/>
          <w:b/>
          <w:snapToGrid w:val="0"/>
          <w:color w:val="000000" w:themeColor="text1"/>
          <w:kern w:val="0"/>
          <w:sz w:val="24"/>
          <w:highlight w:val="none"/>
          <w14:textFill>
            <w14:solidFill>
              <w14:schemeClr w14:val="tx1"/>
            </w14:solidFill>
          </w14:textFill>
        </w:rPr>
      </w:pPr>
      <w:r>
        <w:rPr>
          <w:rFonts w:hint="eastAsia" w:ascii="仿宋" w:hAnsi="仿宋" w:eastAsia="仿宋" w:cs="仿宋"/>
          <w:b/>
          <w:snapToGrid w:val="0"/>
          <w:color w:val="000000" w:themeColor="text1"/>
          <w:kern w:val="0"/>
          <w:sz w:val="24"/>
          <w:highlight w:val="none"/>
          <w14:textFill>
            <w14:solidFill>
              <w14:schemeClr w14:val="tx1"/>
            </w14:solidFill>
          </w14:textFill>
        </w:rPr>
        <w:t>采购需求中明确的需供应商承担的费用均应含在投标总价中；</w:t>
      </w:r>
    </w:p>
    <w:p>
      <w:pPr>
        <w:numPr>
          <w:ilvl w:val="0"/>
          <w:numId w:val="1"/>
        </w:numPr>
        <w:tabs>
          <w:tab w:val="left" w:pos="993"/>
        </w:tabs>
        <w:snapToGrid w:val="0"/>
        <w:spacing w:line="360" w:lineRule="auto"/>
        <w:ind w:left="0" w:firstLine="420"/>
        <w:jc w:val="left"/>
        <w:rPr>
          <w:rFonts w:ascii="仿宋" w:hAnsi="仿宋" w:eastAsia="仿宋" w:cs="仿宋"/>
          <w:b/>
          <w:snapToGrid w:val="0"/>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采购文件未明示但投标人认为可能产生的潜在费用支出均需自行考虑并计入投标总价中；</w:t>
      </w:r>
    </w:p>
    <w:p>
      <w:pPr>
        <w:pStyle w:val="2"/>
        <w:rPr>
          <w:rFonts w:ascii="仿宋_GB2312" w:hAnsi="仿宋" w:eastAsia="仿宋_GB2312"/>
          <w:b/>
          <w:color w:val="000000" w:themeColor="text1"/>
          <w:sz w:val="24"/>
          <w:highlight w:val="none"/>
          <w14:textFill>
            <w14:solidFill>
              <w14:schemeClr w14:val="tx1"/>
            </w14:solidFill>
          </w14:textFill>
        </w:rPr>
      </w:pPr>
      <w:r>
        <w:rPr>
          <w:rFonts w:hint="eastAsia" w:ascii="仿宋" w:hAnsi="仿宋" w:eastAsia="仿宋" w:cs="仿宋"/>
          <w:b/>
          <w:snapToGrid w:val="0"/>
          <w:color w:val="000000" w:themeColor="text1"/>
          <w:kern w:val="0"/>
          <w:sz w:val="24"/>
          <w:highlight w:val="none"/>
          <w14:textFill>
            <w14:solidFill>
              <w14:schemeClr w14:val="tx1"/>
            </w14:solidFill>
          </w14:textFill>
        </w:rPr>
        <w:t>对于没有填报的项目，采购人将不再支付，并均认为已包含在报价内。</w:t>
      </w:r>
    </w:p>
    <w:p>
      <w:pPr>
        <w:rPr>
          <w:color w:val="000000" w:themeColor="text1"/>
          <w:highlight w:val="none"/>
          <w14:textFill>
            <w14:solidFill>
              <w14:schemeClr w14:val="tx1"/>
            </w14:solidFill>
          </w14:textFill>
        </w:rPr>
      </w:pPr>
    </w:p>
    <w:p>
      <w:pPr>
        <w:pStyle w:val="129"/>
        <w:snapToGrid w:val="0"/>
        <w:spacing w:before="0"/>
        <w:ind w:firstLine="0" w:firstLineChars="0"/>
        <w:outlineLvl w:val="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12</w:t>
      </w:r>
      <w:r>
        <w:rPr>
          <w:rFonts w:ascii="仿宋_GB2312" w:hAnsi="仿宋" w:eastAsia="仿宋_GB2312" w:cs="仿宋_GB2312"/>
          <w:b/>
          <w:color w:val="000000" w:themeColor="text1"/>
          <w:kern w:val="0"/>
          <w:szCs w:val="24"/>
          <w:highlight w:val="none"/>
          <w:lang w:val="zh-CN"/>
          <w14:textFill>
            <w14:solidFill>
              <w14:schemeClr w14:val="tx1"/>
            </w14:solidFill>
          </w14:textFill>
        </w:rPr>
        <w:t xml:space="preserve">. </w:t>
      </w:r>
      <w:r>
        <w:rPr>
          <w:rFonts w:hint="eastAsia" w:ascii="仿宋_GB2312" w:hAnsi="仿宋" w:eastAsia="仿宋_GB2312" w:cs="仿宋_GB2312"/>
          <w:b/>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b/>
          <w:color w:val="000000" w:themeColor="text1"/>
          <w:sz w:val="24"/>
          <w:highlight w:val="none"/>
          <w14:textFill>
            <w14:solidFill>
              <w14:schemeClr w14:val="tx1"/>
            </w14:solidFill>
          </w14:textFill>
        </w:rPr>
        <w:t>13.投标文件的签署、盖章</w:t>
      </w:r>
    </w:p>
    <w:p>
      <w:pPr>
        <w:pStyle w:val="129"/>
        <w:snapToGrid w:val="0"/>
        <w:spacing w:before="0"/>
        <w:ind w:firstLine="480"/>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13.1投标文件按照招标文件第六部分格式要</w:t>
      </w:r>
      <w:r>
        <w:rPr>
          <w:rFonts w:hint="eastAsia" w:ascii="仿宋_GB2312" w:hAnsi="仿宋" w:eastAsia="仿宋_GB2312" w:cs="仿宋_GB2312"/>
          <w:color w:val="000000" w:themeColor="text1"/>
          <w:highlight w:val="none"/>
          <w14:textFill>
            <w14:solidFill>
              <w14:schemeClr w14:val="tx1"/>
            </w14:solidFill>
          </w14:textFill>
        </w:rPr>
        <w:t>求进行签署、盖章。</w:t>
      </w:r>
      <w:r>
        <w:rPr>
          <w:rFonts w:hint="eastAsia" w:ascii="仿宋_GB2312" w:hAnsi="仿宋" w:eastAsia="仿宋_GB2312"/>
          <w:b/>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highlight w:val="none"/>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highlight w:val="none"/>
          <w14:textFill>
            <w14:solidFill>
              <w14:schemeClr w14:val="tx1"/>
            </w14:solidFill>
          </w14:textFill>
        </w:rPr>
        <w:t>。</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13.3招标文件对投标文件签署、盖章的要求适用于电子签名。</w:t>
      </w:r>
    </w:p>
    <w:p>
      <w:pPr>
        <w:pStyle w:val="129"/>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14. </w:t>
      </w:r>
      <w:r>
        <w:rPr>
          <w:rFonts w:hint="eastAsia" w:ascii="仿宋_GB2312" w:hAnsi="仿宋" w:eastAsia="仿宋_GB2312" w:cs="仿宋_GB2312"/>
          <w:b/>
          <w:color w:val="000000" w:themeColor="text1"/>
          <w:szCs w:val="24"/>
          <w:highlight w:val="none"/>
          <w14:textFill>
            <w14:solidFill>
              <w14:schemeClr w14:val="tx1"/>
            </w14:solidFill>
          </w14:textFill>
        </w:rPr>
        <w:t>投标文件的提交、补充、修改、撤回</w:t>
      </w:r>
    </w:p>
    <w:p>
      <w:pPr>
        <w:pStyle w:val="129"/>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15.备份投标文件</w:t>
      </w:r>
    </w:p>
    <w:p>
      <w:pPr>
        <w:pStyle w:val="33"/>
        <w:spacing w:line="360" w:lineRule="auto"/>
        <w:ind w:firstLine="360" w:firstLineChars="15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16.投标文件的无效处理</w:t>
      </w:r>
    </w:p>
    <w:p>
      <w:pPr>
        <w:pStyle w:val="25"/>
        <w:spacing w:line="360" w:lineRule="auto"/>
        <w:ind w:firstLine="360" w:firstLineChars="150"/>
        <w:rPr>
          <w:rFonts w:ascii="仿宋_GB2312" w:hAnsi="仿宋" w:eastAsia="仿宋_GB2312" w:cs="仿宋_GB2312"/>
          <w:color w:val="000000" w:themeColor="text1"/>
          <w:szCs w:val="21"/>
          <w:highlight w:val="none"/>
          <w14:textFill>
            <w14:solidFill>
              <w14:schemeClr w14:val="tx1"/>
            </w14:solidFill>
          </w14:textFill>
        </w:rPr>
      </w:pPr>
      <w:r>
        <w:rPr>
          <w:rFonts w:hint="eastAsia" w:ascii="仿宋_GB2312" w:hAnsi="仿宋" w:eastAsia="仿宋_GB2312" w:cs="仿宋_GB2312"/>
          <w:color w:val="000000" w:themeColor="text1"/>
          <w:szCs w:val="21"/>
          <w:highlight w:val="none"/>
          <w14:textFill>
            <w14:solidFill>
              <w14:schemeClr w14:val="tx1"/>
            </w14:solidFill>
          </w14:textFill>
        </w:rPr>
        <w:t>有招标文件第四部分</w:t>
      </w:r>
      <w:r>
        <w:rPr>
          <w:rFonts w:hint="eastAsia" w:ascii="仿宋_GB2312" w:hAnsi="仿宋" w:eastAsia="仿宋_GB2312"/>
          <w:color w:val="000000" w:themeColor="text1"/>
          <w:highlight w:val="none"/>
          <w14:textFill>
            <w14:solidFill>
              <w14:schemeClr w14:val="tx1"/>
            </w14:solidFill>
          </w14:textFill>
        </w:rPr>
        <w:t>第</w:t>
      </w:r>
      <w:r>
        <w:rPr>
          <w:rFonts w:ascii="仿宋_GB2312" w:hAnsi="仿宋" w:eastAsia="仿宋_GB2312"/>
          <w:color w:val="000000" w:themeColor="text1"/>
          <w:highlight w:val="none"/>
          <w14:textFill>
            <w14:solidFill>
              <w14:schemeClr w14:val="tx1"/>
            </w14:solidFill>
          </w14:textFill>
        </w:rPr>
        <w:t>13项规定</w:t>
      </w:r>
      <w:r>
        <w:rPr>
          <w:rFonts w:hint="eastAsia" w:ascii="仿宋_GB2312" w:hAnsi="仿宋" w:eastAsia="仿宋_GB2312" w:cs="仿宋_GB2312"/>
          <w:color w:val="000000" w:themeColor="text1"/>
          <w:szCs w:val="21"/>
          <w:highlight w:val="none"/>
          <w14:textFill>
            <w14:solidFill>
              <w14:schemeClr w14:val="tx1"/>
            </w14:solidFill>
          </w14:textFill>
        </w:rPr>
        <w:t>的情形之一的，投标无效：</w:t>
      </w:r>
    </w:p>
    <w:p>
      <w:pPr>
        <w:pStyle w:val="129"/>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17.投标有效期</w:t>
      </w:r>
    </w:p>
    <w:p>
      <w:pPr>
        <w:spacing w:line="360" w:lineRule="auto"/>
        <w:ind w:firstLine="480" w:firstLineChars="200"/>
        <w:rPr>
          <w:rFonts w:ascii="仿宋_GB2312" w:hAnsi="仿宋" w:eastAsia="仿宋_GB2312" w:cs="仿宋_GB2312"/>
          <w:b/>
          <w:color w:val="000000" w:themeColor="text1"/>
          <w:sz w:val="24"/>
          <w:szCs w:val="21"/>
          <w:highlight w:val="none"/>
          <w14:textFill>
            <w14:solidFill>
              <w14:schemeClr w14:val="tx1"/>
            </w14:solidFill>
          </w14:textFill>
        </w:rPr>
      </w:pPr>
      <w:r>
        <w:rPr>
          <w:rFonts w:ascii="仿宋_GB2312" w:hAnsi="仿宋" w:eastAsia="仿宋_GB2312" w:cs="仿宋_GB2312"/>
          <w:color w:val="000000" w:themeColor="text1"/>
          <w:sz w:val="24"/>
          <w:szCs w:val="20"/>
          <w:highlight w:val="none"/>
          <w14:textFill>
            <w14:solidFill>
              <w14:schemeClr w14:val="tx1"/>
            </w14:solidFill>
          </w14:textFill>
        </w:rPr>
        <w:t>17.1投标有效期为从提交投标文件的截止之日起90天。▲</w:t>
      </w:r>
      <w:r>
        <w:rPr>
          <w:rFonts w:hint="eastAsia" w:ascii="仿宋_GB2312" w:hAnsi="仿宋" w:eastAsia="仿宋_GB2312" w:cs="仿宋_GB2312"/>
          <w:b/>
          <w:color w:val="000000" w:themeColor="text1"/>
          <w:sz w:val="24"/>
          <w:szCs w:val="20"/>
          <w:highlight w:val="none"/>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highlight w:val="none"/>
          <w14:textFill>
            <w14:solidFill>
              <w14:schemeClr w14:val="tx1"/>
            </w14:solidFill>
          </w14:textFill>
        </w:rPr>
        <w:t>诺的投标有效期少于招标文件中载明的投标有效期的，投标无效。</w:t>
      </w:r>
    </w:p>
    <w:p>
      <w:pPr>
        <w:pStyle w:val="129"/>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17.2投标文件合格投递后，自投标截止日期起，在投标有效期内有效。</w:t>
      </w:r>
    </w:p>
    <w:p>
      <w:pPr>
        <w:pStyle w:val="129"/>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color w:val="000000" w:themeColor="text1"/>
          <w:sz w:val="32"/>
          <w:highlight w:val="none"/>
          <w14:textFill>
            <w14:solidFill>
              <w14:schemeClr w14:val="tx1"/>
            </w14:solidFill>
          </w14:textFill>
        </w:rPr>
      </w:pPr>
    </w:p>
    <w:p>
      <w:pPr>
        <w:pStyle w:val="129"/>
        <w:spacing w:before="0"/>
        <w:ind w:firstLine="1928" w:firstLineChars="600"/>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四、开标、资格审查与信用信息查询</w:t>
      </w:r>
    </w:p>
    <w:p>
      <w:pPr>
        <w:pStyle w:val="555"/>
        <w:spacing w:before="0" w:line="360" w:lineRule="auto"/>
        <w:ind w:left="0" w:firstLine="241" w:firstLineChars="100"/>
        <w:contextualSpacing/>
        <w:rPr>
          <w:rFonts w:ascii="仿宋_GB2312" w:eastAsia="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18.开标</w:t>
      </w:r>
      <w:r>
        <w:rPr>
          <w:rFonts w:ascii="仿宋_GB2312" w:eastAsia="仿宋_GB2312"/>
          <w:color w:val="000000" w:themeColor="text1"/>
          <w:sz w:val="24"/>
          <w:highlight w:val="none"/>
          <w14:textFill>
            <w14:solidFill>
              <w14:schemeClr w14:val="tx1"/>
            </w14:solidFill>
          </w14:textFill>
        </w:rPr>
        <w:t xml:space="preserve"> </w:t>
      </w:r>
    </w:p>
    <w:p>
      <w:pPr>
        <w:pStyle w:val="555"/>
        <w:spacing w:before="0" w:line="360" w:lineRule="auto"/>
        <w:ind w:left="0" w:firstLine="480" w:firstLineChars="200"/>
        <w:contextualSpacing/>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w:t>
      </w:r>
      <w:r>
        <w:rPr>
          <w:rFonts w:ascii="仿宋_GB2312" w:hAnsi="仿宋" w:eastAsia="仿宋_GB2312" w:cs="仿宋_GB2312"/>
          <w:color w:val="000000" w:themeColor="text1"/>
          <w:sz w:val="24"/>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w:t>
      </w:r>
      <w:r>
        <w:rPr>
          <w:rFonts w:ascii="仿宋_GB2312" w:hAnsi="仿宋" w:eastAsia="仿宋_GB2312" w:cs="仿宋_GB2312"/>
          <w:color w:val="000000" w:themeColor="text1"/>
          <w:sz w:val="24"/>
          <w:highlight w:val="none"/>
          <w14:textFill>
            <w14:solidFill>
              <w14:schemeClr w14:val="tx1"/>
            </w14:solidFill>
          </w14:textFill>
        </w:rPr>
        <w:t>18.3</w:t>
      </w:r>
      <w:r>
        <w:rPr>
          <w:rFonts w:hint="eastAsia" w:ascii="仿宋_GB2312" w:hAnsi="仿宋" w:eastAsia="仿宋_GB2312" w:cs="仿宋_GB2312"/>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000000" w:themeColor="text1"/>
          <w:sz w:val="24"/>
          <w:szCs w:val="20"/>
          <w:highlight w:val="none"/>
          <w14:textFill>
            <w14:solidFill>
              <w14:schemeClr w14:val="tx1"/>
            </w14:solidFill>
          </w14:textFill>
        </w:rPr>
      </w:pPr>
      <w:r>
        <w:rPr>
          <w:rFonts w:hint="eastAsia" w:ascii="仿宋_GB2312" w:hAnsi="仿宋" w:eastAsia="仿宋_GB2312" w:cs="仿宋_GB2312"/>
          <w:b/>
          <w:color w:val="000000" w:themeColor="text1"/>
          <w:sz w:val="24"/>
          <w:szCs w:val="20"/>
          <w:highlight w:val="none"/>
          <w14:textFill>
            <w14:solidFill>
              <w14:schemeClr w14:val="tx1"/>
            </w14:solidFill>
          </w14:textFill>
        </w:rPr>
        <w:t>　</w:t>
      </w:r>
      <w:r>
        <w:rPr>
          <w:rFonts w:ascii="仿宋_GB2312" w:hAnsi="仿宋" w:eastAsia="仿宋_GB2312" w:cs="仿宋_GB2312"/>
          <w:b/>
          <w:color w:val="000000" w:themeColor="text1"/>
          <w:sz w:val="24"/>
          <w:szCs w:val="20"/>
          <w:highlight w:val="none"/>
          <w14:textFill>
            <w14:solidFill>
              <w14:schemeClr w14:val="tx1"/>
            </w14:solidFill>
          </w14:textFill>
        </w:rPr>
        <w:t>19、资格审查</w:t>
      </w:r>
    </w:p>
    <w:p>
      <w:pPr>
        <w:pStyle w:val="129"/>
        <w:spacing w:before="0"/>
        <w:ind w:firstLine="48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19.2</w:t>
      </w:r>
      <w:r>
        <w:rPr>
          <w:rFonts w:hint="eastAsia" w:ascii="仿宋_GB2312" w:hAnsi="仿宋" w:eastAsia="仿宋_GB2312" w:cs="仿宋_GB2312"/>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19.3投标人未按照招标文件要求提供与</w:t>
      </w:r>
      <w:r>
        <w:rPr>
          <w:rFonts w:hint="eastAsia" w:ascii="仿宋_GB2312" w:hAnsi="仿宋" w:eastAsia="仿宋_GB2312" w:cs="仿宋_GB2312"/>
          <w:color w:val="000000" w:themeColor="text1"/>
          <w:highlight w:val="none"/>
          <w14:textFill>
            <w14:solidFill>
              <w14:schemeClr w14:val="tx1"/>
            </w14:solidFill>
          </w14:textFill>
        </w:rPr>
        <w:t>基本资格条件、特定资格条件相应的</w:t>
      </w:r>
      <w:r>
        <w:rPr>
          <w:rFonts w:hint="eastAsia" w:ascii="仿宋_GB2312" w:hAnsi="仿宋" w:eastAsia="仿宋_GB2312" w:cs="Arial"/>
          <w:color w:val="000000" w:themeColor="text1"/>
          <w:kern w:val="0"/>
          <w:szCs w:val="24"/>
          <w:highlight w:val="none"/>
          <w14:textFill>
            <w14:solidFill>
              <w14:schemeClr w14:val="tx1"/>
            </w14:solidFill>
          </w14:textFill>
        </w:rPr>
        <w:t>有效资格证明材料的，视为</w:t>
      </w:r>
      <w:r>
        <w:rPr>
          <w:rFonts w:hint="eastAsia" w:ascii="仿宋_GB2312" w:hAnsi="仿宋" w:eastAsia="仿宋_GB2312" w:cs="仿宋_GB2312"/>
          <w:color w:val="000000" w:themeColor="text1"/>
          <w:highlight w:val="none"/>
          <w14:textFill>
            <w14:solidFill>
              <w14:schemeClr w14:val="tx1"/>
            </w14:solidFill>
          </w14:textFill>
        </w:rPr>
        <w:t>投标人不具备招标文件中规定的资格要求，其投标无效。</w:t>
      </w:r>
    </w:p>
    <w:p>
      <w:pPr>
        <w:pStyle w:val="129"/>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w:t>
      </w:r>
      <w:r>
        <w:rPr>
          <w:rFonts w:ascii="仿宋_GB2312" w:hAnsi="仿宋" w:eastAsia="仿宋_GB2312" w:cs="仿宋_GB2312"/>
          <w:color w:val="000000" w:themeColor="text1"/>
          <w:highlight w:val="none"/>
          <w14:textFill>
            <w14:solidFill>
              <w14:schemeClr w14:val="tx1"/>
            </w14:solidFill>
          </w14:textFill>
        </w:rPr>
        <w:t>4对未通过资格审查的投标人，采购人或采购机构告知其未通过的原因。</w:t>
      </w:r>
    </w:p>
    <w:p>
      <w:pPr>
        <w:pStyle w:val="129"/>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19.</w:t>
      </w:r>
      <w:r>
        <w:rPr>
          <w:rFonts w:ascii="仿宋_GB2312" w:hAnsi="仿宋" w:eastAsia="仿宋_GB2312" w:cs="仿宋_GB2312"/>
          <w:color w:val="000000" w:themeColor="text1"/>
          <w:highlight w:val="none"/>
          <w14:textFill>
            <w14:solidFill>
              <w14:schemeClr w14:val="tx1"/>
            </w14:solidFill>
          </w14:textFill>
        </w:rPr>
        <w:t>5合格投标人不足3家的，不再评标。</w:t>
      </w:r>
    </w:p>
    <w:p>
      <w:pPr>
        <w:pStyle w:val="129"/>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20、信用信息查询</w:t>
      </w:r>
    </w:p>
    <w:p>
      <w:pPr>
        <w:pStyle w:val="129"/>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w:t>
      </w:r>
      <w:r>
        <w:rPr>
          <w:rFonts w:hint="eastAsia" w:ascii="仿宋_GB2312" w:hAnsi="仿宋" w:eastAsia="仿宋_GB2312" w:cs="Arial"/>
          <w:color w:val="000000" w:themeColor="text1"/>
          <w:kern w:val="0"/>
          <w:szCs w:val="24"/>
          <w:highlight w:val="none"/>
          <w14:textFill>
            <w14:solidFill>
              <w14:schemeClr w14:val="tx1"/>
            </w14:solidFill>
          </w14:textFill>
        </w:rPr>
        <w:t>等</w:t>
      </w:r>
      <w:r>
        <w:rPr>
          <w:rFonts w:ascii="仿宋_GB2312" w:hAnsi="仿宋" w:eastAsia="仿宋_GB2312" w:cs="Arial"/>
          <w:color w:val="000000" w:themeColor="text1"/>
          <w:kern w:val="0"/>
          <w:szCs w:val="24"/>
          <w:highlight w:val="none"/>
          <w14:textFill>
            <w14:solidFill>
              <w14:schemeClr w14:val="tx1"/>
            </w14:solidFill>
          </w14:textFill>
        </w:rPr>
        <w:t>渠道查询投标人投标截止时间当天的信用记录。</w:t>
      </w:r>
    </w:p>
    <w:p>
      <w:pPr>
        <w:pStyle w:val="129"/>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Arial"/>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highlight w:val="none"/>
          <w14:textFill>
            <w14:solidFill>
              <w14:schemeClr w14:val="tx1"/>
            </w14:solidFill>
          </w14:textFill>
        </w:rPr>
        <w:t>。</w:t>
      </w:r>
    </w:p>
    <w:p>
      <w:pPr>
        <w:pStyle w:val="129"/>
        <w:spacing w:before="0"/>
        <w:ind w:firstLine="0" w:firstLineChars="0"/>
        <w:rPr>
          <w:rFonts w:ascii="仿宋_GB2312" w:hAnsi="仿宋" w:eastAsia="仿宋_GB2312" w:cs="Arial"/>
          <w:color w:val="000000" w:themeColor="text1"/>
          <w:kern w:val="0"/>
          <w:szCs w:val="24"/>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五、评标</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bookmarkStart w:id="13" w:name="_Toc91899903"/>
      <w:r>
        <w:rPr>
          <w:rFonts w:ascii="仿宋_GB2312" w:hAnsi="仿宋" w:eastAsia="仿宋_GB2312" w:cs="仿宋_GB2312"/>
          <w:b/>
          <w:color w:val="000000" w:themeColor="text1"/>
          <w:sz w:val="24"/>
          <w:highlight w:val="none"/>
          <w14:textFill>
            <w14:solidFill>
              <w14:schemeClr w14:val="tx1"/>
            </w14:solidFill>
          </w14:textFill>
        </w:rPr>
        <w:t>21.</w:t>
      </w:r>
      <w:r>
        <w:rPr>
          <w:rFonts w:ascii="仿宋_GB2312" w:eastAsia="仿宋_GB2312"/>
          <w:color w:val="000000" w:themeColor="text1"/>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六、定</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标</w:t>
      </w:r>
    </w:p>
    <w:p>
      <w:pPr>
        <w:pStyle w:val="25"/>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22. </w:t>
      </w:r>
      <w:r>
        <w:rPr>
          <w:rFonts w:hint="eastAsia" w:ascii="仿宋_GB2312" w:hAnsi="仿宋" w:eastAsia="仿宋_GB2312" w:cs="仿宋_GB2312"/>
          <w:b/>
          <w:color w:val="000000" w:themeColor="text1"/>
          <w:highlight w:val="none"/>
          <w14:textFill>
            <w14:solidFill>
              <w14:schemeClr w14:val="tx1"/>
            </w14:solidFill>
          </w14:textFill>
        </w:rPr>
        <w:t>确定中标供应商</w:t>
      </w:r>
    </w:p>
    <w:p>
      <w:pPr>
        <w:pStyle w:val="129"/>
        <w:snapToGrid w:val="0"/>
        <w:spacing w:before="0"/>
        <w:ind w:firstLine="480"/>
        <w:rPr>
          <w:rFonts w:ascii="仿宋_GB2312" w:hAnsi="仿宋" w:eastAsia="仿宋_GB2312" w:cs="仿宋_GB2312"/>
          <w:b/>
          <w:color w:val="000000" w:themeColor="text1"/>
          <w:szCs w:val="24"/>
          <w:highlight w:val="none"/>
          <w14:textFill>
            <w14:solidFill>
              <w14:schemeClr w14:val="tx1"/>
            </w14:solidFill>
          </w14:textFill>
        </w:rPr>
      </w:pPr>
      <w:r>
        <w:rPr>
          <w:rFonts w:hint="eastAsia" w:ascii="仿宋_GB2312" w:hAnsi="仿宋" w:eastAsia="仿宋_GB2312" w:cs="仿宋_GB2312"/>
          <w:color w:val="000000" w:themeColor="text1"/>
          <w:szCs w:val="24"/>
          <w:highlight w:val="none"/>
          <w14:textFill>
            <w14:solidFill>
              <w14:schemeClr w14:val="tx1"/>
            </w14:solidFill>
          </w14:textFill>
        </w:rPr>
        <w:t>采购人将自收到评审报告之日起</w:t>
      </w:r>
      <w:r>
        <w:rPr>
          <w:rFonts w:ascii="仿宋_GB2312" w:hAnsi="仿宋" w:eastAsia="仿宋_GB2312" w:cs="仿宋_GB2312"/>
          <w:color w:val="000000" w:themeColor="text1"/>
          <w:szCs w:val="24"/>
          <w:highlight w:val="none"/>
          <w14:textFill>
            <w14:solidFill>
              <w14:schemeClr w14:val="tx1"/>
            </w14:solidFill>
          </w14:textFill>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color w:val="000000" w:themeColor="text1"/>
          <w:szCs w:val="24"/>
          <w:highlight w:val="none"/>
          <w14:textFill>
            <w14:solidFill>
              <w14:schemeClr w14:val="tx1"/>
            </w14:solidFill>
          </w14:textFill>
        </w:rPr>
      </w:pPr>
      <w:r>
        <w:rPr>
          <w:rFonts w:ascii="仿宋_GB2312" w:hAnsi="仿宋" w:eastAsia="仿宋_GB2312" w:cs="仿宋_GB2312"/>
          <w:b/>
          <w:color w:val="000000" w:themeColor="text1"/>
          <w:szCs w:val="24"/>
          <w:highlight w:val="none"/>
          <w14:textFill>
            <w14:solidFill>
              <w14:schemeClr w14:val="tx1"/>
            </w14:solidFill>
          </w14:textFill>
        </w:rPr>
        <w:t xml:space="preserve">23. </w:t>
      </w:r>
      <w:r>
        <w:rPr>
          <w:rFonts w:hint="eastAsia" w:ascii="仿宋_GB2312" w:hAnsi="仿宋" w:eastAsia="仿宋_GB2312" w:cs="仿宋_GB2312"/>
          <w:b/>
          <w:color w:val="000000" w:themeColor="text1"/>
          <w:szCs w:val="24"/>
          <w:highlight w:val="none"/>
          <w14:textFill>
            <w14:solidFill>
              <w14:schemeClr w14:val="tx1"/>
            </w14:solidFill>
          </w14:textFill>
        </w:rPr>
        <w:t>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七、合同授予</w:t>
      </w:r>
    </w:p>
    <w:p>
      <w:pPr>
        <w:pStyle w:val="25"/>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24. </w:t>
      </w:r>
      <w:r>
        <w:rPr>
          <w:rFonts w:hint="eastAsia" w:ascii="仿宋_GB2312" w:hAnsi="仿宋" w:eastAsia="仿宋_GB2312" w:cs="仿宋_GB2312"/>
          <w:color w:val="000000" w:themeColor="text1"/>
          <w:highlight w:val="none"/>
          <w14:textFill>
            <w14:solidFill>
              <w14:schemeClr w14:val="tx1"/>
            </w14:solidFill>
          </w14:textFill>
        </w:rPr>
        <w:t>合同主要条款详见第五部分拟签订的合同文本。</w:t>
      </w:r>
    </w:p>
    <w:p>
      <w:pPr>
        <w:pStyle w:val="25"/>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25. </w:t>
      </w:r>
      <w:r>
        <w:rPr>
          <w:rFonts w:hint="eastAsia" w:ascii="仿宋_GB2312" w:hAnsi="仿宋" w:eastAsia="仿宋_GB2312" w:cs="仿宋_GB2312"/>
          <w:b/>
          <w:color w:val="000000" w:themeColor="text1"/>
          <w:highlight w:val="none"/>
          <w14:textFill>
            <w14:solidFill>
              <w14:schemeClr w14:val="tx1"/>
            </w14:solidFill>
          </w14:textFill>
        </w:rPr>
        <w:t>合同的签订</w:t>
      </w:r>
    </w:p>
    <w:p>
      <w:pPr>
        <w:widowControl/>
        <w:shd w:val="clear" w:color="auto" w:fill="FFFFFF"/>
        <w:spacing w:line="360" w:lineRule="auto"/>
        <w:ind w:firstLine="480"/>
        <w:jc w:val="left"/>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25.1</w:t>
      </w:r>
      <w:r>
        <w:rPr>
          <w:rFonts w:ascii="仿宋_GB2312" w:hAnsi="仿宋" w:eastAsia="仿宋_GB2312" w:cs="Arial"/>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000000" w:themeColor="text1"/>
          <w:kern w:val="0"/>
          <w:sz w:val="24"/>
          <w:highlight w:val="none"/>
          <w14:textFill>
            <w14:solidFill>
              <w14:schemeClr w14:val="tx1"/>
            </w14:solidFill>
          </w14:textFill>
        </w:rPr>
        <w:t>合同签订之日起2个工作日</w:t>
      </w:r>
      <w:r>
        <w:rPr>
          <w:rFonts w:ascii="仿宋_GB2312" w:hAnsi="仿宋" w:eastAsia="仿宋_GB2312" w:cs="Arial"/>
          <w:color w:val="000000" w:themeColor="text1"/>
          <w:kern w:val="0"/>
          <w:sz w:val="24"/>
          <w:highlight w:val="none"/>
          <w14:textFill>
            <w14:solidFill>
              <w14:schemeClr w14:val="tx1"/>
            </w14:solidFill>
          </w14:textFill>
        </w:rPr>
        <w:t>内依法发布合同公告。</w:t>
      </w:r>
    </w:p>
    <w:p>
      <w:pPr>
        <w:pStyle w:val="129"/>
        <w:snapToGrid w:val="0"/>
        <w:spacing w:before="0"/>
        <w:ind w:firstLine="480"/>
        <w:rPr>
          <w:rFonts w:ascii="仿宋_GB2312" w:hAnsi="仿宋" w:eastAsia="仿宋_GB2312"/>
          <w:color w:val="000000" w:themeColor="text1"/>
          <w:kern w:val="0"/>
          <w:highlight w:val="none"/>
          <w14:textFill>
            <w14:solidFill>
              <w14:schemeClr w14:val="tx1"/>
            </w14:solidFill>
          </w14:textFill>
        </w:rPr>
      </w:pPr>
      <w:r>
        <w:rPr>
          <w:rFonts w:ascii="仿宋_GB2312" w:hAnsi="仿宋" w:eastAsia="仿宋_GB2312" w:cs="仿宋_GB2312"/>
          <w:color w:val="000000" w:themeColor="text1"/>
          <w:kern w:val="0"/>
          <w:highlight w:val="none"/>
          <w:lang w:val="zh-CN"/>
          <w14:textFill>
            <w14:solidFill>
              <w14:schemeClr w14:val="tx1"/>
            </w14:solidFill>
          </w14:textFill>
        </w:rPr>
        <w:t>25.2</w:t>
      </w:r>
      <w:r>
        <w:rPr>
          <w:rFonts w:hint="eastAsia" w:ascii="仿宋_GB2312" w:hAnsi="仿宋" w:eastAsia="仿宋_GB2312"/>
          <w:color w:val="000000" w:themeColor="text1"/>
          <w:kern w:val="0"/>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25.4中标供应</w:t>
      </w:r>
      <w:r>
        <w:rPr>
          <w:rFonts w:hint="eastAsia" w:ascii="仿宋_GB2312" w:hAnsi="仿宋" w:eastAsia="仿宋_GB2312" w:cs="仿宋_GB2312"/>
          <w:color w:val="000000" w:themeColor="text1"/>
          <w:highlight w:val="none"/>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25.5采购合同由采购人与中标供应商根据</w:t>
      </w:r>
      <w:r>
        <w:rPr>
          <w:rFonts w:hint="eastAsia" w:ascii="仿宋_GB2312" w:hAnsi="仿宋" w:eastAsia="仿宋_GB2312" w:cs="仿宋_GB2312"/>
          <w:color w:val="000000" w:themeColor="text1"/>
          <w:highlight w:val="none"/>
          <w14:textFill>
            <w14:solidFill>
              <w14:schemeClr w14:val="tx1"/>
            </w14:solidFill>
          </w14:textFill>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 xml:space="preserve">26. </w:t>
      </w:r>
      <w:r>
        <w:rPr>
          <w:rFonts w:hint="eastAsia" w:ascii="仿宋_GB2312" w:hAnsi="仿宋" w:eastAsia="仿宋_GB2312" w:cs="仿宋_GB2312"/>
          <w:b/>
          <w:color w:val="000000" w:themeColor="text1"/>
          <w:highlight w:val="none"/>
          <w14:textFill>
            <w14:solidFill>
              <w14:schemeClr w14:val="tx1"/>
            </w14:solidFill>
          </w14:textFill>
        </w:rPr>
        <w:t>履约保证金</w:t>
      </w:r>
    </w:p>
    <w:p>
      <w:pPr>
        <w:tabs>
          <w:tab w:val="left" w:pos="0"/>
        </w:tabs>
        <w:spacing w:line="360" w:lineRule="auto"/>
        <w:ind w:firstLine="482"/>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highlight w:val="none"/>
          <w14:textFill>
            <w14:solidFill>
              <w14:schemeClr w14:val="tx1"/>
            </w14:solidFill>
          </w14:textFill>
        </w:rPr>
        <w:t>。履约保证金的数额不得超过政府采购合同金额的1</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highlight w:val="none"/>
          <w14:textFill>
            <w14:solidFill>
              <w14:schemeClr w14:val="tx1"/>
            </w14:solidFill>
          </w14:textFill>
        </w:rPr>
        <w:t>采购人不得拒收履约保函。</w:t>
      </w:r>
    </w:p>
    <w:p>
      <w:pPr>
        <w:tabs>
          <w:tab w:val="left" w:pos="0"/>
        </w:tabs>
        <w:spacing w:line="360" w:lineRule="auto"/>
        <w:ind w:firstLine="482"/>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0.8%；评价总分在90分以下或者暂无评分的，收取履约保证金不得高于合同金额1%。</w:t>
      </w:r>
    </w:p>
    <w:p>
      <w:pPr>
        <w:tabs>
          <w:tab w:val="left" w:pos="0"/>
        </w:tabs>
        <w:spacing w:line="360" w:lineRule="auto"/>
        <w:ind w:firstLine="482"/>
        <w:rPr>
          <w:rFonts w:ascii="仿宋_GB2312" w:hAnsi="仿宋" w:eastAsia="仿宋_GB2312" w:cs="仿宋_GB2312"/>
          <w:color w:val="000000" w:themeColor="text1"/>
          <w:sz w:val="24"/>
          <w:szCs w:val="20"/>
          <w:highlight w:val="none"/>
          <w14:textFill>
            <w14:solidFill>
              <w14:schemeClr w14:val="tx1"/>
            </w14:solidFill>
          </w14:textFill>
        </w:rPr>
      </w:pPr>
      <w:r>
        <w:rPr>
          <w:rFonts w:hint="eastAsia" w:ascii="仿宋_GB2312" w:hAnsi="仿宋" w:eastAsia="仿宋_GB2312" w:cs="仿宋_GB2312"/>
          <w:color w:val="000000" w:themeColor="text1"/>
          <w:sz w:val="24"/>
          <w:szCs w:val="20"/>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rPr>
          <w:color w:val="000000" w:themeColor="text1"/>
          <w:highlight w:val="none"/>
          <w14:textFill>
            <w14:solidFill>
              <w14:schemeClr w14:val="tx1"/>
            </w14:solidFill>
          </w14:textFill>
        </w:rPr>
      </w:pPr>
    </w:p>
    <w:p>
      <w:pPr>
        <w:snapToGrid w:val="0"/>
        <w:spacing w:line="360" w:lineRule="auto"/>
        <w:ind w:firstLine="3357" w:firstLineChars="1045"/>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八、电子交易活动的中止</w:t>
      </w:r>
    </w:p>
    <w:p>
      <w:pPr>
        <w:pStyle w:val="129"/>
        <w:snapToGrid w:val="0"/>
        <w:spacing w:before="0"/>
        <w:ind w:firstLine="0" w:firstLineChars="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ascii="仿宋_GB2312" w:hAnsi="仿宋" w:eastAsia="仿宋_GB2312" w:cs="仿宋_GB2312"/>
          <w:b/>
          <w:color w:val="000000" w:themeColor="text1"/>
          <w:szCs w:val="24"/>
          <w:highlight w:val="none"/>
          <w14:textFill>
            <w14:solidFill>
              <w14:schemeClr w14:val="tx1"/>
            </w14:solidFill>
          </w14:textFill>
        </w:rPr>
        <w:t xml:space="preserve">7. </w:t>
      </w:r>
      <w:r>
        <w:rPr>
          <w:rFonts w:hint="eastAsia" w:ascii="仿宋_GB2312" w:hAnsi="仿宋" w:eastAsia="仿宋_GB2312" w:cs="仿宋_GB2312"/>
          <w:b/>
          <w:color w:val="000000" w:themeColor="text1"/>
          <w:szCs w:val="24"/>
          <w:highlight w:val="none"/>
          <w14:textFill>
            <w14:solidFill>
              <w14:schemeClr w14:val="tx1"/>
            </w14:solidFill>
          </w14:textFill>
        </w:rPr>
        <w:t>电子交易活动的中止。</w:t>
      </w:r>
      <w:r>
        <w:rPr>
          <w:rFonts w:hint="eastAsia" w:ascii="仿宋_GB2312" w:hAnsi="仿宋" w:eastAsia="仿宋_GB2312" w:cs="仿宋_GB2312"/>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 xml:space="preserve">27.1电子交易平台发生故障而无法登录访问的； </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27.2电子交易平台应用或数据库出现错误，不能进行正常操作的；</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27.3电子交易平台发现严重安全漏洞，有潜在泄密危险的；</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 xml:space="preserve">27.4病毒发作导致不能进行正常操作的； </w:t>
      </w:r>
    </w:p>
    <w:p>
      <w:pPr>
        <w:pStyle w:val="129"/>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27.5其他无法保证电子交易的公平、公正和安全的情况。</w:t>
      </w:r>
    </w:p>
    <w:p>
      <w:pPr>
        <w:pStyle w:val="129"/>
        <w:snapToGrid w:val="0"/>
        <w:spacing w:before="0"/>
        <w:ind w:firstLine="0" w:firstLineChars="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b/>
          <w:bCs/>
          <w:color w:val="000000" w:themeColor="text1"/>
          <w:highlight w:val="none"/>
          <w14:textFill>
            <w14:solidFill>
              <w14:schemeClr w14:val="tx1"/>
            </w14:solidFill>
          </w14:textFill>
        </w:rPr>
        <w:t xml:space="preserve"> 28.</w:t>
      </w:r>
      <w:r>
        <w:rPr>
          <w:rFonts w:ascii="仿宋_GB2312" w:hAnsi="仿宋" w:eastAsia="仿宋_GB2312" w:cs="仿宋_GB2312"/>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九、验收</w:t>
      </w:r>
    </w:p>
    <w:p>
      <w:pPr>
        <w:pStyle w:val="25"/>
        <w:spacing w:line="360" w:lineRule="auto"/>
        <w:ind w:firstLine="0" w:firstLineChars="0"/>
        <w:rPr>
          <w:rFonts w:ascii="仿宋_GB2312" w:hAnsi="仿宋" w:eastAsia="仿宋_GB2312" w:cs="仿宋_GB2312"/>
          <w:b/>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29.验收</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w:t>
      </w:r>
      <w:r>
        <w:rPr>
          <w:rFonts w:hint="eastAsia" w:ascii="仿宋_GB2312" w:hAnsi="仿宋" w:eastAsia="仿宋_GB2312" w:cs="Helvetica"/>
          <w:color w:val="000000" w:themeColor="text1"/>
          <w:kern w:val="0"/>
          <w:sz w:val="24"/>
          <w:highlight w:val="none"/>
          <w14:textFill>
            <w14:solidFill>
              <w14:schemeClr w14:val="tx1"/>
            </w14:solidFill>
          </w14:textFill>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highlight w:val="none"/>
          <w14:textFill>
            <w14:solidFill>
              <w14:schemeClr w14:val="tx1"/>
            </w14:solidFill>
          </w14:textFill>
        </w:rPr>
      </w:pPr>
      <w:r>
        <w:rPr>
          <w:rFonts w:ascii="仿宋_GB2312" w:hAnsi="仿宋" w:eastAsia="仿宋_GB2312" w:cs="Helvetica"/>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000000" w:themeColor="text1"/>
          <w:kern w:val="0"/>
          <w:sz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07468"/>
      <w:bookmarkEnd w:id="15"/>
      <w:bookmarkStart w:id="16" w:name="_Hlt74730295"/>
      <w:bookmarkEnd w:id="16"/>
      <w:bookmarkStart w:id="17" w:name="_Hlt74729768"/>
      <w:bookmarkEnd w:id="17"/>
      <w:bookmarkStart w:id="18" w:name="_Hlt68072990"/>
      <w:bookmarkEnd w:id="18"/>
      <w:bookmarkStart w:id="19" w:name="_Hlt74714665"/>
      <w:bookmarkEnd w:id="19"/>
      <w:bookmarkStart w:id="20" w:name="_Hlt68057669"/>
      <w:bookmarkEnd w:id="20"/>
      <w:bookmarkStart w:id="21" w:name="_Hlt75236011"/>
      <w:bookmarkEnd w:id="21"/>
      <w:bookmarkStart w:id="22" w:name="_Hlt68072998"/>
      <w:bookmarkEnd w:id="22"/>
      <w:bookmarkStart w:id="23" w:name="_Hlt75236290"/>
      <w:bookmarkEnd w:id="23"/>
      <w:bookmarkStart w:id="24" w:name="_Hlt68073093"/>
      <w:bookmarkEnd w:id="24"/>
      <w:bookmarkStart w:id="25" w:name="_Hlt68403820"/>
      <w:bookmarkEnd w:id="25"/>
    </w:p>
    <w:bookmarkEnd w:id="11"/>
    <w:bookmarkEnd w:id="12"/>
    <w:p>
      <w:pPr>
        <w:spacing w:line="360" w:lineRule="auto"/>
        <w:jc w:val="center"/>
        <w:outlineLvl w:val="0"/>
        <w:rPr>
          <w:rFonts w:ascii="仿宋" w:hAnsi="仿宋" w:eastAsia="仿宋" w:cs="仿宋_GB2312"/>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仿宋_GB2312"/>
          <w:b/>
          <w:color w:val="000000" w:themeColor="text1"/>
          <w:sz w:val="36"/>
          <w:szCs w:val="36"/>
          <w:highlight w:val="none"/>
          <w14:textFill>
            <w14:solidFill>
              <w14:schemeClr w14:val="tx1"/>
            </w14:solidFill>
          </w14:textFill>
        </w:rPr>
        <w:t>第三部分</w:t>
      </w:r>
      <w:r>
        <w:rPr>
          <w:rFonts w:ascii="仿宋" w:hAnsi="仿宋" w:eastAsia="仿宋" w:cs="仿宋_GB2312"/>
          <w:b/>
          <w:color w:val="000000" w:themeColor="text1"/>
          <w:sz w:val="36"/>
          <w:szCs w:val="36"/>
          <w:highlight w:val="none"/>
          <w14:textFill>
            <w14:solidFill>
              <w14:schemeClr w14:val="tx1"/>
            </w14:solidFill>
          </w14:textFill>
        </w:rPr>
        <w:t xml:space="preserve">   </w:t>
      </w:r>
      <w:r>
        <w:rPr>
          <w:rFonts w:hint="eastAsia" w:ascii="仿宋" w:hAnsi="仿宋" w:eastAsia="仿宋" w:cs="仿宋_GB2312"/>
          <w:b/>
          <w:color w:val="000000" w:themeColor="text1"/>
          <w:sz w:val="36"/>
          <w:szCs w:val="36"/>
          <w:highlight w:val="none"/>
          <w14:textFill>
            <w14:solidFill>
              <w14:schemeClr w14:val="tx1"/>
            </w14:solidFill>
          </w14:textFill>
        </w:rPr>
        <w:t>采购需求</w:t>
      </w:r>
    </w:p>
    <w:p>
      <w:pPr>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一、项目名称</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S211钱塘段（江东大道至红十五线）公路工程全过程造价咨询服务项目</w:t>
      </w:r>
      <w:r>
        <w:rPr>
          <w:rFonts w:ascii="仿宋" w:hAnsi="仿宋" w:eastAsia="仿宋" w:cs="仿宋"/>
          <w:color w:val="000000" w:themeColor="text1"/>
          <w:kern w:val="0"/>
          <w:sz w:val="24"/>
          <w:highlight w:val="none"/>
          <w14:textFill>
            <w14:solidFill>
              <w14:schemeClr w14:val="tx1"/>
            </w14:solidFill>
          </w14:textFill>
        </w:rPr>
        <w:t>。</w:t>
      </w:r>
    </w:p>
    <w:p>
      <w:pPr>
        <w:autoSpaceDE w:val="0"/>
        <w:autoSpaceDN w:val="0"/>
        <w:spacing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二、建设地点</w:t>
      </w:r>
    </w:p>
    <w:p>
      <w:pPr>
        <w:widowControl/>
        <w:tabs>
          <w:tab w:val="left" w:pos="4755"/>
        </w:tabs>
        <w:adjustRightInd/>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项目位于钱塘区义蓬街道，北起江东大道，南至红十五线南侧（钱塘区与萧山区区界位置）</w:t>
      </w:r>
    </w:p>
    <w:p>
      <w:pPr>
        <w:autoSpaceDE w:val="0"/>
        <w:autoSpaceDN w:val="0"/>
        <w:spacing w:line="360" w:lineRule="auto"/>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三、建设概况</w:t>
      </w:r>
    </w:p>
    <w:p>
      <w:pPr>
        <w:widowControl/>
        <w:tabs>
          <w:tab w:val="left" w:pos="4755"/>
        </w:tabs>
        <w:adjustRightInd/>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S211钱塘段（江东大道至红十五线）公路工程位于钱塘区义蓬街道，项目全长约 6.671 公里，其中江东大道至艮山东路北侧采用主线隧道+地面道路形式，艮山东路北侧至红十五线采用主线高架桥+地面道路形式。主线隧道长度约 2280 米/1 座（暗埋段长度 2028 米，敞开段 U 槽长度 252 米），高架桥长度约 4242.6 米/1 座，其余为主线桥隧过渡路基段；地面道路约 6.46 公里，其中桥梁约 209.6 米/5 座。工程范围内设置互通枢纽 1 处，平行匝道 3 对，管理用房 1 处，平面交叉 4 处、改河 1 处以及排水工程、道路配套设施等。</w:t>
      </w:r>
    </w:p>
    <w:p>
      <w:pPr>
        <w:widowControl/>
        <w:tabs>
          <w:tab w:val="left" w:pos="4755"/>
        </w:tabs>
        <w:adjustRightInd/>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本项目采用一级公路标准，兼顾城市道路功能。全线采用主线双向 6 车道+地面双向 6 车道布置，路基宽度约为 35 米，主线高架桥梁宽约 26.5 米，单孔隧道建筑界限宽约 13.25 米，隧道/高架主线设计时速 80 公里/小时，地面道路设计时速 60 公里/小时。桥涵、隧道设计荷载采用公路-I 级，其他各项技术指标按照现行有关行业标准、规范执行。</w:t>
      </w:r>
    </w:p>
    <w:p>
      <w:pPr>
        <w:pStyle w:val="24"/>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w:t>
      </w:r>
      <w:r>
        <w:rPr>
          <w:rFonts w:hint="eastAsia" w:ascii="仿宋" w:hAnsi="仿宋" w:eastAsia="仿宋" w:cs="仿宋"/>
          <w:color w:val="000000" w:themeColor="text1"/>
          <w:kern w:val="0"/>
          <w:highlight w:val="none"/>
          <w14:textFill>
            <w14:solidFill>
              <w14:schemeClr w14:val="tx1"/>
            </w14:solidFill>
          </w14:textFill>
        </w:rPr>
        <w:t>全过程造价咨询服务</w:t>
      </w:r>
      <w:r>
        <w:rPr>
          <w:rFonts w:hint="eastAsia" w:ascii="仿宋" w:hAnsi="仿宋" w:eastAsia="仿宋" w:cs="仿宋"/>
          <w:color w:val="000000" w:themeColor="text1"/>
          <w:highlight w:val="none"/>
          <w14:textFill>
            <w14:solidFill>
              <w14:schemeClr w14:val="tx1"/>
            </w14:solidFill>
          </w14:textFill>
        </w:rPr>
        <w:t>招标设 1 个标段：</w:t>
      </w:r>
      <w:r>
        <w:rPr>
          <w:rFonts w:hint="eastAsia" w:ascii="仿宋" w:hAnsi="仿宋" w:eastAsia="仿宋" w:cs="仿宋"/>
          <w:color w:val="000000" w:themeColor="text1"/>
          <w:kern w:val="0"/>
          <w:highlight w:val="none"/>
          <w14:textFill>
            <w14:solidFill>
              <w14:schemeClr w14:val="tx1"/>
            </w14:solidFill>
          </w14:textFill>
        </w:rPr>
        <w:t>S211钱塘段（江东大道至红十五线）公路工程全过程造价咨询服务</w:t>
      </w:r>
      <w:r>
        <w:rPr>
          <w:rFonts w:hint="eastAsia" w:ascii="仿宋" w:hAnsi="仿宋" w:eastAsia="仿宋" w:cs="仿宋"/>
          <w:color w:val="000000" w:themeColor="text1"/>
          <w:highlight w:val="none"/>
          <w14:textFill>
            <w14:solidFill>
              <w14:schemeClr w14:val="tx1"/>
            </w14:solidFill>
          </w14:textFill>
        </w:rPr>
        <w:t>，项目概算总投资</w:t>
      </w:r>
      <w:r>
        <w:rPr>
          <w:rFonts w:hint="eastAsia" w:ascii="仿宋" w:hAnsi="仿宋" w:eastAsia="仿宋" w:cs="仿宋"/>
          <w:color w:val="000000" w:themeColor="text1"/>
          <w:highlight w:val="none"/>
          <w:u w:val="single"/>
          <w:lang w:val="en-US"/>
          <w14:textFill>
            <w14:solidFill>
              <w14:schemeClr w14:val="tx1"/>
            </w14:solidFill>
          </w14:textFill>
        </w:rPr>
        <w:t>506932.28</w:t>
      </w:r>
      <w:r>
        <w:rPr>
          <w:rFonts w:hint="eastAsia" w:ascii="仿宋" w:hAnsi="仿宋" w:eastAsia="仿宋" w:cs="仿宋"/>
          <w:color w:val="000000" w:themeColor="text1"/>
          <w:highlight w:val="none"/>
          <w:lang w:val="en-US"/>
          <w14:textFill>
            <w14:solidFill>
              <w14:schemeClr w14:val="tx1"/>
            </w14:solidFill>
          </w14:textFill>
        </w:rPr>
        <w:t>万</w:t>
      </w:r>
      <w:r>
        <w:rPr>
          <w:rFonts w:hint="eastAsia" w:ascii="仿宋" w:hAnsi="仿宋" w:eastAsia="仿宋" w:cs="仿宋"/>
          <w:color w:val="000000" w:themeColor="text1"/>
          <w:highlight w:val="none"/>
          <w14:textFill>
            <w14:solidFill>
              <w14:schemeClr w14:val="tx1"/>
            </w14:solidFill>
          </w14:textFill>
        </w:rPr>
        <w:t>元，概算</w:t>
      </w:r>
      <w:r>
        <w:rPr>
          <w:rFonts w:hint="eastAsia" w:ascii="仿宋" w:hAnsi="仿宋" w:eastAsia="仿宋" w:cs="仿宋"/>
          <w:color w:val="000000" w:themeColor="text1"/>
          <w:kern w:val="0"/>
          <w:highlight w:val="none"/>
          <w14:textFill>
            <w14:solidFill>
              <w14:schemeClr w14:val="tx1"/>
            </w14:solidFill>
          </w14:textFill>
        </w:rPr>
        <w:t>建安费为</w:t>
      </w:r>
      <w:r>
        <w:rPr>
          <w:rFonts w:hint="eastAsia" w:ascii="仿宋" w:hAnsi="仿宋" w:eastAsia="仿宋" w:cs="仿宋"/>
          <w:color w:val="000000" w:themeColor="text1"/>
          <w:kern w:val="0"/>
          <w:highlight w:val="none"/>
          <w:u w:val="single"/>
          <w14:textFill>
            <w14:solidFill>
              <w14:schemeClr w14:val="tx1"/>
            </w14:solidFill>
          </w14:textFill>
        </w:rPr>
        <w:t>333808.82</w:t>
      </w:r>
      <w:r>
        <w:rPr>
          <w:rFonts w:hint="eastAsia" w:ascii="仿宋" w:hAnsi="仿宋" w:eastAsia="仿宋" w:cs="仿宋"/>
          <w:color w:val="000000" w:themeColor="text1"/>
          <w:kern w:val="0"/>
          <w:highlight w:val="none"/>
          <w:lang w:val="en-US"/>
          <w14:textFill>
            <w14:solidFill>
              <w14:schemeClr w14:val="tx1"/>
            </w14:solidFill>
          </w14:textFill>
        </w:rPr>
        <w:t>万</w:t>
      </w:r>
      <w:r>
        <w:rPr>
          <w:rFonts w:hint="eastAsia" w:ascii="仿宋" w:hAnsi="仿宋" w:eastAsia="仿宋" w:cs="仿宋"/>
          <w:color w:val="000000" w:themeColor="text1"/>
          <w:kern w:val="0"/>
          <w:highlight w:val="none"/>
          <w14:textFill>
            <w14:solidFill>
              <w14:schemeClr w14:val="tx1"/>
            </w14:solidFill>
          </w14:textFill>
        </w:rPr>
        <w:t>元，</w:t>
      </w:r>
      <w:r>
        <w:rPr>
          <w:rFonts w:hint="eastAsia" w:ascii="仿宋" w:hAnsi="仿宋" w:eastAsia="仿宋" w:cs="仿宋"/>
          <w:color w:val="000000" w:themeColor="text1"/>
          <w:highlight w:val="none"/>
          <w14:textFill>
            <w14:solidFill>
              <w14:schemeClr w14:val="tx1"/>
            </w14:solidFill>
          </w14:textFill>
        </w:rPr>
        <w:t>计划建设工期为</w:t>
      </w:r>
      <w:r>
        <w:rPr>
          <w:rFonts w:hint="eastAsia" w:ascii="仿宋" w:hAnsi="仿宋" w:eastAsia="仿宋" w:cs="仿宋"/>
          <w:color w:val="000000" w:themeColor="text1"/>
          <w:highlight w:val="none"/>
          <w:u w:val="single"/>
          <w:lang w:val="en-US"/>
          <w14:textFill>
            <w14:solidFill>
              <w14:schemeClr w14:val="tx1"/>
            </w14:solidFill>
          </w14:textFill>
        </w:rPr>
        <w:t>32</w:t>
      </w:r>
      <w:r>
        <w:rPr>
          <w:rFonts w:hint="eastAsia" w:ascii="仿宋" w:hAnsi="仿宋" w:eastAsia="仿宋" w:cs="仿宋"/>
          <w:color w:val="000000" w:themeColor="text1"/>
          <w:highlight w:val="none"/>
          <w14:textFill>
            <w14:solidFill>
              <w14:schemeClr w14:val="tx1"/>
            </w14:solidFill>
          </w14:textFill>
        </w:rPr>
        <w:t>个月。</w:t>
      </w:r>
    </w:p>
    <w:p>
      <w:pPr>
        <w:pStyle w:val="24"/>
        <w:ind w:firstLine="480" w:firstLineChars="20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项目建设单位为：</w:t>
      </w:r>
      <w:r>
        <w:rPr>
          <w:rFonts w:hint="eastAsia" w:ascii="仿宋" w:hAnsi="仿宋" w:eastAsia="仿宋" w:cs="仿宋"/>
          <w:color w:val="000000" w:themeColor="text1"/>
          <w:kern w:val="0"/>
          <w:highlight w:val="none"/>
          <w:u w:val="single"/>
          <w14:textFill>
            <w14:solidFill>
              <w14:schemeClr w14:val="tx1"/>
            </w14:solidFill>
          </w14:textFill>
        </w:rPr>
        <w:t>中电建路桥集团（杭州）大江东投资发展有限公司</w:t>
      </w:r>
      <w:r>
        <w:rPr>
          <w:rFonts w:hint="eastAsia" w:ascii="仿宋" w:hAnsi="仿宋" w:eastAsia="仿宋" w:cs="仿宋"/>
          <w:color w:val="000000" w:themeColor="text1"/>
          <w:kern w:val="0"/>
          <w:highlight w:val="none"/>
          <w14:textFill>
            <w14:solidFill>
              <w14:schemeClr w14:val="tx1"/>
            </w14:solidFill>
          </w14:textFill>
        </w:rPr>
        <w:t>，项目业主单位为：</w:t>
      </w:r>
      <w:r>
        <w:rPr>
          <w:rFonts w:hint="eastAsia" w:ascii="仿宋" w:hAnsi="仿宋" w:eastAsia="仿宋" w:cs="仿宋"/>
          <w:color w:val="000000" w:themeColor="text1"/>
          <w:kern w:val="0"/>
          <w:highlight w:val="none"/>
          <w:u w:val="single"/>
          <w14:textFill>
            <w14:solidFill>
              <w14:schemeClr w14:val="tx1"/>
            </w14:solidFill>
          </w14:textFill>
        </w:rPr>
        <w:t>杭州市钱塘区交通运输局</w:t>
      </w:r>
    </w:p>
    <w:p>
      <w:pPr>
        <w:pStyle w:val="24"/>
        <w:ind w:firstLine="482" w:firstLineChars="200"/>
        <w:rPr>
          <w:rFonts w:ascii="仿宋" w:hAnsi="仿宋" w:eastAsia="仿宋" w:cs="仿宋"/>
          <w:color w:val="000000" w:themeColor="text1"/>
          <w:kern w:val="0"/>
          <w:highlight w:val="none"/>
          <w14:textFill>
            <w14:solidFill>
              <w14:schemeClr w14:val="tx1"/>
            </w14:solidFill>
          </w14:textFill>
        </w:rPr>
      </w:pPr>
      <w:r>
        <w:rPr>
          <w:rFonts w:hint="eastAsia"/>
          <w:b/>
          <w:bCs/>
          <w:color w:val="000000" w:themeColor="text1"/>
          <w:highlight w:val="none"/>
          <w14:textFill>
            <w14:solidFill>
              <w14:schemeClr w14:val="tx1"/>
            </w14:solidFill>
          </w14:textFill>
        </w:rPr>
        <w:t>以上建设规模、投资额等数据仅作为招标时基础数据供投标人共同参考，不作为确定最终造价咨询费金额的依据，最终造价咨询费计算以竣工决算批复实际投资额为准。</w:t>
      </w:r>
    </w:p>
    <w:p>
      <w:pPr>
        <w:widowControl/>
        <w:tabs>
          <w:tab w:val="left" w:pos="4755"/>
        </w:tabs>
        <w:adjustRightInd/>
        <w:snapToGrid w:val="0"/>
        <w:spacing w:line="360" w:lineRule="auto"/>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四、全过程造价咨询</w:t>
      </w:r>
      <w:r>
        <w:rPr>
          <w:rFonts w:ascii="仿宋" w:hAnsi="仿宋" w:eastAsia="仿宋" w:cs="仿宋"/>
          <w:b/>
          <w:bCs/>
          <w:color w:val="000000" w:themeColor="text1"/>
          <w:kern w:val="0"/>
          <w:sz w:val="24"/>
          <w:highlight w:val="none"/>
          <w14:textFill>
            <w14:solidFill>
              <w14:schemeClr w14:val="tx1"/>
            </w14:solidFill>
          </w14:textFill>
        </w:rPr>
        <w:t>服务要求及工作内容：</w:t>
      </w:r>
    </w:p>
    <w:p>
      <w:pPr>
        <w:pStyle w:val="33"/>
        <w:spacing w:line="360" w:lineRule="auto"/>
        <w:ind w:firstLine="482"/>
        <w:rPr>
          <w:rFonts w:ascii="仿宋" w:hAnsi="仿宋" w:eastAsia="仿宋" w:cs="仿宋"/>
          <w:bCs/>
          <w:color w:val="000000" w:themeColor="text1"/>
          <w:kern w:val="2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1、招标范围：</w:t>
      </w:r>
      <w:r>
        <w:rPr>
          <w:rFonts w:hint="eastAsia" w:ascii="仿宋" w:hAnsi="仿宋" w:eastAsia="仿宋" w:cs="仿宋"/>
          <w:color w:val="000000" w:themeColor="text1"/>
          <w:kern w:val="0"/>
          <w:sz w:val="24"/>
          <w:szCs w:val="24"/>
          <w:highlight w:val="none"/>
          <w14:textFill>
            <w14:solidFill>
              <w14:schemeClr w14:val="tx1"/>
            </w14:solidFill>
          </w14:textFill>
        </w:rPr>
        <w:t>建设期（含建设前期）工程跟踪审计（含工程量清单及预算、招标控制价的审核）、建设期（含建设前期）财务跟踪审计、竣工工程结算审核（或审价）、协助和指导建设单位编制财务决算报告、配合协助建设单位做好竣工决算审批工作、竣工财务决算审计、业主认为需要审计的其他内容以及为提供上述服务所产生人工费、现场测量费、交通、住宿、差旅费、管理费、通讯费、利润、进驻施工现场人员工伤保险费和意外伤害保险费、税金、风险费以及政策和行业规定的各项税费，凡未列入的均将被认为已包含在投标总价中；以上各项造价咨询及审计均含管线迁改工程；不包括招标代理工作。</w:t>
      </w:r>
    </w:p>
    <w:p>
      <w:pPr>
        <w:pStyle w:val="256"/>
        <w:tabs>
          <w:tab w:val="left" w:pos="1071"/>
        </w:tabs>
        <w:ind w:firstLine="0" w:firstLineChars="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2、全过程造价咨询服务期：</w:t>
      </w:r>
      <w:r>
        <w:rPr>
          <w:rFonts w:hint="eastAsia" w:ascii="仿宋" w:hAnsi="仿宋" w:eastAsia="仿宋" w:cs="仿宋"/>
          <w:color w:val="000000" w:themeColor="text1"/>
          <w:kern w:val="0"/>
          <w:highlight w:val="none"/>
          <w14:textFill>
            <w14:solidFill>
              <w14:schemeClr w14:val="tx1"/>
            </w14:solidFill>
          </w14:textFill>
        </w:rPr>
        <w:t>自项目全过程造价咨询服务合同签订之日起至整个项目竣工决算审计完成出具完整的审计报告并通过上级主管部门批复止。现场驻点时间至本工程交工验收为止。</w:t>
      </w:r>
    </w:p>
    <w:p>
      <w:pPr>
        <w:pStyle w:val="256"/>
        <w:tabs>
          <w:tab w:val="left" w:pos="1071"/>
        </w:tabs>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w w:val="99"/>
          <w:highlight w:val="none"/>
          <w14:textFill>
            <w14:solidFill>
              <w14:schemeClr w14:val="tx1"/>
            </w14:solidFill>
          </w14:textFill>
        </w:rPr>
        <w:t>3、全过程造价咨询服务内容和要求</w:t>
      </w:r>
      <w:r>
        <w:rPr>
          <w:rFonts w:hint="eastAsia" w:ascii="仿宋" w:hAnsi="仿宋" w:eastAsia="仿宋" w:cs="仿宋"/>
          <w:color w:val="000000" w:themeColor="text1"/>
          <w:highlight w:val="none"/>
          <w14:textFill>
            <w14:solidFill>
              <w14:schemeClr w14:val="tx1"/>
            </w14:solidFill>
          </w14:textFill>
        </w:rPr>
        <w:t xml:space="preserve">（包括但不限于）： </w:t>
      </w:r>
    </w:p>
    <w:p>
      <w:pPr>
        <w:pStyle w:val="256"/>
        <w:tabs>
          <w:tab w:val="left" w:pos="1071"/>
        </w:tabs>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（一）工程量清单及预算、招标控制价的审核。</w:t>
      </w:r>
    </w:p>
    <w:p>
      <w:pPr>
        <w:spacing w:line="5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审核并且确认本项目的的工程量清单、预算、控制价的准确性，尤其是材料设备的名称、规格、数量等内容，负责将招标控制价报送主管部门审核，招标上限价应按分项预算严格控制，对超过预算项说明原因，并报业主单位批准。</w:t>
      </w:r>
    </w:p>
    <w:p>
      <w:pPr>
        <w:spacing w:line="5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2.本项目工作中其他需要工程量清单及预算、招标控制价的审核的内容。 </w:t>
      </w:r>
    </w:p>
    <w:p>
      <w:pPr>
        <w:spacing w:line="360" w:lineRule="auto"/>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（二）建设前期工程审计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1.本项目的立项、初步设计、概算、规划、土地征迁和环保等文件的审查批准情况，施工图设计（含预算）和初步设计标准的情况。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2.本项目勘察、设计、施工、监理等事项的招投标和合同签订、管理、执行情况。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 本项目征地拆迁费用咨询服务工作（含征迁需要的审价工作，如永久性用电等）和征地拆迁费的支出情况。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4.本项目前期工作中其他需要审计的内容。 </w:t>
      </w:r>
    </w:p>
    <w:p>
      <w:pPr>
        <w:spacing w:line="360" w:lineRule="auto"/>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（三）建设期间审计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1.本项目概算调整、设计变更、建设内容变更、0号变更的审查批准情况，项目施工、监理、设计、施工监控、检测等各环节中执行国家有关法律法规的情况。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2.本项目执行公路建设“四项制度”的情况。项目资本金按工程进度及时到位的情况。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3.本项目建设资金使用的合规性情况，有无转移、侵占、挪用建设资金和损失浪费的情况。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4.本项目工程价款计量支付的真实性、合法性情况，合同款项支付、工程索赔、材料价差核定的合规性情况，施工单位有无违规转（分）包情况。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5.本项目设备、材料采购、验收、保管、使用的情况以及合规性、有效性的情况 。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6.本项目建设进度计划完成情况，项目投资完成额的真实性、准确性情况。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7.本项目建设成本的归集情况，基建收入来源和债权债务的真实</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性、合法性情况，税、费的及时、足额计缴情况，财务报表的真实性、准确性情况。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8.本项目建设期间工作中其他需要审计的内容（如0号变更的复核工作）。 </w:t>
      </w:r>
    </w:p>
    <w:p>
      <w:pPr>
        <w:spacing w:line="360" w:lineRule="auto"/>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（四）竣工决算审计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按照《交通基本建设项目竣工决算报告编制办法》（交财发[2000]207号(2000年4月11日)，《公路工程决算编制办法》(交通运输部交公路发[2004]507号文)，及国家审计署《审计机关对国家建设项目竣工决算审计实施办法》等相关规定的要求审核本项目的竣工决算相关文件，主要内容涉及但不仅止于以下方面：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1.基本建设程序执行情况；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2.项目投资、初步设计及概（预）算执行情况；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3.建设资金来源、支出及节余等财务情况；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4.工程价款结算（决算）审核及工程合同执行情况；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5.交付使用资产情况；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6.收尾工程的未完工程量及所需投资情况；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7.竣工工程概况表、竣工财务决算表和说明书、交付使用财产总表及明细表等编报审核情况；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8.投资效益评审等有关情况。 </w:t>
      </w:r>
    </w:p>
    <w:p>
      <w:pPr>
        <w:spacing w:line="360" w:lineRule="auto"/>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（五）重点工作环节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1.工程量清单及预算、招标控制价的审核；</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2.按合同规定的各阶段施工单位、监理单位和其他单位计量结算支付款审核；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3.工程施工过程中的设计变更和索赔等重大事项，以及隐蔽工程的审核；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4.工程结算最终计量支付的审核；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5.工程合同奖罚条款的监督执行和材料差价的核定；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6.征迁工作中征迁协议、款项支付、征迁面积以及征迁工作其他相关资料合法合规性审核；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7.工程管理中存在的问题及其咨询意见和建议。 </w:t>
      </w:r>
    </w:p>
    <w:p>
      <w:pPr>
        <w:widowControl/>
        <w:tabs>
          <w:tab w:val="left" w:pos="4755"/>
        </w:tabs>
        <w:adjustRightInd/>
        <w:snapToGrid w:val="0"/>
        <w:spacing w:line="360" w:lineRule="auto"/>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五、其他要求</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1、付款方式</w:t>
      </w:r>
    </w:p>
    <w:p>
      <w:pPr>
        <w:adjustRightInd/>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1.1本合同签订且项目开工并提供等额发票后一个月内，甲方向乙方支付本项目造价咨询费用总额的50%； </w:t>
      </w:r>
    </w:p>
    <w:p>
      <w:pPr>
        <w:adjustRightInd/>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1.2造价咨询费支付进度：根据合同施工工期，造价咨询费原则上按每半年支付一次，每次支付造价咨询费用总额的1%，至合同施工工期完工，累计支付至造价咨询费的55%，每次出具正式半年度或年度审计报告后支付；</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1.3工程交工验收后，完成建设期工程跟踪审计，支付造价咨询费用总额的5%，累计支付至造价咨询费的60%；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1.4出具工程结算审价（核）报告、并提供工程结算审价汇总后，支付本项目造价咨询费用总额的20%，累计支付至造价咨询费的80%；</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1.5完成竣工决算审计报告、并通过竣工决算批复后1个月内，支付本项目造价咨询费用总额的20%，累计支付至造价咨询费的100%。 并按竣工决算批复实际投资额计算所得的造价咨询费用为准多退少补，一次结清，最多补合同价的10%。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1.6工程结算审核追加费用按《浙江省建设工程造价咨询服务基准收费标准》（浙价服〔2009〕84号）规定执行，并由送审方承担，由项目建设单位代扣。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2、响应时间</w:t>
      </w:r>
    </w:p>
    <w:p>
      <w:pPr>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(1)工程量清单及预算、招标控制价的审核完成时间</w:t>
      </w:r>
    </w:p>
    <w:tbl>
      <w:tblPr>
        <w:tblStyle w:val="962"/>
        <w:tblW w:w="8861" w:type="dxa"/>
        <w:tblInd w:w="248" w:type="dxa"/>
        <w:tblLayout w:type="autofit"/>
        <w:tblCellMar>
          <w:top w:w="128" w:type="dxa"/>
          <w:left w:w="113" w:type="dxa"/>
          <w:bottom w:w="0" w:type="dxa"/>
          <w:right w:w="53" w:type="dxa"/>
        </w:tblCellMar>
      </w:tblPr>
      <w:tblGrid>
        <w:gridCol w:w="2208"/>
        <w:gridCol w:w="1667"/>
        <w:gridCol w:w="1832"/>
        <w:gridCol w:w="1757"/>
        <w:gridCol w:w="1397"/>
      </w:tblGrid>
      <w:tr>
        <w:tblPrEx>
          <w:tblCellMar>
            <w:top w:w="128" w:type="dxa"/>
            <w:left w:w="113" w:type="dxa"/>
            <w:bottom w:w="0" w:type="dxa"/>
            <w:right w:w="53" w:type="dxa"/>
          </w:tblCellMar>
        </w:tblPrEx>
        <w:trPr>
          <w:trHeight w:val="1156"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29"/>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预算造价</w:t>
            </w:r>
          </w:p>
        </w:tc>
        <w:tc>
          <w:tcPr>
            <w:tcW w:w="1667"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完成审核初稿时间 </w:t>
            </w:r>
          </w:p>
        </w:tc>
        <w:tc>
          <w:tcPr>
            <w:tcW w:w="1832"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施工单位、建设单位对初稿复核时间 </w:t>
            </w:r>
          </w:p>
        </w:tc>
        <w:tc>
          <w:tcPr>
            <w:tcW w:w="1757"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委托人组织完成核对时间 </w:t>
            </w:r>
          </w:p>
        </w:tc>
        <w:tc>
          <w:tcPr>
            <w:tcW w:w="139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出具正式审计报告时间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8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71"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3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7个日历天 </w:t>
            </w:r>
          </w:p>
        </w:tc>
        <w:tc>
          <w:tcPr>
            <w:tcW w:w="1832" w:type="dxa"/>
            <w:tcBorders>
              <w:top w:val="single" w:color="000000" w:sz="6" w:space="0"/>
              <w:left w:val="single" w:color="000000" w:sz="6" w:space="0"/>
              <w:bottom w:val="single" w:color="000000" w:sz="6" w:space="0"/>
              <w:right w:val="single" w:color="000000" w:sz="6" w:space="0"/>
            </w:tcBorders>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7个日历天 </w:t>
            </w:r>
          </w:p>
        </w:tc>
        <w:tc>
          <w:tcPr>
            <w:tcW w:w="1757" w:type="dxa"/>
            <w:tcBorders>
              <w:top w:val="single" w:color="000000" w:sz="6" w:space="0"/>
              <w:left w:val="single" w:color="000000" w:sz="6" w:space="0"/>
              <w:bottom w:val="single" w:color="000000" w:sz="6" w:space="0"/>
              <w:right w:val="single" w:color="000000" w:sz="6" w:space="0"/>
            </w:tcBorders>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7个日历天 </w:t>
            </w:r>
          </w:p>
        </w:tc>
        <w:tc>
          <w:tcPr>
            <w:tcW w:w="1396" w:type="dxa"/>
            <w:tcBorders>
              <w:top w:val="single" w:color="000000" w:sz="6" w:space="0"/>
              <w:left w:val="single" w:color="000000" w:sz="6" w:space="0"/>
              <w:bottom w:val="single" w:color="000000" w:sz="6" w:space="0"/>
              <w:right w:val="single" w:color="000000" w:sz="6" w:space="0"/>
            </w:tcBorders>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2000万以上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bl>
    <w:p>
      <w:pPr>
        <w:pStyle w:val="2"/>
        <w:rPr>
          <w:color w:val="000000" w:themeColor="text1"/>
          <w:highlight w:val="none"/>
          <w14:textFill>
            <w14:solidFill>
              <w14:schemeClr w14:val="tx1"/>
            </w14:solidFill>
          </w14:textFill>
        </w:rPr>
      </w:pPr>
    </w:p>
    <w:p>
      <w:pPr>
        <w:ind w:firstLine="240" w:firstLineChars="100"/>
        <w:rPr>
          <w:rFonts w:ascii="仿宋" w:hAnsi="仿宋" w:eastAsia="仿宋" w:cs="仿宋"/>
          <w:color w:val="000000" w:themeColor="text1"/>
          <w:sz w:val="24"/>
          <w:highlight w:val="none"/>
          <w14:textFill>
            <w14:solidFill>
              <w14:schemeClr w14:val="tx1"/>
            </w14:solidFill>
          </w14:textFill>
        </w:rPr>
      </w:pPr>
    </w:p>
    <w:p>
      <w:pPr>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(2)建设期（含建设前期）工程跟踪审计咨询意见完成时间 </w:t>
      </w:r>
    </w:p>
    <w:tbl>
      <w:tblPr>
        <w:tblStyle w:val="962"/>
        <w:tblW w:w="8891" w:type="dxa"/>
        <w:tblInd w:w="248" w:type="dxa"/>
        <w:tblLayout w:type="autofit"/>
        <w:tblCellMar>
          <w:top w:w="83" w:type="dxa"/>
          <w:left w:w="113" w:type="dxa"/>
          <w:bottom w:w="38" w:type="dxa"/>
          <w:right w:w="79" w:type="dxa"/>
        </w:tblCellMar>
      </w:tblPr>
      <w:tblGrid>
        <w:gridCol w:w="2703"/>
        <w:gridCol w:w="2839"/>
        <w:gridCol w:w="3349"/>
      </w:tblGrid>
      <w:tr>
        <w:tblPrEx>
          <w:tblCellMar>
            <w:top w:w="83" w:type="dxa"/>
            <w:left w:w="113" w:type="dxa"/>
            <w:bottom w:w="38" w:type="dxa"/>
            <w:right w:w="79" w:type="dxa"/>
          </w:tblCellMar>
        </w:tblPrEx>
        <w:trPr>
          <w:trHeight w:val="511"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跟踪审计内容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32"/>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成果完成时间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right="33"/>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说明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一般审计咨询内容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5个工作日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right="31"/>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可以通过快递方式递交成果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重要审计咨询内容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 </w:t>
            </w:r>
          </w:p>
        </w:tc>
      </w:tr>
      <w:tr>
        <w:tblPrEx>
          <w:tblCellMar>
            <w:top w:w="83" w:type="dxa"/>
            <w:left w:w="113" w:type="dxa"/>
            <w:bottom w:w="38" w:type="dxa"/>
            <w:right w:w="79" w:type="dxa"/>
          </w:tblCellMar>
        </w:tblPrEx>
        <w:trPr>
          <w:trHeight w:val="511"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中间计量支付审计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一般工程变更审计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5个工作日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 </w:t>
            </w:r>
          </w:p>
        </w:tc>
      </w:tr>
      <w:tr>
        <w:tblPrEx>
          <w:tblCellMar>
            <w:top w:w="83" w:type="dxa"/>
            <w:left w:w="113" w:type="dxa"/>
            <w:bottom w:w="38" w:type="dxa"/>
            <w:right w:w="79" w:type="dxa"/>
          </w:tblCellMar>
        </w:tblPrEx>
        <w:trPr>
          <w:trHeight w:val="1291"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left="19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较大重大工程变更审计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33"/>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14个日历天 </w:t>
            </w:r>
          </w:p>
        </w:tc>
        <w:tc>
          <w:tcPr>
            <w:tcW w:w="3349"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必要时施工方、建设单位予以配合，需上级主管部门审批，特殊情况经与委托人协商可以延长到20个日历天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出具阶段性审计咨询报告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阶段任务完成25个日历天 </w:t>
            </w:r>
          </w:p>
        </w:tc>
        <w:tc>
          <w:tcPr>
            <w:tcW w:w="3349" w:type="dxa"/>
            <w:tcBorders>
              <w:top w:val="single" w:color="000000" w:sz="6" w:space="0"/>
              <w:left w:val="single" w:color="000000" w:sz="6" w:space="0"/>
              <w:bottom w:val="single" w:color="000000" w:sz="6" w:space="0"/>
              <w:right w:val="single" w:color="000000" w:sz="6" w:space="0"/>
            </w:tcBorders>
            <w:vAlign w:val="center"/>
          </w:tcPr>
          <w:p>
            <w:pPr>
              <w:ind w:right="31"/>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相关方提供资料之日起算 </w:t>
            </w:r>
          </w:p>
        </w:tc>
      </w:tr>
    </w:tbl>
    <w:p>
      <w:pPr>
        <w:spacing w:line="4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(3)建设期（含建设前期）财务跟踪审计 </w:t>
      </w:r>
    </w:p>
    <w:p>
      <w:pPr>
        <w:spacing w:line="4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自建设期（含建设前期）财务跟踪审计阶段性工作结束后20个日历天内出具审计成果。 </w:t>
      </w:r>
    </w:p>
    <w:p>
      <w:pPr>
        <w:spacing w:line="4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(4)工程价款结算 </w:t>
      </w:r>
    </w:p>
    <w:p>
      <w:pPr>
        <w:spacing w:line="4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自建设单位提供完整结算资料之日起，审计人应在下表约定的时间内完成，建设单位及监理方、施工方应予积极配合。 </w:t>
      </w:r>
    </w:p>
    <w:tbl>
      <w:tblPr>
        <w:tblStyle w:val="962"/>
        <w:tblW w:w="8861" w:type="dxa"/>
        <w:tblInd w:w="248" w:type="dxa"/>
        <w:tblLayout w:type="autofit"/>
        <w:tblCellMar>
          <w:top w:w="128" w:type="dxa"/>
          <w:left w:w="113" w:type="dxa"/>
          <w:bottom w:w="0" w:type="dxa"/>
          <w:right w:w="53" w:type="dxa"/>
        </w:tblCellMar>
      </w:tblPr>
      <w:tblGrid>
        <w:gridCol w:w="2208"/>
        <w:gridCol w:w="1667"/>
        <w:gridCol w:w="1832"/>
        <w:gridCol w:w="1757"/>
        <w:gridCol w:w="1397"/>
      </w:tblGrid>
      <w:tr>
        <w:tblPrEx>
          <w:tblCellMar>
            <w:top w:w="128" w:type="dxa"/>
            <w:left w:w="113" w:type="dxa"/>
            <w:bottom w:w="0" w:type="dxa"/>
            <w:right w:w="53" w:type="dxa"/>
          </w:tblCellMar>
        </w:tblPrEx>
        <w:trPr>
          <w:trHeight w:val="1156"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29"/>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送审造价 </w:t>
            </w:r>
          </w:p>
        </w:tc>
        <w:tc>
          <w:tcPr>
            <w:tcW w:w="1667"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完成审核初稿时间 </w:t>
            </w:r>
          </w:p>
        </w:tc>
        <w:tc>
          <w:tcPr>
            <w:tcW w:w="1832"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监理、施工单位、建设单位对初稿复核时间 </w:t>
            </w:r>
          </w:p>
        </w:tc>
        <w:tc>
          <w:tcPr>
            <w:tcW w:w="1757"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委托人组织完成核对时间 </w:t>
            </w:r>
          </w:p>
        </w:tc>
        <w:tc>
          <w:tcPr>
            <w:tcW w:w="139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出具正式审计报告时间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8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30个日历天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71"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3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45个日历天 </w:t>
            </w:r>
          </w:p>
        </w:tc>
        <w:tc>
          <w:tcPr>
            <w:tcW w:w="1832" w:type="dxa"/>
            <w:tcBorders>
              <w:top w:val="single" w:color="000000" w:sz="6" w:space="0"/>
              <w:left w:val="single" w:color="000000" w:sz="6" w:space="0"/>
              <w:bottom w:val="single" w:color="000000" w:sz="6" w:space="0"/>
              <w:right w:val="single" w:color="000000" w:sz="6" w:space="0"/>
            </w:tcBorders>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20个日历天 </w:t>
            </w:r>
          </w:p>
        </w:tc>
        <w:tc>
          <w:tcPr>
            <w:tcW w:w="1757" w:type="dxa"/>
            <w:tcBorders>
              <w:top w:val="single" w:color="000000" w:sz="6" w:space="0"/>
              <w:left w:val="single" w:color="000000" w:sz="6" w:space="0"/>
              <w:bottom w:val="single" w:color="000000" w:sz="6" w:space="0"/>
              <w:right w:val="single" w:color="000000" w:sz="6" w:space="0"/>
            </w:tcBorders>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20个日历天 </w:t>
            </w:r>
          </w:p>
        </w:tc>
        <w:tc>
          <w:tcPr>
            <w:tcW w:w="1396" w:type="dxa"/>
            <w:tcBorders>
              <w:top w:val="single" w:color="000000" w:sz="6" w:space="0"/>
              <w:left w:val="single" w:color="000000" w:sz="6" w:space="0"/>
              <w:bottom w:val="single" w:color="000000" w:sz="6" w:space="0"/>
              <w:right w:val="single" w:color="000000" w:sz="6" w:space="0"/>
            </w:tcBorders>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2000万以上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60个日历天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30个日历天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30个日历天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bl>
    <w:p>
      <w:pPr>
        <w:numPr>
          <w:ilvl w:val="255"/>
          <w:numId w:val="0"/>
        </w:numPr>
        <w:spacing w:line="4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(5)竣工财务决算、工程决算协助编制及审核</w:t>
      </w:r>
    </w:p>
    <w:p>
      <w:pPr>
        <w:tabs>
          <w:tab w:val="left" w:pos="312"/>
        </w:tabs>
        <w:spacing w:line="480" w:lineRule="exact"/>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在资料完整的前提下，不超过45个日历天完成。</w:t>
      </w:r>
    </w:p>
    <w:p>
      <w:pPr>
        <w:numPr>
          <w:ilvl w:val="255"/>
          <w:numId w:val="0"/>
        </w:numPr>
        <w:spacing w:line="4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(6)其他特殊情况完成期限由委托人与审计人双方协商确定。</w:t>
      </w:r>
    </w:p>
    <w:p>
      <w:pPr>
        <w:numPr>
          <w:ilvl w:val="255"/>
          <w:numId w:val="0"/>
        </w:numPr>
        <w:spacing w:line="4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要求中标单位至少派四名项目组工作成员（至少一名为交通运输部公路工程造价人员且具备一级公路跟踪审计经验）。其中项目现场两名（包含公路工程审计、市政工程审计人员各一名），业主单位两名（包含会计财务人员、造价咨询人员各一名）负责配合业主单位完成本项目全过程造价咨询服务相关的所有工作内容。项目驻地时间每个月不少于</w:t>
      </w:r>
      <w:r>
        <w:rPr>
          <w:rFonts w:ascii="仿宋" w:hAnsi="仿宋" w:eastAsia="仿宋" w:cs="仿宋"/>
          <w:color w:val="000000" w:themeColor="text1"/>
          <w:sz w:val="24"/>
          <w:highlight w:val="none"/>
          <w14:textFill>
            <w14:solidFill>
              <w14:schemeClr w14:val="tx1"/>
            </w14:solidFill>
          </w14:textFill>
        </w:rPr>
        <w:t xml:space="preserve"> 22 </w:t>
      </w:r>
      <w:r>
        <w:rPr>
          <w:rFonts w:hint="eastAsia" w:ascii="仿宋" w:hAnsi="仿宋" w:eastAsia="仿宋" w:cs="仿宋"/>
          <w:color w:val="000000" w:themeColor="text1"/>
          <w:sz w:val="24"/>
          <w:highlight w:val="none"/>
          <w14:textFill>
            <w14:solidFill>
              <w14:schemeClr w14:val="tx1"/>
            </w14:solidFill>
          </w14:textFill>
        </w:rPr>
        <w:t>日（中标单位应按采购人要求安排时间进驻现场）。</w:t>
      </w:r>
    </w:p>
    <w:p>
      <w:pPr>
        <w:spacing w:line="360" w:lineRule="auto"/>
        <w:ind w:firstLine="120" w:firstLineChars="50"/>
        <w:rPr>
          <w:rFonts w:ascii="仿宋_GB2312" w:hAnsi="仿宋" w:eastAsia="仿宋_GB2312" w:cs="仿宋_GB2312"/>
          <w:b/>
          <w:color w:val="000000" w:themeColor="text1"/>
          <w:sz w:val="36"/>
          <w:szCs w:val="36"/>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、制定详细的审计服务管理体系自查方案，制定服务质量考评体系，要求对服务质量进行量化、考评（如响应时间、服务质量、</w:t>
      </w:r>
      <w:r>
        <w:rPr>
          <w:rFonts w:hint="eastAsia" w:ascii="仿宋_GB2312" w:hAnsi="仿宋" w:eastAsia="仿宋_GB2312" w:cs="仿宋_GB2312"/>
          <w:color w:val="000000" w:themeColor="text1"/>
          <w:sz w:val="24"/>
          <w:highlight w:val="none"/>
          <w14:textFill>
            <w14:solidFill>
              <w14:schemeClr w14:val="tx1"/>
            </w14:solidFill>
          </w14:textFill>
        </w:rPr>
        <w:t>审核成果质量、项目组人员管理等</w:t>
      </w:r>
      <w:r>
        <w:rPr>
          <w:rFonts w:hint="eastAsia" w:ascii="仿宋" w:hAnsi="仿宋" w:eastAsia="仿宋" w:cs="仿宋"/>
          <w:color w:val="000000" w:themeColor="text1"/>
          <w:sz w:val="24"/>
          <w:highlight w:val="none"/>
          <w14:textFill>
            <w14:solidFill>
              <w14:schemeClr w14:val="tx1"/>
            </w14:solidFill>
          </w14:textFill>
        </w:rPr>
        <w:t>），并将考评结果与全过程造价咨询服务进度款进行挂钩，质量考评体系经业主单位确认后开始执行。</w:t>
      </w:r>
    </w:p>
    <w:p>
      <w:pPr>
        <w:widowControl/>
        <w:ind w:firstLine="720" w:firstLineChars="300"/>
        <w:jc w:val="left"/>
        <w:rPr>
          <w:rFonts w:ascii="仿宋" w:hAnsi="仿宋" w:eastAsia="仿宋"/>
          <w:bCs/>
          <w:color w:val="000000" w:themeColor="text1"/>
          <w:sz w:val="24"/>
          <w:highlight w:val="none"/>
          <w14:textFill>
            <w14:solidFill>
              <w14:schemeClr w14:val="tx1"/>
            </w14:solidFill>
          </w14:textFill>
        </w:rPr>
      </w:pPr>
    </w:p>
    <w:p>
      <w:pPr>
        <w:rPr>
          <w:rFonts w:ascii="仿宋" w:hAnsi="仿宋" w:eastAsia="仿宋" w:cs="Arial"/>
          <w:snapToGrid w:val="0"/>
          <w:color w:val="000000" w:themeColor="text1"/>
          <w:kern w:val="0"/>
          <w:sz w:val="24"/>
          <w:highlight w:val="none"/>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 w:hAnsi="仿宋" w:eastAsia="仿宋" w:cs="仿宋_GB2312"/>
          <w:b/>
          <w:color w:val="000000" w:themeColor="text1"/>
          <w:sz w:val="24"/>
          <w:highlight w:val="none"/>
          <w14:textFill>
            <w14:solidFill>
              <w14:schemeClr w14:val="tx1"/>
            </w14:solidFill>
          </w14:textFill>
        </w:rPr>
        <w:br w:type="page"/>
      </w:r>
      <w:r>
        <w:rPr>
          <w:rFonts w:hint="eastAsia" w:ascii="仿宋" w:hAnsi="仿宋" w:eastAsia="仿宋" w:cs="仿宋_GB2312"/>
          <w:b/>
          <w:color w:val="000000" w:themeColor="text1"/>
          <w:sz w:val="36"/>
          <w:szCs w:val="36"/>
          <w:highlight w:val="none"/>
          <w14:textFill>
            <w14:solidFill>
              <w14:schemeClr w14:val="tx1"/>
            </w14:solidFill>
          </w14:textFill>
        </w:rPr>
        <w:t>第四部分</w:t>
      </w:r>
      <w:r>
        <w:rPr>
          <w:rFonts w:ascii="仿宋" w:hAnsi="仿宋" w:eastAsia="仿宋" w:cs="仿宋_GB2312"/>
          <w:b/>
          <w:color w:val="000000" w:themeColor="text1"/>
          <w:sz w:val="36"/>
          <w:szCs w:val="36"/>
          <w:highlight w:val="none"/>
          <w14:textFill>
            <w14:solidFill>
              <w14:schemeClr w14:val="tx1"/>
            </w14:solidFill>
          </w14:textFill>
        </w:rPr>
        <w:t xml:space="preserve">   </w:t>
      </w:r>
      <w:bookmarkStart w:id="27" w:name="_Toc184310291"/>
      <w:bookmarkEnd w:id="27"/>
      <w:bookmarkStart w:id="28" w:name="_Toc184313267"/>
      <w:bookmarkEnd w:id="28"/>
      <w:bookmarkStart w:id="29" w:name="_Toc184313252"/>
      <w:bookmarkEnd w:id="29"/>
      <w:bookmarkStart w:id="30" w:name="_Toc184310341"/>
      <w:bookmarkEnd w:id="30"/>
      <w:bookmarkStart w:id="31" w:name="_Toc184314463"/>
      <w:bookmarkEnd w:id="31"/>
      <w:bookmarkStart w:id="32" w:name="_Toc184310305"/>
      <w:bookmarkEnd w:id="32"/>
      <w:bookmarkStart w:id="33" w:name="_Toc184314481"/>
      <w:bookmarkEnd w:id="33"/>
      <w:bookmarkStart w:id="34" w:name="_Toc184313304"/>
      <w:bookmarkEnd w:id="34"/>
      <w:bookmarkStart w:id="35" w:name="_Toc184310302"/>
      <w:bookmarkEnd w:id="35"/>
      <w:bookmarkStart w:id="36" w:name="_Toc184313294"/>
      <w:bookmarkEnd w:id="36"/>
      <w:bookmarkStart w:id="37" w:name="_Toc184312084"/>
      <w:bookmarkEnd w:id="37"/>
      <w:bookmarkStart w:id="38" w:name="_Toc184308070"/>
      <w:bookmarkEnd w:id="38"/>
      <w:bookmarkStart w:id="39" w:name="_Toc184310328"/>
      <w:bookmarkEnd w:id="39"/>
      <w:bookmarkStart w:id="40" w:name="_Toc184313259"/>
      <w:bookmarkEnd w:id="40"/>
      <w:bookmarkStart w:id="41" w:name="_Toc184310317"/>
      <w:bookmarkEnd w:id="41"/>
      <w:bookmarkStart w:id="42" w:name="_Toc184310308"/>
      <w:bookmarkEnd w:id="42"/>
      <w:bookmarkStart w:id="43" w:name="_Toc184314436"/>
      <w:bookmarkEnd w:id="43"/>
      <w:bookmarkStart w:id="44" w:name="_Toc184313248"/>
      <w:bookmarkEnd w:id="44"/>
      <w:bookmarkStart w:id="45" w:name="_Toc184308077"/>
      <w:bookmarkEnd w:id="45"/>
      <w:bookmarkStart w:id="46" w:name="_Toc184310306"/>
      <w:bookmarkEnd w:id="46"/>
      <w:bookmarkStart w:id="47" w:name="_Toc184314471"/>
      <w:bookmarkEnd w:id="47"/>
      <w:bookmarkStart w:id="48" w:name="_Toc184312086"/>
      <w:bookmarkEnd w:id="48"/>
      <w:bookmarkStart w:id="49" w:name="_Toc184310276"/>
      <w:bookmarkEnd w:id="49"/>
      <w:bookmarkStart w:id="50" w:name="_Toc184314452"/>
      <w:bookmarkEnd w:id="50"/>
      <w:bookmarkStart w:id="51" w:name="_Toc184313251"/>
      <w:bookmarkEnd w:id="51"/>
      <w:bookmarkStart w:id="52" w:name="_Toc184308083"/>
      <w:bookmarkEnd w:id="52"/>
      <w:bookmarkStart w:id="53" w:name="_Toc184312109"/>
      <w:bookmarkEnd w:id="53"/>
      <w:bookmarkStart w:id="54" w:name="_Toc184314447"/>
      <w:bookmarkEnd w:id="54"/>
      <w:bookmarkStart w:id="55" w:name="_Toc184313298"/>
      <w:bookmarkEnd w:id="55"/>
      <w:bookmarkStart w:id="56" w:name="_Toc184312069"/>
      <w:bookmarkEnd w:id="56"/>
      <w:bookmarkStart w:id="57" w:name="_Toc184310322"/>
      <w:bookmarkEnd w:id="57"/>
      <w:bookmarkStart w:id="58" w:name="_Toc184310292"/>
      <w:bookmarkEnd w:id="58"/>
      <w:bookmarkStart w:id="59" w:name="_Toc184312080"/>
      <w:bookmarkEnd w:id="59"/>
      <w:bookmarkStart w:id="60" w:name="_Toc184313297"/>
      <w:bookmarkEnd w:id="60"/>
      <w:bookmarkStart w:id="61" w:name="_Toc184310315"/>
      <w:bookmarkEnd w:id="61"/>
      <w:bookmarkStart w:id="62" w:name="_Toc184313257"/>
      <w:bookmarkEnd w:id="62"/>
      <w:bookmarkStart w:id="63" w:name="_Toc184310288"/>
      <w:bookmarkEnd w:id="63"/>
      <w:bookmarkStart w:id="64" w:name="_Toc184313270"/>
      <w:bookmarkEnd w:id="64"/>
      <w:bookmarkStart w:id="65" w:name="_Toc184310283"/>
      <w:bookmarkEnd w:id="65"/>
      <w:bookmarkStart w:id="66" w:name="_Toc184314464"/>
      <w:bookmarkEnd w:id="66"/>
      <w:bookmarkStart w:id="67" w:name="_Toc184308064"/>
      <w:bookmarkEnd w:id="67"/>
      <w:bookmarkStart w:id="68" w:name="_Toc184308043"/>
      <w:bookmarkEnd w:id="68"/>
      <w:bookmarkStart w:id="69" w:name="_Toc184313293"/>
      <w:bookmarkEnd w:id="69"/>
      <w:bookmarkStart w:id="70" w:name="_Toc184308086"/>
      <w:bookmarkEnd w:id="70"/>
      <w:bookmarkStart w:id="71" w:name="_Toc184313258"/>
      <w:bookmarkEnd w:id="71"/>
      <w:bookmarkStart w:id="72" w:name="_Toc184312124"/>
      <w:bookmarkEnd w:id="72"/>
      <w:bookmarkStart w:id="73" w:name="_Toc184312134"/>
      <w:bookmarkEnd w:id="73"/>
      <w:bookmarkStart w:id="74" w:name="_Toc184314430"/>
      <w:bookmarkEnd w:id="74"/>
      <w:bookmarkStart w:id="75" w:name="_Toc184312131"/>
      <w:bookmarkEnd w:id="75"/>
      <w:bookmarkStart w:id="76" w:name="_Toc184313299"/>
      <w:bookmarkEnd w:id="76"/>
      <w:bookmarkStart w:id="77" w:name="_Toc184313250"/>
      <w:bookmarkEnd w:id="77"/>
      <w:bookmarkStart w:id="78" w:name="_Toc184310329"/>
      <w:bookmarkEnd w:id="78"/>
      <w:bookmarkStart w:id="79" w:name="_Toc184310300"/>
      <w:bookmarkEnd w:id="79"/>
      <w:bookmarkStart w:id="80" w:name="_Toc184314462"/>
      <w:bookmarkEnd w:id="80"/>
      <w:bookmarkStart w:id="81" w:name="_Toc184313242"/>
      <w:bookmarkEnd w:id="81"/>
      <w:bookmarkStart w:id="82" w:name="_Toc184312118"/>
      <w:bookmarkEnd w:id="82"/>
      <w:bookmarkStart w:id="83" w:name="_Toc184308074"/>
      <w:bookmarkEnd w:id="83"/>
      <w:bookmarkStart w:id="84" w:name="_Toc184313274"/>
      <w:bookmarkEnd w:id="84"/>
      <w:bookmarkStart w:id="85" w:name="_Toc184308049"/>
      <w:bookmarkEnd w:id="85"/>
      <w:bookmarkStart w:id="86" w:name="_Toc184313307"/>
      <w:bookmarkEnd w:id="86"/>
      <w:bookmarkStart w:id="87" w:name="_Toc184313263"/>
      <w:bookmarkEnd w:id="87"/>
      <w:bookmarkStart w:id="88" w:name="_Toc184308072"/>
      <w:bookmarkEnd w:id="88"/>
      <w:bookmarkStart w:id="89" w:name="_Toc184314424"/>
      <w:bookmarkEnd w:id="89"/>
      <w:bookmarkStart w:id="90" w:name="_Toc184312085"/>
      <w:bookmarkEnd w:id="90"/>
      <w:bookmarkStart w:id="91" w:name="_Toc184312068"/>
      <w:bookmarkEnd w:id="91"/>
      <w:bookmarkStart w:id="92" w:name="_Toc184313309"/>
      <w:bookmarkEnd w:id="92"/>
      <w:bookmarkStart w:id="93" w:name="_Toc184312071"/>
      <w:bookmarkEnd w:id="93"/>
      <w:bookmarkStart w:id="94" w:name="_Toc184313261"/>
      <w:bookmarkEnd w:id="94"/>
      <w:bookmarkStart w:id="95" w:name="_Toc184310304"/>
      <w:bookmarkEnd w:id="95"/>
      <w:bookmarkStart w:id="96" w:name="_Toc184313306"/>
      <w:bookmarkEnd w:id="96"/>
      <w:bookmarkStart w:id="97" w:name="_Toc184314446"/>
      <w:bookmarkEnd w:id="97"/>
      <w:bookmarkStart w:id="98" w:name="_Toc184310287"/>
      <w:bookmarkEnd w:id="98"/>
      <w:bookmarkStart w:id="99" w:name="_Toc184310332"/>
      <w:bookmarkEnd w:id="99"/>
      <w:bookmarkStart w:id="100" w:name="_Toc184310333"/>
      <w:bookmarkEnd w:id="100"/>
      <w:bookmarkStart w:id="101" w:name="_Toc184314428"/>
      <w:bookmarkEnd w:id="101"/>
      <w:bookmarkStart w:id="102" w:name="_Toc184308089"/>
      <w:bookmarkEnd w:id="102"/>
      <w:bookmarkStart w:id="103" w:name="_Toc184308082"/>
      <w:bookmarkEnd w:id="103"/>
      <w:bookmarkStart w:id="104" w:name="_Toc184314461"/>
      <w:bookmarkEnd w:id="104"/>
      <w:bookmarkStart w:id="105" w:name="_Toc184314451"/>
      <w:bookmarkEnd w:id="105"/>
      <w:bookmarkStart w:id="106" w:name="_Toc184314437"/>
      <w:bookmarkEnd w:id="106"/>
      <w:bookmarkStart w:id="107" w:name="_Toc184314416"/>
      <w:bookmarkEnd w:id="107"/>
      <w:bookmarkStart w:id="108" w:name="_Toc184310284"/>
      <w:bookmarkEnd w:id="108"/>
      <w:bookmarkStart w:id="109" w:name="_Toc184312100"/>
      <w:bookmarkEnd w:id="109"/>
      <w:bookmarkStart w:id="110" w:name="_Toc184312137"/>
      <w:bookmarkEnd w:id="110"/>
      <w:bookmarkStart w:id="111" w:name="_Toc184313279"/>
      <w:bookmarkEnd w:id="111"/>
      <w:bookmarkStart w:id="112" w:name="_Toc184312108"/>
      <w:bookmarkEnd w:id="112"/>
      <w:bookmarkStart w:id="113" w:name="_Toc184310337"/>
      <w:bookmarkEnd w:id="113"/>
      <w:bookmarkStart w:id="114" w:name="_Toc184312135"/>
      <w:bookmarkEnd w:id="114"/>
      <w:bookmarkStart w:id="115" w:name="_Toc184314420"/>
      <w:bookmarkEnd w:id="115"/>
      <w:bookmarkStart w:id="116" w:name="_Toc184313239"/>
      <w:bookmarkEnd w:id="116"/>
      <w:bookmarkStart w:id="117" w:name="_Toc184312132"/>
      <w:bookmarkEnd w:id="117"/>
      <w:bookmarkStart w:id="118" w:name="_Toc184310294"/>
      <w:bookmarkEnd w:id="118"/>
      <w:bookmarkStart w:id="119" w:name="_Toc184308071"/>
      <w:bookmarkEnd w:id="119"/>
      <w:bookmarkStart w:id="120" w:name="_Toc184312087"/>
      <w:bookmarkEnd w:id="120"/>
      <w:bookmarkStart w:id="121" w:name="_Toc184313284"/>
      <w:bookmarkEnd w:id="121"/>
      <w:bookmarkStart w:id="122" w:name="_Toc184314465"/>
      <w:bookmarkEnd w:id="122"/>
      <w:bookmarkStart w:id="123" w:name="_Toc184312103"/>
      <w:bookmarkEnd w:id="123"/>
      <w:bookmarkStart w:id="124" w:name="_Toc184314425"/>
      <w:bookmarkEnd w:id="124"/>
      <w:bookmarkStart w:id="125" w:name="_Toc184313285"/>
      <w:bookmarkEnd w:id="125"/>
      <w:bookmarkStart w:id="126" w:name="_Toc184313238"/>
      <w:bookmarkEnd w:id="126"/>
      <w:bookmarkStart w:id="127" w:name="_Toc184314440"/>
      <w:bookmarkEnd w:id="127"/>
      <w:bookmarkStart w:id="128" w:name="_Toc184312128"/>
      <w:bookmarkEnd w:id="128"/>
      <w:bookmarkStart w:id="129" w:name="_Toc184312101"/>
      <w:bookmarkEnd w:id="129"/>
      <w:bookmarkStart w:id="130" w:name="_Toc184313303"/>
      <w:bookmarkEnd w:id="130"/>
      <w:bookmarkStart w:id="131" w:name="_Toc184310275"/>
      <w:bookmarkEnd w:id="131"/>
      <w:bookmarkStart w:id="132" w:name="_Toc184313255"/>
      <w:bookmarkEnd w:id="132"/>
      <w:bookmarkStart w:id="133" w:name="_Toc184313271"/>
      <w:bookmarkEnd w:id="133"/>
      <w:bookmarkStart w:id="134" w:name="_Toc184314433"/>
      <w:bookmarkEnd w:id="134"/>
      <w:bookmarkStart w:id="135" w:name="_Toc184308042"/>
      <w:bookmarkEnd w:id="135"/>
      <w:bookmarkStart w:id="136" w:name="_Toc184313280"/>
      <w:bookmarkEnd w:id="136"/>
      <w:bookmarkStart w:id="137" w:name="_Toc184310298"/>
      <w:bookmarkEnd w:id="137"/>
      <w:bookmarkStart w:id="138" w:name="_Toc184308050"/>
      <w:bookmarkEnd w:id="138"/>
      <w:bookmarkStart w:id="139" w:name="_Toc184314439"/>
      <w:bookmarkEnd w:id="139"/>
      <w:bookmarkStart w:id="140" w:name="_Toc184314459"/>
      <w:bookmarkEnd w:id="140"/>
      <w:bookmarkStart w:id="141" w:name="_Toc184310286"/>
      <w:bookmarkEnd w:id="141"/>
      <w:bookmarkStart w:id="142" w:name="_Toc184313245"/>
      <w:bookmarkEnd w:id="142"/>
      <w:bookmarkStart w:id="143" w:name="_Toc184310339"/>
      <w:bookmarkEnd w:id="143"/>
      <w:bookmarkStart w:id="144" w:name="_Toc184308069"/>
      <w:bookmarkEnd w:id="144"/>
      <w:bookmarkStart w:id="145" w:name="_Toc184313276"/>
      <w:bookmarkEnd w:id="145"/>
      <w:bookmarkStart w:id="146" w:name="_Toc184310321"/>
      <w:bookmarkEnd w:id="146"/>
      <w:bookmarkStart w:id="147" w:name="_Toc184313288"/>
      <w:bookmarkEnd w:id="147"/>
      <w:bookmarkStart w:id="148" w:name="_Toc184308046"/>
      <w:bookmarkEnd w:id="148"/>
      <w:bookmarkStart w:id="149" w:name="_Toc184313278"/>
      <w:bookmarkEnd w:id="149"/>
      <w:bookmarkStart w:id="150" w:name="_Toc184313292"/>
      <w:bookmarkEnd w:id="150"/>
      <w:bookmarkStart w:id="151" w:name="_Toc184312093"/>
      <w:bookmarkEnd w:id="151"/>
      <w:bookmarkStart w:id="152" w:name="_Toc184314455"/>
      <w:bookmarkEnd w:id="152"/>
      <w:bookmarkStart w:id="153" w:name="_Toc184308098"/>
      <w:bookmarkEnd w:id="153"/>
      <w:bookmarkStart w:id="154" w:name="_Toc184312104"/>
      <w:bookmarkEnd w:id="154"/>
      <w:bookmarkStart w:id="155" w:name="_Toc184312139"/>
      <w:bookmarkEnd w:id="155"/>
      <w:bookmarkStart w:id="156" w:name="_Toc184312089"/>
      <w:bookmarkEnd w:id="156"/>
      <w:bookmarkStart w:id="157" w:name="_Toc184308079"/>
      <w:bookmarkEnd w:id="157"/>
      <w:bookmarkStart w:id="158" w:name="_Toc184310277"/>
      <w:bookmarkEnd w:id="158"/>
      <w:bookmarkStart w:id="159" w:name="_Toc184310281"/>
      <w:bookmarkEnd w:id="159"/>
      <w:bookmarkStart w:id="160" w:name="_Toc184314419"/>
      <w:bookmarkEnd w:id="160"/>
      <w:bookmarkStart w:id="161" w:name="_Toc184314418"/>
      <w:bookmarkEnd w:id="161"/>
      <w:bookmarkStart w:id="162" w:name="_Toc184312094"/>
      <w:bookmarkEnd w:id="162"/>
      <w:bookmarkStart w:id="163" w:name="_Toc184313269"/>
      <w:bookmarkEnd w:id="163"/>
      <w:bookmarkStart w:id="164" w:name="_Toc184314411"/>
      <w:bookmarkEnd w:id="164"/>
      <w:bookmarkStart w:id="165" w:name="_Toc184310295"/>
      <w:bookmarkEnd w:id="165"/>
      <w:bookmarkStart w:id="166" w:name="_Toc184308094"/>
      <w:bookmarkEnd w:id="166"/>
      <w:bookmarkStart w:id="167" w:name="_Toc184313308"/>
      <w:bookmarkEnd w:id="167"/>
      <w:bookmarkStart w:id="168" w:name="_Toc184310310"/>
      <w:bookmarkEnd w:id="168"/>
      <w:bookmarkStart w:id="169" w:name="_Toc184314456"/>
      <w:bookmarkEnd w:id="169"/>
      <w:bookmarkStart w:id="170" w:name="_Toc184310319"/>
      <w:bookmarkEnd w:id="170"/>
      <w:bookmarkStart w:id="171" w:name="_Toc184310279"/>
      <w:bookmarkEnd w:id="171"/>
      <w:bookmarkStart w:id="172" w:name="_Toc184312073"/>
      <w:bookmarkEnd w:id="172"/>
      <w:bookmarkStart w:id="173" w:name="_Toc184314444"/>
      <w:bookmarkEnd w:id="173"/>
      <w:bookmarkStart w:id="174" w:name="_Toc184308073"/>
      <w:bookmarkEnd w:id="174"/>
      <w:bookmarkStart w:id="175" w:name="_Toc184313290"/>
      <w:bookmarkEnd w:id="175"/>
      <w:bookmarkStart w:id="176" w:name="_Toc184313291"/>
      <w:bookmarkEnd w:id="176"/>
      <w:bookmarkStart w:id="177" w:name="_Toc184314443"/>
      <w:bookmarkEnd w:id="177"/>
      <w:bookmarkStart w:id="178" w:name="_Toc184308039"/>
      <w:bookmarkEnd w:id="178"/>
      <w:bookmarkStart w:id="179" w:name="_Toc184308055"/>
      <w:bookmarkEnd w:id="179"/>
      <w:bookmarkStart w:id="180" w:name="_Toc184312113"/>
      <w:bookmarkEnd w:id="180"/>
      <w:bookmarkStart w:id="181" w:name="_Toc184312116"/>
      <w:bookmarkEnd w:id="181"/>
      <w:bookmarkStart w:id="182" w:name="_Toc184314432"/>
      <w:bookmarkEnd w:id="182"/>
      <w:bookmarkStart w:id="183" w:name="_Toc184313246"/>
      <w:bookmarkEnd w:id="183"/>
      <w:bookmarkStart w:id="184" w:name="_Toc184312130"/>
      <w:bookmarkEnd w:id="184"/>
      <w:bookmarkStart w:id="185" w:name="_Toc184313260"/>
      <w:bookmarkEnd w:id="185"/>
      <w:bookmarkStart w:id="186" w:name="_Toc184310311"/>
      <w:bookmarkEnd w:id="186"/>
      <w:bookmarkStart w:id="187" w:name="_Toc184312125"/>
      <w:bookmarkEnd w:id="187"/>
      <w:bookmarkStart w:id="188" w:name="_Toc184310273"/>
      <w:bookmarkEnd w:id="188"/>
      <w:bookmarkStart w:id="189" w:name="_Toc184314467"/>
      <w:bookmarkEnd w:id="189"/>
      <w:bookmarkStart w:id="190" w:name="_Toc184310272"/>
      <w:bookmarkEnd w:id="190"/>
      <w:bookmarkStart w:id="191" w:name="_Toc184314421"/>
      <w:bookmarkEnd w:id="191"/>
      <w:bookmarkStart w:id="192" w:name="_Toc184312115"/>
      <w:bookmarkEnd w:id="192"/>
      <w:bookmarkStart w:id="193" w:name="_Toc184314453"/>
      <w:bookmarkEnd w:id="193"/>
      <w:bookmarkStart w:id="194" w:name="_Toc184310285"/>
      <w:bookmarkEnd w:id="194"/>
      <w:bookmarkStart w:id="195" w:name="_Toc184314426"/>
      <w:bookmarkEnd w:id="195"/>
      <w:bookmarkStart w:id="196" w:name="_Toc184312088"/>
      <w:bookmarkEnd w:id="196"/>
      <w:bookmarkStart w:id="197" w:name="_Toc184308084"/>
      <w:bookmarkEnd w:id="197"/>
      <w:bookmarkStart w:id="198" w:name="_Toc184310324"/>
      <w:bookmarkEnd w:id="198"/>
      <w:bookmarkStart w:id="199" w:name="_Toc184310343"/>
      <w:bookmarkEnd w:id="199"/>
      <w:bookmarkStart w:id="200" w:name="_Toc184308051"/>
      <w:bookmarkEnd w:id="200"/>
      <w:bookmarkStart w:id="201" w:name="_Toc184310331"/>
      <w:bookmarkEnd w:id="201"/>
      <w:bookmarkStart w:id="202" w:name="_Toc184314473"/>
      <w:bookmarkEnd w:id="202"/>
      <w:bookmarkStart w:id="203" w:name="_Toc184314482"/>
      <w:bookmarkEnd w:id="203"/>
      <w:bookmarkStart w:id="204" w:name="_Toc184312138"/>
      <w:bookmarkEnd w:id="204"/>
      <w:bookmarkStart w:id="205" w:name="_Toc184313264"/>
      <w:bookmarkEnd w:id="205"/>
      <w:bookmarkStart w:id="206" w:name="_Toc184312076"/>
      <w:bookmarkEnd w:id="206"/>
      <w:bookmarkStart w:id="207" w:name="_Toc184308085"/>
      <w:bookmarkEnd w:id="207"/>
      <w:bookmarkStart w:id="208" w:name="_Toc184313273"/>
      <w:bookmarkEnd w:id="208"/>
      <w:bookmarkStart w:id="209" w:name="_Toc184308036"/>
      <w:bookmarkEnd w:id="209"/>
      <w:bookmarkStart w:id="210" w:name="_Toc184308057"/>
      <w:bookmarkEnd w:id="210"/>
      <w:bookmarkStart w:id="211" w:name="_Toc184312083"/>
      <w:bookmarkEnd w:id="211"/>
      <w:bookmarkStart w:id="212" w:name="_Toc184313253"/>
      <w:bookmarkEnd w:id="212"/>
      <w:bookmarkStart w:id="213" w:name="_Toc184313272"/>
      <w:bookmarkEnd w:id="213"/>
      <w:bookmarkStart w:id="214" w:name="_Toc184308107"/>
      <w:bookmarkEnd w:id="214"/>
      <w:bookmarkStart w:id="215" w:name="_Toc184310314"/>
      <w:bookmarkEnd w:id="215"/>
      <w:bookmarkStart w:id="216" w:name="_Toc184313310"/>
      <w:bookmarkEnd w:id="216"/>
      <w:bookmarkStart w:id="217" w:name="_Toc184308102"/>
      <w:bookmarkEnd w:id="217"/>
      <w:bookmarkStart w:id="218" w:name="_Toc184313287"/>
      <w:bookmarkEnd w:id="218"/>
      <w:bookmarkStart w:id="219" w:name="_Toc184308063"/>
      <w:bookmarkEnd w:id="219"/>
      <w:bookmarkStart w:id="220" w:name="_Toc184310336"/>
      <w:bookmarkEnd w:id="220"/>
      <w:bookmarkStart w:id="221" w:name="_Toc184314476"/>
      <w:bookmarkEnd w:id="221"/>
      <w:bookmarkStart w:id="222" w:name="_Toc184308045"/>
      <w:bookmarkEnd w:id="222"/>
      <w:bookmarkStart w:id="223" w:name="_Toc184312090"/>
      <w:bookmarkEnd w:id="223"/>
      <w:bookmarkStart w:id="224" w:name="_Toc184310327"/>
      <w:bookmarkEnd w:id="224"/>
      <w:bookmarkStart w:id="225" w:name="_Toc184312070"/>
      <w:bookmarkEnd w:id="225"/>
      <w:bookmarkStart w:id="226" w:name="_Toc184314468"/>
      <w:bookmarkEnd w:id="226"/>
      <w:bookmarkStart w:id="227" w:name="_Toc184314480"/>
      <w:bookmarkEnd w:id="227"/>
      <w:bookmarkStart w:id="228" w:name="_Toc184313249"/>
      <w:bookmarkEnd w:id="228"/>
      <w:bookmarkStart w:id="229" w:name="_Toc184310282"/>
      <w:bookmarkEnd w:id="229"/>
      <w:bookmarkStart w:id="230" w:name="_Toc184313301"/>
      <w:bookmarkEnd w:id="230"/>
      <w:bookmarkStart w:id="231" w:name="_Toc184308101"/>
      <w:bookmarkEnd w:id="231"/>
      <w:bookmarkStart w:id="232" w:name="_Toc184312105"/>
      <w:bookmarkEnd w:id="232"/>
      <w:bookmarkStart w:id="233" w:name="_Toc184313256"/>
      <w:bookmarkEnd w:id="233"/>
      <w:bookmarkStart w:id="234" w:name="_Toc184312067"/>
      <w:bookmarkEnd w:id="234"/>
      <w:bookmarkStart w:id="235" w:name="_Toc184314469"/>
      <w:bookmarkEnd w:id="235"/>
      <w:bookmarkStart w:id="236" w:name="_Toc184308087"/>
      <w:bookmarkEnd w:id="236"/>
      <w:bookmarkStart w:id="237" w:name="_Toc184314445"/>
      <w:bookmarkEnd w:id="237"/>
      <w:bookmarkStart w:id="238" w:name="_Toc184312120"/>
      <w:bookmarkEnd w:id="238"/>
      <w:bookmarkStart w:id="239" w:name="_Toc184314474"/>
      <w:bookmarkEnd w:id="239"/>
      <w:bookmarkStart w:id="240" w:name="_Toc184308088"/>
      <w:bookmarkEnd w:id="240"/>
      <w:bookmarkStart w:id="241" w:name="_Toc184312078"/>
      <w:bookmarkEnd w:id="241"/>
      <w:bookmarkStart w:id="242" w:name="_Toc184310312"/>
      <w:bookmarkEnd w:id="242"/>
      <w:bookmarkStart w:id="243" w:name="_Toc184313282"/>
      <w:bookmarkEnd w:id="243"/>
      <w:bookmarkStart w:id="244" w:name="_Toc184313302"/>
      <w:bookmarkEnd w:id="244"/>
      <w:bookmarkStart w:id="245" w:name="_Toc184314450"/>
      <w:bookmarkEnd w:id="245"/>
      <w:bookmarkStart w:id="246" w:name="_Toc184308048"/>
      <w:bookmarkEnd w:id="246"/>
      <w:bookmarkStart w:id="247" w:name="_Toc184312097"/>
      <w:bookmarkEnd w:id="247"/>
      <w:bookmarkStart w:id="248" w:name="_Toc184310342"/>
      <w:bookmarkEnd w:id="248"/>
      <w:bookmarkStart w:id="249" w:name="_Toc184313289"/>
      <w:bookmarkEnd w:id="249"/>
      <w:bookmarkStart w:id="250" w:name="_Toc184308059"/>
      <w:bookmarkEnd w:id="250"/>
      <w:bookmarkStart w:id="251" w:name="_Toc184314475"/>
      <w:bookmarkEnd w:id="251"/>
      <w:bookmarkStart w:id="252" w:name="_Toc184314438"/>
      <w:bookmarkEnd w:id="252"/>
      <w:bookmarkStart w:id="253" w:name="_Toc184314423"/>
      <w:bookmarkEnd w:id="253"/>
      <w:bookmarkStart w:id="254" w:name="_Toc184313240"/>
      <w:bookmarkEnd w:id="254"/>
      <w:bookmarkStart w:id="255" w:name="_Toc184313243"/>
      <w:bookmarkEnd w:id="255"/>
      <w:bookmarkStart w:id="256" w:name="_Toc184313281"/>
      <w:bookmarkEnd w:id="256"/>
      <w:bookmarkStart w:id="257" w:name="_Toc184308047"/>
      <w:bookmarkEnd w:id="257"/>
      <w:bookmarkStart w:id="258" w:name="_Toc184310299"/>
      <w:bookmarkEnd w:id="258"/>
      <w:bookmarkStart w:id="259" w:name="_Toc184308106"/>
      <w:bookmarkEnd w:id="259"/>
      <w:bookmarkStart w:id="260" w:name="_Toc184310289"/>
      <w:bookmarkEnd w:id="260"/>
      <w:bookmarkStart w:id="261" w:name="_Toc184308038"/>
      <w:bookmarkEnd w:id="261"/>
      <w:bookmarkStart w:id="262" w:name="_Toc184314460"/>
      <w:bookmarkEnd w:id="262"/>
      <w:bookmarkStart w:id="263" w:name="_Toc184310340"/>
      <w:bookmarkEnd w:id="263"/>
      <w:bookmarkStart w:id="264" w:name="_Toc184313268"/>
      <w:bookmarkEnd w:id="264"/>
      <w:bookmarkStart w:id="265" w:name="_Toc184308054"/>
      <w:bookmarkEnd w:id="265"/>
      <w:bookmarkStart w:id="266" w:name="_Toc184313241"/>
      <w:bookmarkEnd w:id="266"/>
      <w:bookmarkStart w:id="267" w:name="_Toc184314472"/>
      <w:bookmarkEnd w:id="267"/>
      <w:bookmarkStart w:id="268" w:name="_Toc184314448"/>
      <w:bookmarkEnd w:id="268"/>
      <w:bookmarkStart w:id="269" w:name="_Toc184312136"/>
      <w:bookmarkEnd w:id="269"/>
      <w:bookmarkStart w:id="270" w:name="_Toc184314458"/>
      <w:bookmarkEnd w:id="270"/>
      <w:bookmarkStart w:id="271" w:name="_Toc184312122"/>
      <w:bookmarkEnd w:id="271"/>
      <w:bookmarkStart w:id="272" w:name="_Toc184310303"/>
      <w:bookmarkEnd w:id="272"/>
      <w:bookmarkStart w:id="273" w:name="_Toc184308067"/>
      <w:bookmarkEnd w:id="273"/>
      <w:bookmarkStart w:id="274" w:name="_Toc184308058"/>
      <w:bookmarkEnd w:id="274"/>
      <w:bookmarkStart w:id="275" w:name="_Toc184312081"/>
      <w:bookmarkEnd w:id="275"/>
      <w:bookmarkStart w:id="276" w:name="_Toc184310320"/>
      <w:bookmarkEnd w:id="276"/>
      <w:bookmarkStart w:id="277" w:name="_Toc184310278"/>
      <w:bookmarkEnd w:id="277"/>
      <w:bookmarkStart w:id="278" w:name="_Toc184314422"/>
      <w:bookmarkEnd w:id="278"/>
      <w:bookmarkStart w:id="279" w:name="_Toc184312096"/>
      <w:bookmarkEnd w:id="279"/>
      <w:bookmarkStart w:id="280" w:name="_Toc184308095"/>
      <w:bookmarkEnd w:id="280"/>
      <w:bookmarkStart w:id="281" w:name="_Toc184312091"/>
      <w:bookmarkEnd w:id="281"/>
      <w:bookmarkStart w:id="282" w:name="_Toc184308100"/>
      <w:bookmarkEnd w:id="282"/>
      <w:bookmarkStart w:id="283" w:name="_Toc184310326"/>
      <w:bookmarkEnd w:id="283"/>
      <w:bookmarkStart w:id="284" w:name="_Toc184308052"/>
      <w:bookmarkEnd w:id="284"/>
      <w:bookmarkStart w:id="285" w:name="_Toc184313283"/>
      <w:bookmarkEnd w:id="285"/>
      <w:bookmarkStart w:id="286" w:name="_Toc184313286"/>
      <w:bookmarkEnd w:id="286"/>
      <w:bookmarkStart w:id="287" w:name="_Toc184310338"/>
      <w:bookmarkEnd w:id="287"/>
      <w:bookmarkStart w:id="288" w:name="_Toc184312099"/>
      <w:bookmarkEnd w:id="288"/>
      <w:bookmarkStart w:id="289" w:name="_Toc184312127"/>
      <w:bookmarkEnd w:id="289"/>
      <w:bookmarkStart w:id="290" w:name="_Toc184310301"/>
      <w:bookmarkEnd w:id="290"/>
      <w:bookmarkStart w:id="291" w:name="_Toc184310323"/>
      <w:bookmarkEnd w:id="291"/>
      <w:bookmarkStart w:id="292" w:name="_Toc184314435"/>
      <w:bookmarkEnd w:id="292"/>
      <w:bookmarkStart w:id="293" w:name="_Toc184308068"/>
      <w:bookmarkEnd w:id="293"/>
      <w:bookmarkStart w:id="294" w:name="_Toc184308097"/>
      <w:bookmarkEnd w:id="294"/>
      <w:bookmarkStart w:id="295" w:name="_Toc184314434"/>
      <w:bookmarkEnd w:id="295"/>
      <w:bookmarkStart w:id="296" w:name="_Toc184314479"/>
      <w:bookmarkEnd w:id="296"/>
      <w:bookmarkStart w:id="297" w:name="_Toc184308092"/>
      <w:bookmarkEnd w:id="297"/>
      <w:bookmarkStart w:id="298" w:name="_Toc184314457"/>
      <w:bookmarkEnd w:id="298"/>
      <w:bookmarkStart w:id="299" w:name="_Toc184312129"/>
      <w:bookmarkEnd w:id="299"/>
      <w:bookmarkStart w:id="300" w:name="_Toc184308104"/>
      <w:bookmarkEnd w:id="300"/>
      <w:bookmarkStart w:id="301" w:name="_Toc184314466"/>
      <w:bookmarkEnd w:id="301"/>
      <w:bookmarkStart w:id="302" w:name="_Toc184308105"/>
      <w:bookmarkEnd w:id="302"/>
      <w:bookmarkStart w:id="303" w:name="_Toc184313277"/>
      <w:bookmarkEnd w:id="303"/>
      <w:bookmarkStart w:id="304" w:name="_Toc184312102"/>
      <w:bookmarkEnd w:id="304"/>
      <w:bookmarkStart w:id="305" w:name="_Toc184310330"/>
      <w:bookmarkEnd w:id="305"/>
      <w:bookmarkStart w:id="306" w:name="_Toc184310334"/>
      <w:bookmarkEnd w:id="306"/>
      <w:bookmarkStart w:id="307" w:name="_Toc184312079"/>
      <w:bookmarkEnd w:id="307"/>
      <w:bookmarkStart w:id="308" w:name="_Toc184313265"/>
      <w:bookmarkEnd w:id="308"/>
      <w:bookmarkStart w:id="309" w:name="_Toc184308091"/>
      <w:bookmarkEnd w:id="309"/>
      <w:bookmarkStart w:id="310" w:name="_Toc184314470"/>
      <w:bookmarkEnd w:id="310"/>
      <w:bookmarkStart w:id="311" w:name="_Toc184310335"/>
      <w:bookmarkEnd w:id="311"/>
      <w:bookmarkStart w:id="312" w:name="_Toc184308037"/>
      <w:bookmarkEnd w:id="312"/>
      <w:bookmarkStart w:id="313" w:name="_Toc184310293"/>
      <w:bookmarkEnd w:id="313"/>
      <w:bookmarkStart w:id="314" w:name="_Toc184310290"/>
      <w:bookmarkEnd w:id="314"/>
      <w:bookmarkStart w:id="315" w:name="_Toc184310344"/>
      <w:bookmarkEnd w:id="315"/>
      <w:bookmarkStart w:id="316" w:name="_Toc184310325"/>
      <w:bookmarkEnd w:id="316"/>
      <w:bookmarkStart w:id="317" w:name="_Toc184312075"/>
      <w:bookmarkEnd w:id="317"/>
      <w:bookmarkStart w:id="318" w:name="_Toc184313266"/>
      <w:bookmarkEnd w:id="318"/>
      <w:bookmarkStart w:id="319" w:name="_Toc184310309"/>
      <w:bookmarkEnd w:id="319"/>
      <w:bookmarkStart w:id="320" w:name="_Toc184312072"/>
      <w:bookmarkEnd w:id="320"/>
      <w:bookmarkStart w:id="321" w:name="_Toc184313247"/>
      <w:bookmarkEnd w:id="321"/>
      <w:bookmarkStart w:id="322" w:name="_Toc184310280"/>
      <w:bookmarkEnd w:id="322"/>
      <w:bookmarkStart w:id="323" w:name="_Toc184308093"/>
      <w:bookmarkEnd w:id="323"/>
      <w:bookmarkStart w:id="324" w:name="_Toc184308040"/>
      <w:bookmarkEnd w:id="324"/>
      <w:bookmarkStart w:id="325" w:name="_Toc184310316"/>
      <w:bookmarkEnd w:id="325"/>
      <w:bookmarkStart w:id="326" w:name="_Toc184308065"/>
      <w:bookmarkEnd w:id="326"/>
      <w:bookmarkStart w:id="327" w:name="_Toc184308096"/>
      <w:bookmarkEnd w:id="327"/>
      <w:bookmarkStart w:id="328" w:name="_Toc184308075"/>
      <w:bookmarkEnd w:id="328"/>
      <w:bookmarkStart w:id="329" w:name="_Toc184310318"/>
      <w:bookmarkEnd w:id="329"/>
      <w:bookmarkStart w:id="330" w:name="_Toc184314417"/>
      <w:bookmarkEnd w:id="330"/>
      <w:bookmarkStart w:id="331" w:name="_Toc184313244"/>
      <w:bookmarkEnd w:id="331"/>
      <w:bookmarkStart w:id="332" w:name="_Toc184312126"/>
      <w:bookmarkEnd w:id="332"/>
      <w:bookmarkStart w:id="333" w:name="_Toc184308061"/>
      <w:bookmarkEnd w:id="333"/>
      <w:bookmarkStart w:id="334" w:name="_Toc184308041"/>
      <w:bookmarkEnd w:id="334"/>
      <w:bookmarkStart w:id="335" w:name="_Toc184314442"/>
      <w:bookmarkEnd w:id="335"/>
      <w:bookmarkStart w:id="336" w:name="_Toc184310297"/>
      <w:bookmarkEnd w:id="336"/>
      <w:bookmarkStart w:id="337" w:name="_Toc184314410"/>
      <w:bookmarkEnd w:id="337"/>
      <w:bookmarkStart w:id="338" w:name="_Toc184314454"/>
      <w:bookmarkEnd w:id="338"/>
      <w:bookmarkStart w:id="339" w:name="_Toc184308044"/>
      <w:bookmarkEnd w:id="339"/>
      <w:bookmarkStart w:id="340" w:name="_Toc184314415"/>
      <w:bookmarkEnd w:id="340"/>
      <w:bookmarkStart w:id="341" w:name="_Toc184314414"/>
      <w:bookmarkEnd w:id="341"/>
      <w:bookmarkStart w:id="342" w:name="_Toc184308076"/>
      <w:bookmarkEnd w:id="342"/>
      <w:bookmarkStart w:id="343" w:name="_Toc184314478"/>
      <w:bookmarkEnd w:id="343"/>
      <w:bookmarkStart w:id="344" w:name="_Toc184314477"/>
      <w:bookmarkEnd w:id="344"/>
      <w:bookmarkStart w:id="345" w:name="_Toc184313300"/>
      <w:bookmarkEnd w:id="345"/>
      <w:bookmarkStart w:id="346" w:name="_Toc184308066"/>
      <w:bookmarkEnd w:id="346"/>
      <w:bookmarkStart w:id="347" w:name="_Toc184312106"/>
      <w:bookmarkEnd w:id="347"/>
      <w:bookmarkStart w:id="348" w:name="_Toc184308080"/>
      <w:bookmarkEnd w:id="348"/>
      <w:bookmarkStart w:id="349" w:name="_Toc184308099"/>
      <w:bookmarkEnd w:id="349"/>
      <w:bookmarkStart w:id="350" w:name="_Toc184310296"/>
      <w:bookmarkEnd w:id="350"/>
      <w:bookmarkStart w:id="351" w:name="_Toc184312117"/>
      <w:bookmarkEnd w:id="351"/>
      <w:bookmarkStart w:id="352" w:name="_Toc184312111"/>
      <w:bookmarkEnd w:id="352"/>
      <w:bookmarkStart w:id="353" w:name="_Toc184308062"/>
      <w:bookmarkEnd w:id="353"/>
      <w:bookmarkStart w:id="354" w:name="_Toc184312098"/>
      <w:bookmarkEnd w:id="354"/>
      <w:bookmarkStart w:id="355" w:name="_Toc184313296"/>
      <w:bookmarkEnd w:id="355"/>
      <w:bookmarkStart w:id="356" w:name="_Toc184312123"/>
      <w:bookmarkEnd w:id="356"/>
      <w:bookmarkStart w:id="357" w:name="_Toc184312077"/>
      <w:bookmarkEnd w:id="357"/>
      <w:bookmarkStart w:id="358" w:name="_Toc184312092"/>
      <w:bookmarkEnd w:id="358"/>
      <w:bookmarkStart w:id="359" w:name="_Toc184313262"/>
      <w:bookmarkEnd w:id="359"/>
      <w:bookmarkStart w:id="360" w:name="_Toc184313275"/>
      <w:bookmarkEnd w:id="360"/>
      <w:bookmarkStart w:id="361" w:name="_Toc184310313"/>
      <w:bookmarkEnd w:id="361"/>
      <w:bookmarkStart w:id="362" w:name="_Toc184308103"/>
      <w:bookmarkEnd w:id="362"/>
      <w:bookmarkStart w:id="363" w:name="_Toc184308053"/>
      <w:bookmarkEnd w:id="363"/>
      <w:bookmarkStart w:id="364" w:name="_Toc184312082"/>
      <w:bookmarkEnd w:id="364"/>
      <w:bookmarkStart w:id="365" w:name="_Toc184313295"/>
      <w:bookmarkEnd w:id="365"/>
      <w:bookmarkStart w:id="366" w:name="_Toc184313305"/>
      <w:bookmarkEnd w:id="366"/>
      <w:bookmarkStart w:id="367" w:name="_Toc184308108"/>
      <w:bookmarkEnd w:id="367"/>
      <w:bookmarkStart w:id="368" w:name="_Toc184313254"/>
      <w:bookmarkEnd w:id="368"/>
      <w:bookmarkStart w:id="369" w:name="_Toc184314412"/>
      <w:bookmarkEnd w:id="369"/>
      <w:bookmarkStart w:id="370" w:name="_Toc184308081"/>
      <w:bookmarkEnd w:id="370"/>
      <w:bookmarkStart w:id="371" w:name="_Toc184314431"/>
      <w:bookmarkEnd w:id="371"/>
      <w:bookmarkStart w:id="372" w:name="_Toc184312107"/>
      <w:bookmarkEnd w:id="372"/>
      <w:bookmarkStart w:id="373" w:name="_Toc184312095"/>
      <w:bookmarkEnd w:id="373"/>
      <w:bookmarkStart w:id="374" w:name="_Toc184312121"/>
      <w:bookmarkEnd w:id="374"/>
      <w:bookmarkStart w:id="375" w:name="_Toc184314413"/>
      <w:bookmarkEnd w:id="375"/>
      <w:bookmarkStart w:id="376" w:name="_Toc184314449"/>
      <w:bookmarkEnd w:id="376"/>
      <w:bookmarkStart w:id="377" w:name="_Toc184308078"/>
      <w:bookmarkEnd w:id="377"/>
      <w:bookmarkStart w:id="378" w:name="_Toc184312133"/>
      <w:bookmarkEnd w:id="378"/>
      <w:bookmarkStart w:id="379" w:name="_Toc184308060"/>
      <w:bookmarkEnd w:id="379"/>
      <w:bookmarkStart w:id="380" w:name="_Toc184310274"/>
      <w:bookmarkEnd w:id="380"/>
      <w:bookmarkStart w:id="381" w:name="_Toc184308090"/>
      <w:bookmarkEnd w:id="381"/>
      <w:bookmarkStart w:id="382" w:name="_Toc184314429"/>
      <w:bookmarkEnd w:id="382"/>
      <w:bookmarkStart w:id="383" w:name="_Toc184312112"/>
      <w:bookmarkEnd w:id="383"/>
      <w:bookmarkStart w:id="384" w:name="_Toc184312074"/>
      <w:bookmarkEnd w:id="384"/>
      <w:bookmarkStart w:id="385" w:name="_Toc184312119"/>
      <w:bookmarkEnd w:id="385"/>
      <w:bookmarkStart w:id="386" w:name="_Toc184314427"/>
      <w:bookmarkEnd w:id="386"/>
      <w:bookmarkStart w:id="387" w:name="_Toc184308056"/>
      <w:bookmarkEnd w:id="387"/>
      <w:bookmarkStart w:id="388" w:name="_Toc184314441"/>
      <w:bookmarkEnd w:id="388"/>
      <w:bookmarkStart w:id="389" w:name="_Toc184312114"/>
      <w:bookmarkEnd w:id="389"/>
      <w:bookmarkStart w:id="390" w:name="_Toc184310307"/>
      <w:bookmarkEnd w:id="390"/>
      <w:bookmarkStart w:id="391" w:name="_Toc184312110"/>
      <w:bookmarkEnd w:id="391"/>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42"/>
        <w:gridCol w:w="5207"/>
        <w:gridCol w:w="86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outlineLvl w:val="0"/>
              <w:rPr>
                <w:rFonts w:ascii="仿宋" w:hAnsi="仿宋" w:eastAsia="仿宋" w:cs="仿宋"/>
                <w:bCs/>
                <w:color w:val="000000" w:themeColor="text1"/>
                <w:sz w:val="24"/>
                <w:highlight w:val="none"/>
                <w14:textFill>
                  <w14:solidFill>
                    <w14:schemeClr w14:val="tx1"/>
                  </w14:solidFill>
                </w14:textFill>
              </w:rPr>
            </w:pPr>
            <w:bookmarkStart w:id="392" w:name="_Hlk92870771"/>
            <w:r>
              <w:rPr>
                <w:rFonts w:hint="eastAsia" w:ascii="仿宋" w:hAnsi="仿宋" w:eastAsia="仿宋" w:cs="仿宋"/>
                <w:bCs/>
                <w:color w:val="000000" w:themeColor="text1"/>
                <w:sz w:val="24"/>
                <w:highlight w:val="none"/>
                <w14:textFill>
                  <w14:solidFill>
                    <w14:schemeClr w14:val="tx1"/>
                  </w14:solidFill>
                </w14:textFill>
              </w:rPr>
              <w:t>序号</w:t>
            </w:r>
          </w:p>
        </w:tc>
        <w:tc>
          <w:tcPr>
            <w:tcW w:w="861" w:type="pct"/>
            <w:vAlign w:val="center"/>
          </w:tcPr>
          <w:p>
            <w:pP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评分项目</w:t>
            </w:r>
          </w:p>
        </w:tc>
        <w:tc>
          <w:tcPr>
            <w:tcW w:w="2574" w:type="pct"/>
            <w:vAlign w:val="center"/>
          </w:tcPr>
          <w:p>
            <w:pPr>
              <w:ind w:firstLine="1560" w:firstLineChars="650"/>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430" w:type="pct"/>
            <w:vAlign w:val="center"/>
          </w:tcPr>
          <w:p>
            <w:pPr>
              <w:jc w:val="center"/>
              <w:outlineLvl w:val="0"/>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Cs/>
                <w:color w:val="000000" w:themeColor="text1"/>
                <w:sz w:val="24"/>
                <w:highlight w:val="none"/>
                <w14:textFill>
                  <w14:solidFill>
                    <w14:schemeClr w14:val="tx1"/>
                  </w14:solidFill>
                </w14:textFill>
              </w:rPr>
              <w:t>权重</w:t>
            </w:r>
          </w:p>
        </w:tc>
        <w:tc>
          <w:tcPr>
            <w:tcW w:w="776" w:type="pct"/>
          </w:tcPr>
          <w:p>
            <w:pP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restar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61" w:type="pct"/>
            <w:vMerge w:val="restar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投标人业绩</w:t>
            </w:r>
          </w:p>
        </w:tc>
        <w:tc>
          <w:tcPr>
            <w:tcW w:w="2574" w:type="pct"/>
          </w:tcPr>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自2017年1月1日以来（以造价文件审核表（或造价文件备案表）备案时间为准）完成过一级及以上公路工程土建工程的工程量清单及预算、招标控制价的编制或审核业绩（该工程必须含有隧道工程或桥梁工程）</w:t>
            </w:r>
            <w:bookmarkStart w:id="433" w:name="_GoBack"/>
            <w:bookmarkEnd w:id="433"/>
            <w:r>
              <w:rPr>
                <w:rFonts w:hint="eastAsia" w:ascii="仿宋" w:hAnsi="仿宋" w:eastAsia="仿宋" w:cs="仿宋"/>
                <w:color w:val="000000" w:themeColor="text1"/>
                <w:sz w:val="24"/>
                <w:szCs w:val="24"/>
                <w:highlight w:val="none"/>
                <w14:textFill>
                  <w14:solidFill>
                    <w14:schemeClr w14:val="tx1"/>
                  </w14:solidFill>
                </w14:textFill>
              </w:rPr>
              <w:t>，每个得0.5分，最高得0.5分。</w:t>
            </w:r>
          </w:p>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注：业绩证明应附：①合同协议书、②造价文件审核表（或造价文件备案表）</w:t>
            </w:r>
            <w:r>
              <w:rPr>
                <w:rFonts w:hint="eastAsia" w:ascii="仿宋" w:hAnsi="仿宋" w:eastAsia="仿宋" w:cs="仿宋"/>
                <w:snapToGrid w:val="0"/>
                <w:color w:val="000000" w:themeColor="text1"/>
                <w:sz w:val="24"/>
                <w:szCs w:val="24"/>
                <w:highlight w:val="none"/>
                <w14:textFill>
                  <w14:solidFill>
                    <w14:schemeClr w14:val="tx1"/>
                  </w14:solidFill>
                </w14:textFill>
              </w:rPr>
              <w:t>或项目业主（或项目建设单位或项目所在地主管部门）</w:t>
            </w:r>
            <w:r>
              <w:rPr>
                <w:rFonts w:hint="eastAsia" w:ascii="仿宋" w:hAnsi="仿宋" w:eastAsia="仿宋" w:cs="仿宋"/>
                <w:color w:val="000000" w:themeColor="text1"/>
                <w:sz w:val="24"/>
                <w:szCs w:val="24"/>
                <w:highlight w:val="none"/>
                <w14:textFill>
                  <w14:solidFill>
                    <w14:schemeClr w14:val="tx1"/>
                  </w14:solidFill>
                </w14:textFill>
              </w:rPr>
              <w:t>盖章</w:t>
            </w:r>
            <w:r>
              <w:rPr>
                <w:rFonts w:hint="eastAsia" w:ascii="仿宋" w:hAnsi="仿宋" w:eastAsia="仿宋" w:cs="仿宋"/>
                <w:snapToGrid w:val="0"/>
                <w:color w:val="000000" w:themeColor="text1"/>
                <w:sz w:val="24"/>
                <w:szCs w:val="24"/>
                <w:highlight w:val="none"/>
                <w14:textFill>
                  <w14:solidFill>
                    <w14:schemeClr w14:val="tx1"/>
                  </w14:solidFill>
                </w14:textFill>
              </w:rPr>
              <w:t>的证明其完成造价文件的证明材料</w:t>
            </w:r>
            <w:r>
              <w:rPr>
                <w:rFonts w:hint="eastAsia" w:ascii="仿宋" w:hAnsi="仿宋" w:eastAsia="仿宋" w:cs="仿宋"/>
                <w:color w:val="000000" w:themeColor="text1"/>
                <w:sz w:val="24"/>
                <w:szCs w:val="24"/>
                <w:highlight w:val="none"/>
                <w14:textFill>
                  <w14:solidFill>
                    <w14:schemeClr w14:val="tx1"/>
                  </w14:solidFill>
                </w14:textFill>
              </w:rPr>
              <w:t>，①、②两者缺一不可，否则业绩不予认可（合同协议书</w:t>
            </w:r>
            <w:r>
              <w:rPr>
                <w:rFonts w:hint="eastAsia" w:ascii="仿宋" w:hAnsi="仿宋" w:eastAsia="仿宋" w:cs="仿宋"/>
                <w:snapToGrid w:val="0"/>
                <w:color w:val="000000" w:themeColor="text1"/>
                <w:kern w:val="2"/>
                <w:sz w:val="24"/>
                <w:szCs w:val="24"/>
                <w:highlight w:val="none"/>
                <w14:textFill>
                  <w14:solidFill>
                    <w14:schemeClr w14:val="tx1"/>
                  </w14:solidFill>
                </w14:textFill>
              </w:rPr>
              <w:t>所能承载的证明内容应符合业绩要求的具体表述</w:t>
            </w:r>
            <w:r>
              <w:rPr>
                <w:rFonts w:hint="eastAsia" w:ascii="仿宋" w:hAnsi="仿宋" w:eastAsia="仿宋" w:cs="仿宋"/>
                <w:color w:val="000000" w:themeColor="text1"/>
                <w:sz w:val="24"/>
                <w:szCs w:val="24"/>
                <w:highlight w:val="none"/>
                <w14:textFill>
                  <w14:solidFill>
                    <w14:schemeClr w14:val="tx1"/>
                  </w14:solidFill>
                </w14:textFill>
              </w:rPr>
              <w:t>，若合同协议书不能体现出符合业绩要求的具体表述的必须附项目初步设计批复文件或项目业主</w:t>
            </w:r>
            <w:r>
              <w:rPr>
                <w:rFonts w:hint="eastAsia" w:ascii="仿宋" w:hAnsi="仿宋" w:eastAsia="仿宋" w:cs="仿宋"/>
                <w:snapToGrid w:val="0"/>
                <w:color w:val="000000" w:themeColor="text1"/>
                <w:sz w:val="24"/>
                <w:szCs w:val="24"/>
                <w:highlight w:val="none"/>
                <w14:textFill>
                  <w14:solidFill>
                    <w14:schemeClr w14:val="tx1"/>
                  </w14:solidFill>
                </w14:textFill>
              </w:rPr>
              <w:t>（或项目建设单位或项目所在地主管部门）</w:t>
            </w:r>
            <w:r>
              <w:rPr>
                <w:rFonts w:hint="eastAsia" w:ascii="仿宋" w:hAnsi="仿宋" w:eastAsia="仿宋" w:cs="仿宋"/>
                <w:color w:val="000000" w:themeColor="text1"/>
                <w:sz w:val="24"/>
                <w:szCs w:val="24"/>
                <w:highlight w:val="none"/>
                <w14:textFill>
                  <w14:solidFill>
                    <w14:schemeClr w14:val="tx1"/>
                  </w14:solidFill>
                </w14:textFill>
              </w:rPr>
              <w:t>盖章</w:t>
            </w:r>
            <w:r>
              <w:rPr>
                <w:rFonts w:hint="eastAsia" w:ascii="仿宋" w:hAnsi="仿宋" w:eastAsia="仿宋" w:cs="仿宋"/>
                <w:snapToGrid w:val="0"/>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证明其符合业绩要求</w:t>
            </w:r>
            <w:r>
              <w:rPr>
                <w:rFonts w:hint="eastAsia" w:ascii="仿宋" w:hAnsi="仿宋" w:eastAsia="仿宋" w:cs="仿宋"/>
                <w:snapToGrid w:val="0"/>
                <w:color w:val="000000" w:themeColor="text1"/>
                <w:sz w:val="24"/>
                <w:szCs w:val="24"/>
                <w:highlight w:val="none"/>
                <w14:textFill>
                  <w14:solidFill>
                    <w14:schemeClr w14:val="tx1"/>
                  </w14:solidFill>
                </w14:textFill>
              </w:rPr>
              <w:t>证明材料</w:t>
            </w:r>
            <w:r>
              <w:rPr>
                <w:rFonts w:hint="eastAsia" w:ascii="仿宋" w:hAnsi="仿宋" w:eastAsia="仿宋" w:cs="仿宋"/>
                <w:color w:val="000000" w:themeColor="text1"/>
                <w:sz w:val="24"/>
                <w:szCs w:val="24"/>
                <w:highlight w:val="none"/>
                <w14:textFill>
                  <w14:solidFill>
                    <w14:schemeClr w14:val="tx1"/>
                  </w14:solidFill>
                </w14:textFill>
              </w:rPr>
              <w:t>）。</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0.5</w:t>
            </w:r>
          </w:p>
        </w:tc>
        <w:tc>
          <w:tcPr>
            <w:tcW w:w="776" w:type="pc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continue"/>
            <w:vAlign w:val="center"/>
          </w:tcPr>
          <w:p>
            <w:pPr>
              <w:ind w:firstLine="360" w:firstLineChars="150"/>
              <w:jc w:val="center"/>
              <w:outlineLvl w:val="0"/>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tcPr>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、投标人自2017年1月1日以来（以合同签订时间为准）从事过一级及以上公路工程土建工程的全过程工程造价咨询或跟踪审计业绩（该工程必须含有隧道工程或桥梁工程），每个得0.5分，最高得0.5分。</w:t>
            </w:r>
          </w:p>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业绩证明应附：①合同协议书、②证明该项目全过程工程造价咨询或跟踪审计工作已经开展实施（或已完成）的证明材料，①、②两者缺一不可，否则业绩不予认可。（合同协议书所能承载的证明内容应符合业绩要求的具体表述，若合同协议书不能体现出符合业绩要求的具体表述的必须附项目初步设计批复文件或项目业主（或项目建设单位或项目所在地主管部门）盖章的证明其符合业绩要求证明材料）。</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0.5</w:t>
            </w:r>
          </w:p>
        </w:tc>
        <w:tc>
          <w:tcPr>
            <w:tcW w:w="776" w:type="pc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61"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项目负责人能力</w:t>
            </w:r>
          </w:p>
        </w:tc>
        <w:tc>
          <w:tcPr>
            <w:tcW w:w="2574" w:type="pct"/>
          </w:tcPr>
          <w:p>
            <w:pPr>
              <w:jc w:val="left"/>
              <w:rPr>
                <w:rFonts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①委派项目负责人具有高级工程师职称的得</w:t>
            </w:r>
            <w:r>
              <w:rPr>
                <w:rFonts w:ascii="仿宋" w:hAnsi="仿宋" w:eastAsia="仿宋" w:cs="仿宋"/>
                <w:snapToGrid w:val="0"/>
                <w:color w:val="000000" w:themeColor="text1"/>
                <w:sz w:val="24"/>
                <w:highlight w:val="none"/>
                <w14:textFill>
                  <w14:solidFill>
                    <w14:schemeClr w14:val="tx1"/>
                  </w14:solidFill>
                </w14:textFill>
              </w:rPr>
              <w:t>2</w:t>
            </w:r>
            <w:r>
              <w:rPr>
                <w:rFonts w:hint="eastAsia" w:ascii="仿宋" w:hAnsi="仿宋" w:eastAsia="仿宋" w:cs="仿宋"/>
                <w:snapToGrid w:val="0"/>
                <w:color w:val="000000" w:themeColor="text1"/>
                <w:sz w:val="24"/>
                <w:highlight w:val="none"/>
                <w14:textFill>
                  <w14:solidFill>
                    <w14:schemeClr w14:val="tx1"/>
                  </w14:solidFill>
                </w14:textFill>
              </w:rPr>
              <w:t>分。</w:t>
            </w:r>
          </w:p>
          <w:p>
            <w:pPr>
              <w:jc w:val="left"/>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②截止评审之日，拟委派项目负责人同时具有住房和城乡建设部造价工程师执业资格证书和交通运输部公路工程造价人员甲级资格证书，截止评审之日满15年的，得3分；满8年（含）以上的，得2分；8年以下的，得1分。</w:t>
            </w:r>
          </w:p>
          <w:p>
            <w:pPr>
              <w:jc w:val="left"/>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截止评审之日，拟委派项目负责人具有住房和城乡建设部造价工程师执业资格证书或交通运输部公路工程造价人员甲级资格证书满15年的，得1.5分；满8年（含）以上的，得1分；8年以下的，得0.5分。</w:t>
            </w:r>
          </w:p>
          <w:p>
            <w:pPr>
              <w:jc w:val="left"/>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 xml:space="preserve">有效证明材料为：职称证书、执业资格证书复印件加盖公章。 </w:t>
            </w:r>
          </w:p>
        </w:tc>
        <w:tc>
          <w:tcPr>
            <w:tcW w:w="430" w:type="pct"/>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776" w:type="pc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61"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bookmarkStart w:id="393" w:name="_Hlk99380734"/>
            <w:r>
              <w:rPr>
                <w:rFonts w:hint="eastAsia" w:ascii="仿宋" w:hAnsi="仿宋" w:eastAsia="仿宋" w:cs="仿宋"/>
                <w:color w:val="000000" w:themeColor="text1"/>
                <w:sz w:val="24"/>
                <w:szCs w:val="24"/>
                <w:highlight w:val="none"/>
                <w14:textFill>
                  <w14:solidFill>
                    <w14:schemeClr w14:val="tx1"/>
                  </w14:solidFill>
                </w14:textFill>
              </w:rPr>
              <w:t>财务主审能力</w:t>
            </w:r>
            <w:bookmarkEnd w:id="393"/>
          </w:p>
        </w:tc>
        <w:tc>
          <w:tcPr>
            <w:tcW w:w="2574" w:type="pct"/>
          </w:tcPr>
          <w:p>
            <w:pPr>
              <w:jc w:val="left"/>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财务主审具有注册会计师资格的得2分，同时具有高级职称的加2分。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776" w:type="pct"/>
          </w:tcPr>
          <w:p>
            <w:pPr>
              <w:outlineLvl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61"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项目其他成员情况</w:t>
            </w:r>
          </w:p>
        </w:tc>
        <w:tc>
          <w:tcPr>
            <w:tcW w:w="2574" w:type="pct"/>
          </w:tcPr>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拟派专业人员中（不含项目负责人）具有住房和城乡建设部造价工程师执业资格证书或一级注册造价工程师（交通运输工程专业）或交通运输部公路工程造价人员甲级资格证书）并同时具有高级工程师职称的，每出具一人得2分，最高得6分；</w:t>
            </w:r>
          </w:p>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②拟派专业人员中（不含财务主审）具有注册会计师证书的得2分，最高得2分。</w:t>
            </w:r>
          </w:p>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有效证明材料为：职称证、资格证书复印件加盖公章。</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5</w:t>
            </w:r>
          </w:p>
        </w:tc>
        <w:tc>
          <w:tcPr>
            <w:tcW w:w="861"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管理体系</w:t>
            </w:r>
          </w:p>
        </w:tc>
        <w:tc>
          <w:tcPr>
            <w:tcW w:w="2574" w:type="pct"/>
          </w:tcPr>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投标人具有质量管理体系认证证书、职业健康安全管理体系认证证书、环境管理体系认证证书，每个证书得1分，最高得3分。（证明材料提供复印件并加盖投标单位公章）</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restart"/>
            <w:vAlign w:val="center"/>
          </w:tcPr>
          <w:p>
            <w:pPr>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6</w:t>
            </w:r>
          </w:p>
        </w:tc>
        <w:tc>
          <w:tcPr>
            <w:tcW w:w="861" w:type="pct"/>
            <w:vMerge w:val="restar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造价咨询服务大纲</w:t>
            </w:r>
          </w:p>
        </w:tc>
        <w:tc>
          <w:tcPr>
            <w:tcW w:w="2574" w:type="pct"/>
          </w:tcPr>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造价咨询服务技术方案：</w:t>
            </w:r>
          </w:p>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投标服务技术方案关于投标人组织机构、管理制度、内控体系情况的说明是否详尽、明晰，是否符合招标文件及采购需求； </w:t>
            </w:r>
          </w:p>
          <w:p>
            <w:pPr>
              <w:pStyle w:val="33"/>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技术方案可行，组织机构、管理制度、内控体系情况说明详尽、明晰，满足或优于招标文件及采购需求的得5分；技术方案</w:t>
            </w:r>
            <w:r>
              <w:rPr>
                <w:rFonts w:ascii="仿宋" w:hAnsi="仿宋" w:eastAsia="仿宋" w:cs="仿宋"/>
                <w:snapToGrid w:val="0"/>
                <w:color w:val="000000" w:themeColor="text1"/>
                <w:sz w:val="24"/>
                <w:szCs w:val="24"/>
                <w:highlight w:val="none"/>
                <w14:textFill>
                  <w14:solidFill>
                    <w14:schemeClr w14:val="tx1"/>
                  </w14:solidFill>
                </w14:textFill>
              </w:rPr>
              <w:t>一般</w:t>
            </w:r>
            <w:r>
              <w:rPr>
                <w:rFonts w:hint="eastAsia" w:ascii="仿宋" w:hAnsi="仿宋" w:eastAsia="仿宋" w:cs="仿宋"/>
                <w:color w:val="000000" w:themeColor="text1"/>
                <w:sz w:val="24"/>
                <w:szCs w:val="24"/>
                <w:highlight w:val="none"/>
                <w14:textFill>
                  <w14:solidFill>
                    <w14:schemeClr w14:val="tx1"/>
                  </w14:solidFill>
                </w14:textFill>
              </w:rPr>
              <w:t>，基本满足招标文件及采购需求的得4分；技术方案较差，内容不全的得3分；没服务技术方案相关内容描述的不得分。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服务理念的合理性：</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对重大专项政策的理解和掌握情况，结合项目的特点，能否提出定点全过程造价咨询服务的定位、目标及标准等；提供的服务模式是否能够切合实际，且安全可行，保密性、安全性、文明服务的计划及承诺情况；</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服务理念合理、针对性强的得5分；服务理念一般，针对性一般的得4分；服务理念较差，内容不全的得3分；没有服务理念相关内容描述的不得分。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组织实施的优越性：</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是否具有比较完整的项目全过程实施措施，能否清晰简练地提出项目实施方式、工作程序、计划安排、相关建议、专项报告的撰写提纲等；</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组织实施方案合理、针对性强的得 5分；组织实施方案一般，针对性一般的得4分；组织实施方案较差，内容不全的得3分；没有供服务理念相关内容描述的不得分。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对相关人员的组织分工明确程度</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相关人员分工明确合理的得5分；相关人员分工不清晰，或人员配备一般的得4分；相关人员分工不合理，无法满足招标文件及采购需求要求的得3分；没有相关人员分工相关内容描述的不得分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隐蔽工程、材料进出场、签证及变更事项、工程进度款支付、重大事项等痕迹管理方案的全面性。</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痕迹管理方案合理、全面、可行的得5分；痕迹管理方案基本合理、较全面的得4分；痕迹管理方案较差，内容不全的得3分；没有相关内容描述的不得分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驻场人数、驻场时间、各相关专业人员到工地的响应时间对项目实施的保障程度。优于采购需求的得5分；完全满足采购需求的得4分；基本满足采购需求的得3分；有相关内容描述不满足采购需求的得2分；没有相关内容描述或跟采购需求偏离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服务管理体系方案：</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是否有详细的服务管理体系方案，制定详细的服务考评体系等；</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详细服务管理体系方案，制定的服务考评体系合理可行的得5分；有服务管理体系方案、制定服务考评体系一般的得4分；有服务管理体系方案、制定服务考评体系较差无法执行的得3分；没有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服务成果文件编制深度和完整度描述的合理性、完善程度</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成果文件承诺的编制深度和完整度符合采购需求、且描述合理完善的得5分；基本满足的得4分；编制深度和完整度不满足采购需求的得3分；没有相关内容描述的不得分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snapToGrid w:val="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7</w:t>
            </w:r>
          </w:p>
        </w:tc>
        <w:tc>
          <w:tcPr>
            <w:tcW w:w="861" w:type="pct"/>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造价咨询服务质量承诺、内部质量管理制度</w:t>
            </w:r>
          </w:p>
        </w:tc>
        <w:tc>
          <w:tcPr>
            <w:tcW w:w="2574" w:type="pct"/>
            <w:vAlign w:val="center"/>
          </w:tcPr>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说明服务质量、内部质量管理的保证措施，质量内控体系的建立情况，质量管理制度的建设情况，详细说明咨询服务工作流程及各环节主要工作内容的得2分；以上内容描述不全或者工作流程及环节主要内容描述有缺漏的得1分；没有相关内容描述的不得分。</w:t>
            </w:r>
          </w:p>
          <w:p>
            <w:pPr>
              <w:pStyle w:val="33"/>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有保证项目进度的其他有效措施，能提供项目实施过程中突发事件处理机制与预案，能体现成果文件编制深度和完整度、展现审核成果的积累与应用的得2分；以上内容描述不全或有缺漏的得1分；没有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8</w:t>
            </w:r>
          </w:p>
        </w:tc>
        <w:tc>
          <w:tcPr>
            <w:tcW w:w="861" w:type="pct"/>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造价咨询服务的疑难点考虑</w:t>
            </w:r>
          </w:p>
        </w:tc>
        <w:tc>
          <w:tcPr>
            <w:tcW w:w="2574" w:type="pct"/>
            <w:vAlign w:val="center"/>
          </w:tcPr>
          <w:p>
            <w:pPr>
              <w:pStyle w:val="2"/>
              <w:snapToGrid w:val="0"/>
              <w:ind w:firstLine="0"/>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对造价咨询服务的疑难点的认识是否准确，解决的措施是否完整、合理、可行。</w:t>
            </w:r>
          </w:p>
          <w:p>
            <w:pPr>
              <w:pStyle w:val="2"/>
              <w:ind w:firstLine="0"/>
              <w:rPr>
                <w:color w:val="000000" w:themeColor="text1"/>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疑难点的认识准确，解决的措施完整、合理、可行的得5分；有疑难点相关描述，解决的措施是一般的得4分；</w:t>
            </w:r>
            <w:r>
              <w:rPr>
                <w:rFonts w:hint="eastAsia" w:ascii="仿宋" w:hAnsi="仿宋" w:eastAsia="仿宋" w:cs="仿宋"/>
                <w:color w:val="000000" w:themeColor="text1"/>
                <w:sz w:val="24"/>
                <w:szCs w:val="24"/>
                <w:highlight w:val="none"/>
                <w14:textFill>
                  <w14:solidFill>
                    <w14:schemeClr w14:val="tx1"/>
                  </w14:solidFill>
                </w14:textFill>
              </w:rPr>
              <w:t>以上内容描述不全或有缺漏的得3分</w:t>
            </w:r>
            <w:r>
              <w:rPr>
                <w:rFonts w:hint="eastAsia" w:ascii="仿宋" w:hAnsi="仿宋" w:eastAsia="仿宋" w:cs="仿宋"/>
                <w:snapToGrid w:val="0"/>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没有相关内容描述的不得分。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9</w:t>
            </w:r>
          </w:p>
        </w:tc>
        <w:tc>
          <w:tcPr>
            <w:tcW w:w="861" w:type="pct"/>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合理化建议</w:t>
            </w:r>
          </w:p>
        </w:tc>
        <w:tc>
          <w:tcPr>
            <w:tcW w:w="2574" w:type="pct"/>
            <w:vAlign w:val="center"/>
          </w:tcPr>
          <w:p>
            <w:pPr>
              <w:snapToGrid w:val="0"/>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造价咨询服务的合理化建议或其他合理化建议，每具有一条确实可行的合理化建议得1分，最高得4分。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10</w:t>
            </w:r>
          </w:p>
        </w:tc>
        <w:tc>
          <w:tcPr>
            <w:tcW w:w="861" w:type="pct"/>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人员配置合理性</w:t>
            </w:r>
          </w:p>
        </w:tc>
        <w:tc>
          <w:tcPr>
            <w:tcW w:w="2574" w:type="pct"/>
            <w:vAlign w:val="center"/>
          </w:tcPr>
          <w:p>
            <w:pPr>
              <w:snapToGrid w:val="0"/>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项目负责人及项目组成员的专业配置的合理性及项目负责人的综合素质等</w:t>
            </w:r>
          </w:p>
          <w:p>
            <w:pPr>
              <w:snapToGrid w:val="0"/>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专业配置</w:t>
            </w:r>
            <w:r>
              <w:rPr>
                <w:rFonts w:hint="eastAsia" w:ascii="仿宋" w:hAnsi="仿宋" w:eastAsia="仿宋" w:cs="仿宋"/>
                <w:color w:val="000000" w:themeColor="text1"/>
                <w:sz w:val="24"/>
                <w:highlight w:val="none"/>
                <w14:textFill>
                  <w14:solidFill>
                    <w14:schemeClr w14:val="tx1"/>
                  </w14:solidFill>
                </w14:textFill>
              </w:rPr>
              <w:t>合理、</w:t>
            </w:r>
            <w:r>
              <w:rPr>
                <w:rFonts w:hint="eastAsia" w:ascii="仿宋" w:hAnsi="仿宋" w:eastAsia="仿宋" w:cs="仿宋"/>
                <w:snapToGrid w:val="0"/>
                <w:color w:val="000000" w:themeColor="text1"/>
                <w:sz w:val="24"/>
                <w:highlight w:val="none"/>
                <w14:textFill>
                  <w14:solidFill>
                    <w14:schemeClr w14:val="tx1"/>
                  </w14:solidFill>
                </w14:textFill>
              </w:rPr>
              <w:t>项目负责人综合素质好</w:t>
            </w:r>
            <w:r>
              <w:rPr>
                <w:rFonts w:hint="eastAsia" w:ascii="仿宋" w:hAnsi="仿宋" w:eastAsia="仿宋" w:cs="仿宋"/>
                <w:color w:val="000000" w:themeColor="text1"/>
                <w:sz w:val="24"/>
                <w:highlight w:val="none"/>
                <w14:textFill>
                  <w14:solidFill>
                    <w14:schemeClr w14:val="tx1"/>
                  </w14:solidFill>
                </w14:textFill>
              </w:rPr>
              <w:t>的得5分；</w:t>
            </w:r>
            <w:r>
              <w:rPr>
                <w:rFonts w:hint="eastAsia" w:ascii="仿宋" w:hAnsi="仿宋" w:eastAsia="仿宋" w:cs="仿宋"/>
                <w:snapToGrid w:val="0"/>
                <w:color w:val="000000" w:themeColor="text1"/>
                <w:sz w:val="24"/>
                <w:highlight w:val="none"/>
                <w14:textFill>
                  <w14:solidFill>
                    <w14:schemeClr w14:val="tx1"/>
                  </w14:solidFill>
                </w14:textFill>
              </w:rPr>
              <w:t>专业配置</w:t>
            </w:r>
            <w:r>
              <w:rPr>
                <w:rFonts w:hint="eastAsia" w:ascii="仿宋" w:hAnsi="仿宋" w:eastAsia="仿宋" w:cs="仿宋"/>
                <w:color w:val="000000" w:themeColor="text1"/>
                <w:sz w:val="24"/>
                <w:highlight w:val="none"/>
                <w14:textFill>
                  <w14:solidFill>
                    <w14:schemeClr w14:val="tx1"/>
                  </w14:solidFill>
                </w14:textFill>
              </w:rPr>
              <w:t>一般、</w:t>
            </w:r>
            <w:r>
              <w:rPr>
                <w:rFonts w:hint="eastAsia" w:ascii="仿宋" w:hAnsi="仿宋" w:eastAsia="仿宋" w:cs="仿宋"/>
                <w:snapToGrid w:val="0"/>
                <w:color w:val="000000" w:themeColor="text1"/>
                <w:sz w:val="24"/>
                <w:highlight w:val="none"/>
                <w14:textFill>
                  <w14:solidFill>
                    <w14:schemeClr w14:val="tx1"/>
                  </w14:solidFill>
                </w14:textFill>
              </w:rPr>
              <w:t>项目负责人综合素质一般的得4分；专业配置</w:t>
            </w:r>
            <w:r>
              <w:rPr>
                <w:rFonts w:hint="eastAsia" w:ascii="仿宋" w:hAnsi="仿宋" w:eastAsia="仿宋" w:cs="仿宋"/>
                <w:color w:val="000000" w:themeColor="text1"/>
                <w:sz w:val="24"/>
                <w:highlight w:val="none"/>
                <w14:textFill>
                  <w14:solidFill>
                    <w14:schemeClr w14:val="tx1"/>
                  </w14:solidFill>
                </w14:textFill>
              </w:rPr>
              <w:t>较差、</w:t>
            </w:r>
            <w:r>
              <w:rPr>
                <w:rFonts w:hint="eastAsia" w:ascii="仿宋" w:hAnsi="仿宋" w:eastAsia="仿宋" w:cs="仿宋"/>
                <w:snapToGrid w:val="0"/>
                <w:color w:val="000000" w:themeColor="text1"/>
                <w:sz w:val="24"/>
                <w:highlight w:val="none"/>
                <w14:textFill>
                  <w14:solidFill>
                    <w14:schemeClr w14:val="tx1"/>
                  </w14:solidFill>
                </w14:textFill>
              </w:rPr>
              <w:t>项目负责人综合素质较差低于采购需求的得3分；</w:t>
            </w:r>
            <w:r>
              <w:rPr>
                <w:rFonts w:hint="eastAsia" w:ascii="仿宋" w:hAnsi="仿宋" w:eastAsia="仿宋" w:cs="仿宋"/>
                <w:color w:val="000000" w:themeColor="text1"/>
                <w:sz w:val="24"/>
                <w:highlight w:val="none"/>
                <w14:textFill>
                  <w14:solidFill>
                    <w14:schemeClr w14:val="tx1"/>
                  </w14:solidFill>
                </w14:textFill>
              </w:rPr>
              <w:t>没有相关内容描述的不得分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56" w:type="pct"/>
            <w:vAlign w:val="center"/>
          </w:tcPr>
          <w:p>
            <w:pPr>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11</w:t>
            </w:r>
          </w:p>
        </w:tc>
        <w:tc>
          <w:tcPr>
            <w:tcW w:w="861" w:type="pct"/>
            <w:vAlign w:val="center"/>
          </w:tcPr>
          <w:p>
            <w:pPr>
              <w:snapToGrid w:val="0"/>
              <w:rPr>
                <w:rFonts w:ascii="仿宋_GB2312" w:hAnsi="仿宋" w:eastAsia="仿宋_GB2312" w:cs="仿宋_GB2312"/>
                <w:color w:val="000000" w:themeColor="text1"/>
                <w:sz w:val="24"/>
                <w:highlight w:val="none"/>
                <w14:textFill>
                  <w14:solidFill>
                    <w14:schemeClr w14:val="tx1"/>
                  </w14:solidFill>
                </w14:textFill>
              </w:rPr>
            </w:pPr>
            <w:bookmarkStart w:id="394" w:name="_Hlk99380632"/>
            <w:r>
              <w:rPr>
                <w:rFonts w:hint="eastAsia" w:ascii="仿宋_GB2312" w:hAnsi="仿宋" w:eastAsia="仿宋_GB2312" w:cs="仿宋_GB2312"/>
                <w:color w:val="000000" w:themeColor="text1"/>
                <w:sz w:val="24"/>
                <w:highlight w:val="none"/>
                <w14:textFill>
                  <w14:solidFill>
                    <w14:schemeClr w14:val="tx1"/>
                  </w14:solidFill>
                </w14:textFill>
              </w:rPr>
              <w:t>工作时效性及服务能力</w:t>
            </w:r>
            <w:bookmarkEnd w:id="394"/>
          </w:p>
        </w:tc>
        <w:tc>
          <w:tcPr>
            <w:tcW w:w="2574" w:type="pct"/>
            <w:vAlign w:val="center"/>
          </w:tcPr>
          <w:p>
            <w:pPr>
              <w:snapToGrid w:val="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投标人是否承诺按照采购人提出的工作时限完成，进度控制是否合理，是否有固定的项目服务成员组织，能否保证服务人员的响应速度，优于采购需求的得5分；完全满足采购需求的得4分；低于采购需求的得3分；</w:t>
            </w:r>
            <w:r>
              <w:rPr>
                <w:rFonts w:hint="eastAsia" w:ascii="仿宋" w:hAnsi="仿宋" w:eastAsia="仿宋" w:cs="仿宋"/>
                <w:color w:val="000000" w:themeColor="text1"/>
                <w:sz w:val="24"/>
                <w:highlight w:val="none"/>
                <w14:textFill>
                  <w14:solidFill>
                    <w14:schemeClr w14:val="tx1"/>
                  </w14:solidFill>
                </w14:textFill>
              </w:rPr>
              <w:t>没有相关内容描述的不得分</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restart"/>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861" w:type="pct"/>
            <w:vMerge w:val="restart"/>
            <w:vAlign w:val="center"/>
          </w:tcPr>
          <w:p>
            <w:pPr>
              <w:snapToGrid w:val="0"/>
              <w:jc w:val="center"/>
              <w:rPr>
                <w:rFonts w:ascii="仿宋_GB2312" w:hAnsi="仿宋" w:eastAsia="仿宋_GB2312" w:cs="仿宋_GB2312"/>
                <w:color w:val="000000" w:themeColor="text1"/>
                <w:sz w:val="24"/>
                <w:highlight w:val="none"/>
                <w14:textFill>
                  <w14:solidFill>
                    <w14:schemeClr w14:val="tx1"/>
                  </w14:solidFill>
                </w14:textFill>
              </w:rPr>
            </w:pPr>
            <w:bookmarkStart w:id="395" w:name="_Hlk99380673"/>
            <w:r>
              <w:rPr>
                <w:rFonts w:hint="eastAsia" w:ascii="仿宋_GB2312" w:hAnsi="仿宋" w:eastAsia="仿宋_GB2312" w:cs="仿宋_GB2312"/>
                <w:color w:val="000000" w:themeColor="text1"/>
                <w:sz w:val="24"/>
                <w:highlight w:val="none"/>
                <w14:textFill>
                  <w14:solidFill>
                    <w14:schemeClr w14:val="tx1"/>
                  </w14:solidFill>
                </w14:textFill>
              </w:rPr>
              <w:t>误差率承诺情况</w:t>
            </w:r>
            <w:bookmarkEnd w:id="395"/>
          </w:p>
        </w:tc>
        <w:tc>
          <w:tcPr>
            <w:tcW w:w="2574" w:type="pct"/>
            <w:vAlign w:val="center"/>
          </w:tcPr>
          <w:p>
            <w:pPr>
              <w:snapToGrid w:val="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A、工程量清单及预算、招标控制价的审核成果质量要求（</w:t>
            </w:r>
            <w:r>
              <w:rPr>
                <w:rFonts w:ascii="仿宋_GB2312" w:hAnsi="仿宋" w:eastAsia="仿宋_GB2312" w:cs="仿宋_GB2312"/>
                <w:color w:val="000000" w:themeColor="text1"/>
                <w:sz w:val="24"/>
                <w:highlight w:val="none"/>
                <w14:textFill>
                  <w14:solidFill>
                    <w14:schemeClr w14:val="tx1"/>
                  </w14:solidFill>
                </w14:textFill>
              </w:rPr>
              <w:t>3</w:t>
            </w:r>
            <w:r>
              <w:rPr>
                <w:rFonts w:hint="eastAsia" w:ascii="仿宋_GB2312" w:hAnsi="仿宋" w:eastAsia="仿宋_GB2312" w:cs="仿宋_GB2312"/>
                <w:color w:val="000000" w:themeColor="text1"/>
                <w:sz w:val="24"/>
                <w:highlight w:val="none"/>
                <w14:textFill>
                  <w14:solidFill>
                    <w14:schemeClr w14:val="tx1"/>
                  </w14:solidFill>
                </w14:textFill>
              </w:rPr>
              <w:t>分）</w:t>
            </w:r>
          </w:p>
          <w:p>
            <w:pPr>
              <w:snapToGrid w:val="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工程量清单及预算、招标控制价的审核成果的误差率应小于2%(含)。承诺误差率在0—2%，最大承诺误差率得分为1分，中间误差率按插值法计算分值，四舍五入保留小数点1位。</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Merge w:val="continue"/>
            <w:vAlign w:val="center"/>
          </w:tcPr>
          <w:p>
            <w:pPr>
              <w:ind w:firstLine="240" w:firstLineChars="100"/>
              <w:jc w:val="center"/>
              <w:rPr>
                <w:rFonts w:ascii="仿宋" w:hAnsi="仿宋" w:eastAsia="仿宋" w:cs="仿宋"/>
                <w:color w:val="000000" w:themeColor="text1"/>
                <w:sz w:val="24"/>
                <w:highlight w:val="none"/>
                <w14:textFill>
                  <w14:solidFill>
                    <w14:schemeClr w14:val="tx1"/>
                  </w14:solidFill>
                </w14:textFill>
              </w:rPr>
            </w:pPr>
          </w:p>
        </w:tc>
        <w:tc>
          <w:tcPr>
            <w:tcW w:w="861" w:type="pct"/>
            <w:vMerge w:val="continue"/>
            <w:vAlign w:val="center"/>
          </w:tcPr>
          <w:p>
            <w:pPr>
              <w:snapToGrid w:val="0"/>
              <w:rPr>
                <w:rFonts w:ascii="仿宋_GB2312" w:hAnsi="仿宋" w:eastAsia="仿宋_GB2312" w:cs="仿宋_GB2312"/>
                <w:color w:val="000000" w:themeColor="text1"/>
                <w:sz w:val="24"/>
                <w:highlight w:val="none"/>
                <w14:textFill>
                  <w14:solidFill>
                    <w14:schemeClr w14:val="tx1"/>
                  </w14:solidFill>
                </w14:textFill>
              </w:rPr>
            </w:pPr>
          </w:p>
        </w:tc>
        <w:tc>
          <w:tcPr>
            <w:tcW w:w="2574" w:type="pct"/>
            <w:vAlign w:val="center"/>
          </w:tcPr>
          <w:p>
            <w:pPr>
              <w:snapToGrid w:val="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B、工程变更联系单审核质量要求（</w:t>
            </w:r>
            <w:r>
              <w:rPr>
                <w:rFonts w:ascii="仿宋_GB2312" w:hAnsi="仿宋" w:eastAsia="仿宋_GB2312" w:cs="仿宋_GB2312"/>
                <w:color w:val="000000" w:themeColor="text1"/>
                <w:sz w:val="24"/>
                <w:highlight w:val="none"/>
                <w14:textFill>
                  <w14:solidFill>
                    <w14:schemeClr w14:val="tx1"/>
                  </w14:solidFill>
                </w14:textFill>
              </w:rPr>
              <w:t>3</w:t>
            </w:r>
            <w:r>
              <w:rPr>
                <w:rFonts w:hint="eastAsia" w:ascii="仿宋_GB2312" w:hAnsi="仿宋" w:eastAsia="仿宋_GB2312" w:cs="仿宋_GB2312"/>
                <w:color w:val="000000" w:themeColor="text1"/>
                <w:sz w:val="24"/>
                <w:highlight w:val="none"/>
                <w14:textFill>
                  <w14:solidFill>
                    <w14:schemeClr w14:val="tx1"/>
                  </w14:solidFill>
                </w14:textFill>
              </w:rPr>
              <w:t>分）</w:t>
            </w:r>
          </w:p>
          <w:p>
            <w:pPr>
              <w:snapToGrid w:val="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工程变更联系单审核的误差率应小于5%(含)。承诺误差率在0—5%，最大承诺误差率得分为1分，中间误差率按插值法计算分值，四舍五入保留小数点1位。</w:t>
            </w:r>
          </w:p>
        </w:tc>
        <w:tc>
          <w:tcPr>
            <w:tcW w:w="430" w:type="pct"/>
            <w:vAlign w:val="center"/>
          </w:tcPr>
          <w:p>
            <w:pPr>
              <w:pStyle w:val="33"/>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776" w:type="pct"/>
          </w:tcPr>
          <w:p>
            <w:pP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13报价</w:t>
            </w:r>
          </w:p>
        </w:tc>
        <w:tc>
          <w:tcPr>
            <w:tcW w:w="3435" w:type="pct"/>
            <w:gridSpan w:val="2"/>
          </w:tcPr>
          <w:p>
            <w:pP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有效投标报价的最低价作为评标基准价，其最低报价为满分；按［投标报价得分=（评标基准价/投标报价）*10］的计算公式计算。</w:t>
            </w:r>
          </w:p>
          <w:p>
            <w:pPr>
              <w:widowControl/>
              <w:shd w:val="clear" w:color="auto" w:fill="FFFFFF"/>
              <w:adjustRightInd/>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pPr>
              <w:widowControl/>
              <w:shd w:val="clear" w:color="auto" w:fill="FFFFFF"/>
              <w:adjustRightInd/>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因落实政府采购政策需要进行价格调整的，以调整后的价格计算评标基准价和投标报价。</w:t>
            </w:r>
          </w:p>
        </w:tc>
        <w:tc>
          <w:tcPr>
            <w:tcW w:w="430" w:type="pct"/>
            <w:vAlign w:val="center"/>
          </w:tcPr>
          <w:p>
            <w:pPr>
              <w:ind w:firstLine="120" w:firstLineChars="5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776" w:type="pct"/>
            <w:vAlign w:val="center"/>
          </w:tcPr>
          <w:p>
            <w:pPr>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bookmarkEnd w:id="392"/>
    </w:tbl>
    <w:p>
      <w:pPr>
        <w:snapToGrid w:val="0"/>
        <w:spacing w:line="360" w:lineRule="auto"/>
        <w:ind w:firstLine="482"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1、投标人编制投标文件（商务技术文件部分）时，建议按此目录（序号和内容）提供评标标准相应的商务技术资料。</w:t>
      </w:r>
    </w:p>
    <w:p>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2、同一业绩包含土建工程的工程量清单及预算、招标控制价的编制或审核和全过程工程造价咨询或跟踪审计业务的均予以认可。</w:t>
      </w:r>
    </w:p>
    <w:p>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3、业绩证明资料中的单位名称与投标人名称必须一致，否则业绩不予认可。以下情形除外：投标人法人机构发生合法变更或重组或分立或法人名称变更时，应提供相关部门的合法批件或其他相关证明材料来证明其所附业绩的继承性，否则业绩不予认可）。</w:t>
      </w:r>
    </w:p>
    <w:p>
      <w:pPr>
        <w:snapToGrid w:val="0"/>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ascii="仿宋" w:hAnsi="仿宋" w:eastAsia="仿宋" w:cs="仿宋_GB2312"/>
          <w:color w:val="000000" w:themeColor="text1"/>
          <w:sz w:val="24"/>
          <w:highlight w:val="none"/>
          <w14:textFill>
            <w14:solidFill>
              <w14:schemeClr w14:val="tx1"/>
            </w14:solidFill>
          </w14:textFill>
        </w:rPr>
        <w:t>4、</w:t>
      </w:r>
      <w:r>
        <w:rPr>
          <w:rFonts w:hint="eastAsia" w:ascii="仿宋" w:hAnsi="仿宋" w:eastAsia="仿宋" w:cs="仿宋_GB2312"/>
          <w:color w:val="000000" w:themeColor="text1"/>
          <w:sz w:val="24"/>
          <w:highlight w:val="none"/>
          <w14:textFill>
            <w14:solidFill>
              <w14:schemeClr w14:val="tx1"/>
            </w14:solidFill>
          </w14:textFill>
        </w:rPr>
        <w:t>以上评分中所有涉及的证书均应在有效期内。</w:t>
      </w:r>
    </w:p>
    <w:p>
      <w:pPr>
        <w:snapToGrid w:val="0"/>
        <w:spacing w:line="360" w:lineRule="auto"/>
        <w:rPr>
          <w:rFonts w:ascii="仿宋_GB2312" w:hAnsi="仿宋" w:eastAsia="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不</w:t>
      </w:r>
      <w:r>
        <w:rPr>
          <w:rFonts w:ascii="仿宋_GB2312" w:hAnsi="仿宋" w:eastAsia="仿宋_GB2312" w:cs="Arial"/>
          <w:color w:val="000000" w:themeColor="text1"/>
          <w:kern w:val="0"/>
          <w:sz w:val="24"/>
          <w:highlight w:val="none"/>
          <w14:textFill>
            <w14:solidFill>
              <w14:schemeClr w14:val="tx1"/>
            </w14:solidFill>
          </w14:textFill>
        </w:rPr>
        <w:t>满足招标文件的实质性要求</w:t>
      </w:r>
      <w:r>
        <w:rPr>
          <w:rFonts w:hint="eastAsia" w:ascii="仿宋_GB2312" w:hAnsi="仿宋" w:eastAsia="仿宋_GB2312" w:cs="Arial"/>
          <w:color w:val="000000" w:themeColor="text1"/>
          <w:kern w:val="0"/>
          <w:sz w:val="24"/>
          <w:highlight w:val="none"/>
          <w14:textFill>
            <w14:solidFill>
              <w14:schemeClr w14:val="tx1"/>
            </w14:solidFill>
          </w14:textFill>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129"/>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129"/>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9"/>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29"/>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9"/>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29"/>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129"/>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color w:val="000000" w:themeColor="text1"/>
          <w:kern w:val="0"/>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29"/>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color w:val="000000" w:themeColor="text1"/>
          <w:kern w:val="0"/>
          <w:szCs w:val="24"/>
          <w:highlight w:val="none"/>
          <w14:textFill>
            <w14:solidFill>
              <w14:schemeClr w14:val="tx1"/>
            </w14:solidFill>
          </w14:textFill>
        </w:rPr>
        <w:t>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w:t>
      </w:r>
      <w:r>
        <w:rPr>
          <w:rFonts w:hint="eastAsia" w:ascii="仿宋" w:hAnsi="仿宋" w:eastAsia="仿宋" w:cs="仿宋"/>
          <w:color w:val="000000" w:themeColor="text1"/>
          <w:kern w:val="0"/>
          <w:szCs w:val="24"/>
          <w:highlight w:val="none"/>
          <w14:textFill>
            <w14:solidFill>
              <w14:schemeClr w14:val="tx1"/>
            </w14:solidFill>
          </w14:textFill>
        </w:rPr>
        <w:t>6</w:t>
      </w:r>
      <w:r>
        <w:rPr>
          <w:rFonts w:ascii="仿宋" w:hAnsi="仿宋" w:eastAsia="仿宋" w:cs="仿宋"/>
          <w:color w:val="000000" w:themeColor="text1"/>
          <w:kern w:val="0"/>
          <w:szCs w:val="24"/>
          <w:highlight w:val="none"/>
          <w14:textFill>
            <w14:solidFill>
              <w14:schemeClr w14:val="tx1"/>
            </w14:solidFill>
          </w14:textFill>
        </w:rPr>
        <w:t>%的扣除，用扣除后的价格参加评审。组成联合体或者接受分包的小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widowControl/>
        <w:spacing w:line="360" w:lineRule="auto"/>
        <w:ind w:firstLine="482" w:firstLineChars="200"/>
        <w:jc w:val="left"/>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color w:val="000000" w:themeColor="text1"/>
          <w:kern w:val="0"/>
          <w:sz w:val="24"/>
          <w:highlight w:val="none"/>
          <w14:textFill>
            <w14:solidFill>
              <w14:schemeClr w14:val="tx1"/>
            </w14:solidFill>
          </w14:textFill>
        </w:rPr>
        <w:t>采用综合评分法的，评标结果按评审后得分由高到低顺序排列。投标文件满足招标文件全部实质性要求，且按照评审因素的量化指标评审得分最高的投标人为排名第一的中标候选人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highlight w:val="none"/>
          <w14:textFill>
            <w14:solidFill>
              <w14:schemeClr w14:val="tx1"/>
            </w14:solidFill>
          </w14:textFill>
        </w:rPr>
        <w:t>。</w:t>
      </w:r>
      <w:r>
        <w:rPr>
          <w:rFonts w:ascii="仿宋_GB2312" w:hAnsi="仿宋" w:eastAsia="仿宋_GB2312" w:cs="Arial"/>
          <w:color w:val="000000" w:themeColor="text1"/>
          <w:kern w:val="0"/>
          <w:sz w:val="24"/>
          <w:highlight w:val="none"/>
          <w14:textFill>
            <w14:solidFill>
              <w14:schemeClr w14:val="tx1"/>
            </w14:solidFill>
          </w14:textFill>
        </w:rPr>
        <w:t>得分相同的，按投标报价由低到高顺序排列。</w:t>
      </w:r>
      <w:r>
        <w:rPr>
          <w:rFonts w:ascii="仿宋_GB2312" w:hAnsi="仿宋" w:eastAsia="仿宋_GB2312" w:cs="Arial"/>
          <w:color w:val="000000" w:themeColor="text1"/>
          <w:kern w:val="0"/>
          <w:sz w:val="24"/>
          <w:szCs w:val="24"/>
          <w:highlight w:val="none"/>
          <w14:textFill>
            <w14:solidFill>
              <w14:schemeClr w14:val="tx1"/>
            </w14:solidFill>
          </w14:textFill>
        </w:rPr>
        <w:t>得分且投标报价</w:t>
      </w:r>
      <w:r>
        <w:rPr>
          <w:rFonts w:hint="eastAsia" w:ascii="仿宋_GB2312" w:hAnsi="仿宋" w:eastAsia="仿宋_GB2312" w:cs="Arial"/>
          <w:color w:val="000000" w:themeColor="text1"/>
          <w:kern w:val="0"/>
          <w:sz w:val="24"/>
          <w:szCs w:val="24"/>
          <w:highlight w:val="none"/>
          <w14:textFill>
            <w14:solidFill>
              <w14:schemeClr w14:val="tx1"/>
            </w14:solidFill>
          </w14:textFill>
        </w:rPr>
        <w:t>均</w:t>
      </w:r>
      <w:r>
        <w:rPr>
          <w:rFonts w:ascii="仿宋_GB2312" w:hAnsi="仿宋" w:eastAsia="仿宋_GB2312" w:cs="Arial"/>
          <w:color w:val="000000" w:themeColor="text1"/>
          <w:kern w:val="0"/>
          <w:sz w:val="24"/>
          <w:szCs w:val="24"/>
          <w:highlight w:val="none"/>
          <w14:textFill>
            <w14:solidFill>
              <w14:schemeClr w14:val="tx1"/>
            </w14:solidFill>
          </w14:textFill>
        </w:rPr>
        <w:t>相同时，由评标委员会通过抽签方式排序。</w:t>
      </w:r>
    </w:p>
    <w:p>
      <w:pPr>
        <w:spacing w:line="360" w:lineRule="auto"/>
        <w:ind w:firstLine="480" w:firstLineChars="200"/>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129"/>
        <w:spacing w:before="0"/>
        <w:ind w:firstLine="472" w:firstLineChars="196"/>
        <w:rPr>
          <w:rFonts w:ascii="仿宋_GB2312" w:hAnsi="仿宋" w:eastAsia="仿宋_GB2312" w:cs="Arial"/>
          <w:color w:val="000000" w:themeColor="text1"/>
          <w:kern w:val="0"/>
          <w:szCs w:val="24"/>
          <w:highlight w:val="none"/>
          <w14:textFill>
            <w14:solidFill>
              <w14:schemeClr w14:val="tx1"/>
            </w14:solidFill>
          </w14:textFill>
        </w:rPr>
      </w:pPr>
      <w:r>
        <w:rPr>
          <w:rFonts w:ascii="仿宋_GB2312" w:hAnsi="仿宋" w:eastAsia="仿宋_GB2312" w:cs="Arial"/>
          <w:b/>
          <w:color w:val="000000" w:themeColor="text1"/>
          <w:kern w:val="0"/>
          <w:szCs w:val="24"/>
          <w:highlight w:val="none"/>
          <w14:textFill>
            <w14:solidFill>
              <w14:schemeClr w14:val="tx1"/>
            </w14:solidFill>
          </w14:textFill>
        </w:rPr>
        <w:t>4.1</w:t>
      </w:r>
      <w:r>
        <w:rPr>
          <w:rFonts w:hint="eastAsia" w:ascii="仿宋_GB2312" w:hAnsi="仿宋" w:eastAsia="仿宋_GB2312" w:cs="Arial"/>
          <w:b/>
          <w:color w:val="000000" w:themeColor="text1"/>
          <w:kern w:val="0"/>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000000" w:themeColor="text1"/>
          <w:szCs w:val="21"/>
          <w:highlight w:val="none"/>
          <w14:textFill>
            <w14:solidFill>
              <w14:schemeClr w14:val="tx1"/>
            </w14:solidFill>
          </w14:textFill>
        </w:rPr>
      </w:pPr>
      <w:r>
        <w:rPr>
          <w:rFonts w:ascii="仿宋_GB2312" w:hAnsi="仿宋" w:eastAsia="仿宋_GB2312" w:cs="Arial"/>
          <w:b/>
          <w:color w:val="000000" w:themeColor="text1"/>
          <w:kern w:val="0"/>
          <w:highlight w:val="none"/>
          <w14:textFill>
            <w14:solidFill>
              <w14:schemeClr w14:val="tx1"/>
            </w14:solidFill>
          </w14:textFill>
        </w:rPr>
        <w:t>4.2投标无效。</w:t>
      </w:r>
      <w:r>
        <w:rPr>
          <w:rFonts w:hint="eastAsia" w:ascii="仿宋_GB2312" w:hAnsi="仿宋" w:eastAsia="仿宋_GB2312" w:cs="仿宋_GB2312"/>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highlight w:val="none"/>
          <w14:textFill>
            <w14:solidFill>
              <w14:schemeClr w14:val="tx1"/>
            </w14:solidFill>
          </w14:textFill>
        </w:rPr>
        <w:t>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highlight w:val="none"/>
          <w14:textFill>
            <w14:solidFill>
              <w14:schemeClr w14:val="tx1"/>
            </w14:solidFill>
          </w14:textFill>
        </w:rPr>
        <w:t xml:space="preserve"> </w:t>
      </w:r>
      <w:r>
        <w:rPr>
          <w:rFonts w:ascii="仿宋_GB2312" w:hAnsi="仿宋" w:eastAsia="仿宋_GB2312" w:cs="Arial"/>
          <w:color w:val="000000" w:themeColor="text1"/>
          <w:kern w:val="0"/>
          <w:sz w:val="24"/>
          <w:highlight w:val="none"/>
          <w14:textFill>
            <w14:solidFill>
              <w14:schemeClr w14:val="tx1"/>
            </w14:solidFill>
          </w14:textFill>
        </w:rPr>
        <w:t>4.2.6投标文件出现不是唯一的、有选择性投标报价的;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4"/>
        <w:ind w:left="862" w:leftChars="205"/>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spacing w:line="360" w:lineRule="auto"/>
        <w:ind w:firstLine="480" w:firstLineChars="200"/>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5.废标。</w:t>
      </w:r>
      <w:r>
        <w:rPr>
          <w:rFonts w:hint="eastAsia" w:ascii="仿宋_GB2312" w:hAnsi="仿宋" w:eastAsia="仿宋_GB2312" w:cs="仿宋_GB2312"/>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5.2出现影响采购公正的违法、违规行为的；</w:t>
      </w:r>
    </w:p>
    <w:p>
      <w:pPr>
        <w:pStyle w:val="25"/>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5.3投标人的报价均超过了采购预算，采购人不能支付的；</w:t>
      </w:r>
    </w:p>
    <w:p>
      <w:pPr>
        <w:pStyle w:val="25"/>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5.4因重大变故，采购任务取消的。</w:t>
      </w:r>
    </w:p>
    <w:p>
      <w:pPr>
        <w:pStyle w:val="25"/>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b/>
          <w:color w:val="000000" w:themeColor="text1"/>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Helvetica" w:eastAsia="仿宋_GB2312" w:cs="Helvetica"/>
          <w:b/>
          <w:color w:val="000000" w:themeColor="text1"/>
          <w:kern w:val="0"/>
          <w:highlight w:val="none"/>
          <w14:textFill>
            <w14:solidFill>
              <w14:schemeClr w14:val="tx1"/>
            </w14:solidFill>
          </w14:textFill>
        </w:rPr>
        <w:t>7.重新开展采购。</w:t>
      </w:r>
      <w:r>
        <w:rPr>
          <w:rFonts w:hint="eastAsia" w:ascii="仿宋_GB2312" w:hAnsi="仿宋" w:eastAsia="仿宋_GB2312" w:cs="仿宋_GB2312"/>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highlight w:val="none"/>
          <w14:textFill>
            <w14:solidFill>
              <w14:schemeClr w14:val="tx1"/>
            </w14:solidFill>
          </w14:textFill>
        </w:rPr>
        <w:t>活动。</w:t>
      </w:r>
    </w:p>
    <w:p>
      <w:pPr>
        <w:pStyle w:val="25"/>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highlight w:val="none"/>
          <w14:textFill>
            <w14:solidFill>
              <w14:schemeClr w14:val="tx1"/>
            </w14:solidFill>
          </w14:textFill>
        </w:rPr>
        <w:t>商造成损失的，由责任人承担赔偿责任。</w:t>
      </w:r>
    </w:p>
    <w:p>
      <w:pPr>
        <w:pStyle w:val="25"/>
        <w:snapToGrid w:val="0"/>
        <w:spacing w:line="360" w:lineRule="auto"/>
        <w:ind w:left="720" w:leftChars="343" w:firstLine="720"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highlight w:val="none"/>
          <w14:textFill>
            <w14:solidFill>
              <w14:schemeClr w14:val="tx1"/>
            </w14:solidFill>
          </w14:textFill>
        </w:rPr>
        <w:t>法</w:t>
      </w:r>
      <w:r>
        <w:rPr>
          <w:rFonts w:hint="eastAsia" w:ascii="仿宋_GB2312" w:hAnsi="仿宋" w:eastAsia="仿宋_GB2312" w:cs="仿宋_GB2312"/>
          <w:color w:val="000000" w:themeColor="text1"/>
          <w:kern w:val="2"/>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highlight w:val="none"/>
          <w14:textFill>
            <w14:solidFill>
              <w14:schemeClr w14:val="tx1"/>
            </w14:solidFill>
          </w14:textFill>
        </w:rPr>
        <w:t>7.1-7.4规定处理。</w:t>
      </w:r>
      <w:bookmarkEnd w:id="26"/>
      <w:bookmarkStart w:id="396" w:name="第五部分"/>
      <w:bookmarkStart w:id="397" w:name="_Toc86217003"/>
    </w:p>
    <w:p>
      <w:pPr>
        <w:tabs>
          <w:tab w:val="left" w:pos="3260"/>
        </w:tabs>
        <w:spacing w:line="360" w:lineRule="auto"/>
        <w:ind w:left="720" w:leftChars="343" w:firstLine="1084" w:firstLineChars="300"/>
        <w:outlineLvl w:val="0"/>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ab/>
      </w:r>
    </w:p>
    <w:p>
      <w:pPr>
        <w:spacing w:line="360" w:lineRule="auto"/>
        <w:ind w:left="0" w:leftChars="0" w:firstLine="0" w:firstLineChars="0"/>
        <w:jc w:val="center"/>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spacing w:after="144"/>
        <w:ind w:right="556"/>
        <w:jc w:val="center"/>
        <w:rPr>
          <w:color w:val="000000" w:themeColor="text1"/>
          <w:highlight w:val="none"/>
          <w14:textFill>
            <w14:solidFill>
              <w14:schemeClr w14:val="tx1"/>
            </w14:solidFill>
          </w14:textFill>
        </w:rPr>
      </w:pPr>
      <w:r>
        <w:rPr>
          <w:rFonts w:ascii="微软雅黑" w:hAnsi="微软雅黑" w:eastAsia="微软雅黑" w:cs="微软雅黑"/>
          <w:color w:val="000000" w:themeColor="text1"/>
          <w:highlight w:val="none"/>
          <w14:textFill>
            <w14:solidFill>
              <w14:schemeClr w14:val="tx1"/>
            </w14:solidFill>
          </w14:textFill>
        </w:rPr>
        <w:t xml:space="preserve">  </w:t>
      </w:r>
    </w:p>
    <w:p>
      <w:pPr>
        <w:pStyle w:val="3"/>
        <w:spacing w:after="294"/>
        <w:ind w:left="0" w:leftChars="0" w:right="551" w:firstLine="0" w:firstLineChars="0"/>
        <w:jc w:val="center"/>
        <w:rPr>
          <w:rFonts w:ascii="仿宋" w:hAnsi="仿宋" w:eastAsia="仿宋" w:cs="仿宋"/>
          <w:color w:val="000000" w:themeColor="text1"/>
          <w:sz w:val="24"/>
          <w:szCs w:val="24"/>
          <w:highlight w:val="none"/>
          <w14:textFill>
            <w14:solidFill>
              <w14:schemeClr w14:val="tx1"/>
            </w14:solidFill>
          </w14:textFill>
        </w:rPr>
      </w:pPr>
      <w:bookmarkStart w:id="398" w:name="_Toc31103"/>
      <w:r>
        <w:rPr>
          <w:rFonts w:hint="eastAsia" w:ascii="仿宋" w:hAnsi="仿宋" w:eastAsia="仿宋" w:cs="仿宋"/>
          <w:color w:val="000000" w:themeColor="text1"/>
          <w:sz w:val="24"/>
          <w:szCs w:val="24"/>
          <w:highlight w:val="none"/>
          <w14:textFill>
            <w14:solidFill>
              <w14:schemeClr w14:val="tx1"/>
            </w14:solidFill>
          </w14:textFill>
        </w:rPr>
        <w:t>附件一：合同协议书格式</w:t>
      </w:r>
      <w:bookmarkEnd w:id="398"/>
    </w:p>
    <w:p>
      <w:pPr>
        <w:ind w:right="27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S211钱塘段（江东大道至红十五线）公路工程全过程造价咨询服务项目协议书</w:t>
      </w:r>
    </w:p>
    <w:p>
      <w:pPr>
        <w:spacing w:after="255" w:line="360" w:lineRule="auto"/>
        <w:ind w:left="1246"/>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spacing w:line="360" w:lineRule="auto"/>
        <w:rPr>
          <w:rFonts w:ascii="仿宋" w:hAnsi="仿宋" w:eastAsia="仿宋" w:cs="仿宋"/>
          <w:color w:val="000000" w:themeColor="text1"/>
          <w:sz w:val="28"/>
          <w:szCs w:val="28"/>
          <w:highlight w:val="none"/>
          <w14:textFill>
            <w14:solidFill>
              <w14:schemeClr w14:val="tx1"/>
            </w14:solidFill>
          </w14:textFill>
        </w:rPr>
      </w:pPr>
    </w:p>
    <w:p>
      <w:pPr>
        <w:spacing w:line="360" w:lineRule="auto"/>
        <w:rPr>
          <w:rFonts w:ascii="仿宋" w:hAnsi="仿宋" w:eastAsia="仿宋" w:cs="仿宋"/>
          <w:color w:val="000000" w:themeColor="text1"/>
          <w:sz w:val="28"/>
          <w:szCs w:val="28"/>
          <w:highlight w:val="none"/>
          <w14:textFill>
            <w14:solidFill>
              <w14:schemeClr w14:val="tx1"/>
            </w14:solidFill>
          </w14:textFill>
        </w:rPr>
      </w:pPr>
    </w:p>
    <w:p>
      <w:pPr>
        <w:spacing w:line="360" w:lineRule="auto"/>
        <w:rPr>
          <w:rFonts w:ascii="仿宋" w:hAnsi="仿宋" w:eastAsia="仿宋" w:cs="仿宋"/>
          <w:color w:val="000000" w:themeColor="text1"/>
          <w:sz w:val="28"/>
          <w:szCs w:val="28"/>
          <w:highlight w:val="none"/>
          <w14:textFill>
            <w14:solidFill>
              <w14:schemeClr w14:val="tx1"/>
            </w14:solidFill>
          </w14:textFill>
        </w:rPr>
      </w:pPr>
    </w:p>
    <w:p>
      <w:pPr>
        <w:spacing w:line="360" w:lineRule="auto"/>
        <w:rPr>
          <w:rFonts w:ascii="仿宋" w:hAnsi="仿宋" w:eastAsia="仿宋" w:cs="仿宋"/>
          <w:color w:val="000000" w:themeColor="text1"/>
          <w:sz w:val="28"/>
          <w:szCs w:val="28"/>
          <w:highlight w:val="none"/>
          <w14:textFill>
            <w14:solidFill>
              <w14:schemeClr w14:val="tx1"/>
            </w14:solidFill>
          </w14:textFill>
        </w:rPr>
      </w:pPr>
    </w:p>
    <w:p>
      <w:pPr>
        <w:spacing w:line="360" w:lineRule="auto"/>
        <w:rPr>
          <w:rFonts w:ascii="仿宋" w:hAnsi="仿宋" w:eastAsia="仿宋" w:cs="仿宋"/>
          <w:color w:val="000000" w:themeColor="text1"/>
          <w:sz w:val="28"/>
          <w:szCs w:val="28"/>
          <w:highlight w:val="none"/>
          <w14:textFill>
            <w14:solidFill>
              <w14:schemeClr w14:val="tx1"/>
            </w14:solidFill>
          </w14:textFill>
        </w:rPr>
      </w:pPr>
    </w:p>
    <w:p>
      <w:pPr>
        <w:spacing w:line="360" w:lineRule="auto"/>
        <w:jc w:val="center"/>
        <w:outlineLvl w:val="0"/>
        <w:rPr>
          <w:rFonts w:ascii="仿宋" w:hAnsi="仿宋" w:eastAsia="仿宋" w:cs="仿宋"/>
          <w:color w:val="000000" w:themeColor="text1"/>
          <w:sz w:val="28"/>
          <w:szCs w:val="28"/>
          <w:highlight w:val="none"/>
          <w:u w:val="single" w:color="000000"/>
          <w14:textFill>
            <w14:solidFill>
              <w14:schemeClr w14:val="tx1"/>
            </w14:solidFill>
          </w14:textFill>
        </w:rPr>
      </w:pPr>
      <w:bookmarkStart w:id="399" w:name="_Toc2479"/>
      <w:r>
        <w:rPr>
          <w:rFonts w:hint="eastAsia" w:ascii="仿宋" w:hAnsi="仿宋" w:eastAsia="仿宋" w:cs="仿宋"/>
          <w:color w:val="000000" w:themeColor="text1"/>
          <w:sz w:val="28"/>
          <w:szCs w:val="28"/>
          <w:highlight w:val="none"/>
          <w14:textFill>
            <w14:solidFill>
              <w14:schemeClr w14:val="tx1"/>
            </w14:solidFill>
          </w14:textFill>
        </w:rPr>
        <w:t>委托人：</w:t>
      </w:r>
      <w:bookmarkEnd w:id="399"/>
    </w:p>
    <w:p>
      <w:pPr>
        <w:spacing w:line="360" w:lineRule="auto"/>
        <w:jc w:val="center"/>
        <w:outlineLvl w:val="0"/>
        <w:rPr>
          <w:rFonts w:ascii="仿宋" w:hAnsi="仿宋" w:eastAsia="仿宋" w:cs="仿宋"/>
          <w:color w:val="000000" w:themeColor="text1"/>
          <w:sz w:val="28"/>
          <w:szCs w:val="28"/>
          <w:highlight w:val="none"/>
          <w14:textFill>
            <w14:solidFill>
              <w14:schemeClr w14:val="tx1"/>
            </w14:solidFill>
          </w14:textFill>
        </w:rPr>
      </w:pPr>
      <w:bookmarkStart w:id="400" w:name="_Toc13544"/>
      <w:r>
        <w:rPr>
          <w:rFonts w:hint="eastAsia" w:ascii="仿宋" w:hAnsi="仿宋" w:eastAsia="仿宋" w:cs="仿宋"/>
          <w:color w:val="000000" w:themeColor="text1"/>
          <w:sz w:val="28"/>
          <w:szCs w:val="28"/>
          <w:highlight w:val="none"/>
          <w14:textFill>
            <w14:solidFill>
              <w14:schemeClr w14:val="tx1"/>
            </w14:solidFill>
          </w14:textFill>
        </w:rPr>
        <w:t>受托人：</w:t>
      </w:r>
      <w:bookmarkEnd w:id="400"/>
    </w:p>
    <w:p>
      <w:pPr>
        <w:spacing w:after="200" w:line="360" w:lineRule="auto"/>
        <w:jc w:val="center"/>
        <w:outlineLvl w:val="1"/>
        <w:rPr>
          <w:rFonts w:ascii="仿宋" w:hAnsi="仿宋" w:eastAsia="仿宋" w:cs="仿宋"/>
          <w:color w:val="000000" w:themeColor="text1"/>
          <w:sz w:val="28"/>
          <w:szCs w:val="28"/>
          <w:highlight w:val="none"/>
          <w14:textFill>
            <w14:solidFill>
              <w14:schemeClr w14:val="tx1"/>
            </w14:solidFill>
          </w14:textFill>
        </w:rPr>
      </w:pPr>
      <w:bookmarkStart w:id="401" w:name="_Toc29773"/>
      <w:r>
        <w:rPr>
          <w:rFonts w:hint="eastAsia" w:ascii="仿宋" w:hAnsi="仿宋" w:eastAsia="仿宋" w:cs="仿宋"/>
          <w:color w:val="000000" w:themeColor="text1"/>
          <w:sz w:val="28"/>
          <w:szCs w:val="28"/>
          <w:highlight w:val="none"/>
          <w14:textFill>
            <w14:solidFill>
              <w14:schemeClr w14:val="tx1"/>
            </w14:solidFill>
          </w14:textFill>
        </w:rPr>
        <w:t>年   月</w:t>
      </w:r>
      <w:bookmarkEnd w:id="401"/>
    </w:p>
    <w:p>
      <w:pPr>
        <w:spacing w:after="534"/>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32" w:lineRule="auto"/>
        <w:jc w:val="center"/>
        <w:rPr>
          <w:rFonts w:ascii="仿宋" w:hAnsi="仿宋" w:eastAsia="仿宋" w:cs="仿宋"/>
          <w:color w:val="000000" w:themeColor="text1"/>
          <w:sz w:val="24"/>
          <w:highlight w:val="none"/>
          <w14:textFill>
            <w14:solidFill>
              <w14:schemeClr w14:val="tx1"/>
            </w14:solidFill>
          </w14:textFill>
        </w:rPr>
        <w:sectPr>
          <w:footnotePr>
            <w:numRestart w:val="eachPage"/>
          </w:footnotePr>
          <w:pgSz w:w="11910" w:h="16845"/>
          <w:pgMar w:top="1417" w:right="1247" w:bottom="1417" w:left="1247" w:header="720" w:footer="720" w:gutter="0"/>
          <w:cols w:space="720" w:num="1"/>
        </w:sectPr>
      </w:pPr>
    </w:p>
    <w:p>
      <w:pPr>
        <w:widowControl/>
        <w:adjustRightInd/>
        <w:spacing w:line="332" w:lineRule="auto"/>
        <w:jc w:val="center"/>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S211钱塘段（江东大道至红十五线）公路工程全过程造价咨询服务项目</w:t>
      </w:r>
      <w:bookmarkStart w:id="402" w:name="_Toc27433"/>
      <w:r>
        <w:rPr>
          <w:rFonts w:hint="eastAsia" w:ascii="仿宋" w:hAnsi="仿宋" w:eastAsia="仿宋" w:cs="仿宋"/>
          <w:color w:val="000000" w:themeColor="text1"/>
          <w:sz w:val="24"/>
          <w:highlight w:val="none"/>
          <w14:textFill>
            <w14:solidFill>
              <w14:schemeClr w14:val="tx1"/>
            </w14:solidFill>
          </w14:textFill>
        </w:rPr>
        <w:t>合同</w:t>
      </w:r>
      <w:bookmarkEnd w:id="402"/>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49"/>
        <w:ind w:left="2959"/>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3" w:line="435" w:lineRule="auto"/>
        <w:ind w:left="106" w:right="301" w:firstLine="5"/>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委托人（以下简称甲方）：                                  </w:t>
      </w:r>
      <w:r>
        <w:rPr>
          <w:rFonts w:hint="eastAsia" w:ascii="仿宋" w:hAnsi="仿宋" w:eastAsia="仿宋" w:cs="仿宋"/>
          <w:b/>
          <w:color w:val="000000" w:themeColor="text1"/>
          <w:sz w:val="24"/>
          <w:highlight w:val="none"/>
          <w14:textFill>
            <w14:solidFill>
              <w14:schemeClr w14:val="tx1"/>
            </w14:solidFill>
          </w14:textFill>
        </w:rPr>
        <w:t xml:space="preserve"> </w:t>
      </w:r>
    </w:p>
    <w:p>
      <w:pPr>
        <w:spacing w:after="3" w:line="435" w:lineRule="auto"/>
        <w:ind w:left="106" w:right="301" w:firstLine="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受托人（以下简称乙方）：                                   </w:t>
      </w:r>
    </w:p>
    <w:p>
      <w:pPr>
        <w:spacing w:after="3" w:line="373" w:lineRule="auto"/>
        <w:ind w:left="106" w:right="857"/>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3" w:line="342" w:lineRule="auto"/>
        <w:ind w:right="301"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经过公开招投标，双方达成如下合同一、甲方委托乙方为以下建设项目实施全过程造价咨询服务： </w:t>
      </w:r>
    </w:p>
    <w:p>
      <w:pPr>
        <w:spacing w:after="120"/>
        <w:ind w:firstLine="240" w:firstLineChars="100"/>
        <w:outlineLvl w:val="1"/>
        <w:rPr>
          <w:rFonts w:ascii="仿宋" w:hAnsi="仿宋" w:eastAsia="仿宋" w:cs="仿宋"/>
          <w:color w:val="000000" w:themeColor="text1"/>
          <w:sz w:val="24"/>
          <w:highlight w:val="none"/>
          <w14:textFill>
            <w14:solidFill>
              <w14:schemeClr w14:val="tx1"/>
            </w14:solidFill>
          </w14:textFill>
        </w:rPr>
      </w:pPr>
      <w:bookmarkStart w:id="403" w:name="_Toc13898"/>
      <w:r>
        <w:rPr>
          <w:rFonts w:hint="eastAsia" w:ascii="仿宋" w:hAnsi="仿宋" w:eastAsia="仿宋" w:cs="仿宋"/>
          <w:color w:val="000000" w:themeColor="text1"/>
          <w:sz w:val="24"/>
          <w:highlight w:val="none"/>
          <w14:textFill>
            <w14:solidFill>
              <w14:schemeClr w14:val="tx1"/>
            </w14:solidFill>
          </w14:textFill>
        </w:rPr>
        <w:t>1.1项目名称：</w:t>
      </w:r>
      <w:bookmarkEnd w:id="403"/>
    </w:p>
    <w:p>
      <w:pPr>
        <w:spacing w:after="120"/>
        <w:ind w:right="301" w:firstLine="240" w:firstLineChars="100"/>
        <w:outlineLvl w:val="1"/>
        <w:rPr>
          <w:rFonts w:ascii="仿宋" w:hAnsi="仿宋" w:eastAsia="仿宋" w:cs="仿宋"/>
          <w:color w:val="000000" w:themeColor="text1"/>
          <w:sz w:val="24"/>
          <w:highlight w:val="none"/>
          <w14:textFill>
            <w14:solidFill>
              <w14:schemeClr w14:val="tx1"/>
            </w14:solidFill>
          </w14:textFill>
        </w:rPr>
      </w:pPr>
      <w:bookmarkStart w:id="404" w:name="_Toc18689"/>
      <w:r>
        <w:rPr>
          <w:rFonts w:hint="eastAsia" w:ascii="仿宋" w:hAnsi="仿宋" w:eastAsia="仿宋" w:cs="仿宋"/>
          <w:color w:val="000000" w:themeColor="text1"/>
          <w:sz w:val="24"/>
          <w:highlight w:val="none"/>
          <w14:textFill>
            <w14:solidFill>
              <w14:schemeClr w14:val="tx1"/>
            </w14:solidFill>
          </w14:textFill>
        </w:rPr>
        <w:t>1.2服务类别：</w:t>
      </w:r>
      <w:bookmarkEnd w:id="404"/>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35"/>
        <w:ind w:right="301" w:firstLine="240" w:firstLineChars="100"/>
        <w:outlineLvl w:val="1"/>
        <w:rPr>
          <w:rFonts w:ascii="仿宋" w:hAnsi="仿宋" w:eastAsia="仿宋" w:cs="仿宋"/>
          <w:color w:val="000000" w:themeColor="text1"/>
          <w:sz w:val="24"/>
          <w:highlight w:val="none"/>
          <w14:textFill>
            <w14:solidFill>
              <w14:schemeClr w14:val="tx1"/>
            </w14:solidFill>
          </w14:textFill>
        </w:rPr>
      </w:pPr>
      <w:bookmarkStart w:id="405" w:name="_Toc20027"/>
      <w:r>
        <w:rPr>
          <w:rFonts w:hint="eastAsia" w:ascii="仿宋" w:hAnsi="仿宋" w:eastAsia="仿宋" w:cs="仿宋"/>
          <w:color w:val="000000" w:themeColor="text1"/>
          <w:sz w:val="24"/>
          <w:highlight w:val="none"/>
          <w14:textFill>
            <w14:solidFill>
              <w14:schemeClr w14:val="tx1"/>
            </w14:solidFill>
          </w14:textFill>
        </w:rPr>
        <w:t>1.3工程地址：</w:t>
      </w:r>
      <w:bookmarkEnd w:id="405"/>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20"/>
        <w:ind w:firstLine="240" w:firstLineChars="100"/>
        <w:outlineLvl w:val="1"/>
        <w:rPr>
          <w:rFonts w:ascii="仿宋" w:hAnsi="仿宋" w:eastAsia="仿宋" w:cs="仿宋"/>
          <w:color w:val="000000" w:themeColor="text1"/>
          <w:sz w:val="24"/>
          <w:highlight w:val="none"/>
          <w14:textFill>
            <w14:solidFill>
              <w14:schemeClr w14:val="tx1"/>
            </w14:solidFill>
          </w14:textFill>
        </w:rPr>
      </w:pPr>
      <w:bookmarkStart w:id="406" w:name="_Toc31070"/>
      <w:r>
        <w:rPr>
          <w:rFonts w:hint="eastAsia" w:ascii="仿宋" w:hAnsi="仿宋" w:eastAsia="仿宋" w:cs="仿宋"/>
          <w:color w:val="000000" w:themeColor="text1"/>
          <w:sz w:val="24"/>
          <w:highlight w:val="none"/>
          <w14:textFill>
            <w14:solidFill>
              <w14:schemeClr w14:val="tx1"/>
            </w14:solidFill>
          </w14:textFill>
        </w:rPr>
        <w:t>1.4投资额：</w:t>
      </w:r>
      <w:bookmarkEnd w:id="406"/>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20"/>
        <w:ind w:right="301" w:firstLine="240" w:firstLineChars="100"/>
        <w:outlineLvl w:val="1"/>
        <w:rPr>
          <w:rFonts w:ascii="仿宋" w:hAnsi="仿宋" w:eastAsia="仿宋" w:cs="仿宋"/>
          <w:color w:val="000000" w:themeColor="text1"/>
          <w:sz w:val="24"/>
          <w:highlight w:val="none"/>
          <w14:textFill>
            <w14:solidFill>
              <w14:schemeClr w14:val="tx1"/>
            </w14:solidFill>
          </w14:textFill>
        </w:rPr>
      </w:pPr>
      <w:bookmarkStart w:id="407" w:name="_Toc11955"/>
      <w:r>
        <w:rPr>
          <w:rFonts w:hint="eastAsia" w:ascii="仿宋" w:hAnsi="仿宋" w:eastAsia="仿宋" w:cs="仿宋"/>
          <w:color w:val="000000" w:themeColor="text1"/>
          <w:sz w:val="24"/>
          <w:highlight w:val="none"/>
          <w14:textFill>
            <w14:solidFill>
              <w14:schemeClr w14:val="tx1"/>
            </w14:solidFill>
          </w14:textFill>
        </w:rPr>
        <w:t>1.5建设单位：</w:t>
      </w:r>
    </w:p>
    <w:p>
      <w:pPr>
        <w:spacing w:after="120"/>
        <w:ind w:right="301" w:firstLine="240" w:firstLineChars="100"/>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1.6业主单位</w:t>
      </w:r>
      <w:bookmarkEnd w:id="407"/>
      <w:r>
        <w:rPr>
          <w:rFonts w:hint="eastAsia" w:ascii="仿宋" w:hAnsi="仿宋" w:eastAsia="仿宋" w:cs="仿宋"/>
          <w:color w:val="000000" w:themeColor="text1"/>
          <w:sz w:val="24"/>
          <w:highlight w:val="none"/>
          <w14:textFill>
            <w14:solidFill>
              <w14:schemeClr w14:val="tx1"/>
            </w14:solidFill>
          </w14:textFill>
        </w:rPr>
        <w:t xml:space="preserve">（委托人）： </w:t>
      </w:r>
    </w:p>
    <w:p>
      <w:pPr>
        <w:spacing w:after="135"/>
        <w:ind w:right="301" w:firstLine="240" w:firstLineChars="100"/>
        <w:outlineLvl w:val="1"/>
        <w:rPr>
          <w:rFonts w:ascii="仿宋" w:hAnsi="仿宋" w:eastAsia="仿宋" w:cs="仿宋"/>
          <w:color w:val="000000" w:themeColor="text1"/>
          <w:sz w:val="24"/>
          <w:highlight w:val="none"/>
          <w14:textFill>
            <w14:solidFill>
              <w14:schemeClr w14:val="tx1"/>
            </w14:solidFill>
          </w14:textFill>
        </w:rPr>
      </w:pPr>
      <w:bookmarkStart w:id="408" w:name="_Toc29924"/>
      <w:r>
        <w:rPr>
          <w:rFonts w:hint="eastAsia" w:ascii="仿宋" w:hAnsi="仿宋" w:eastAsia="仿宋" w:cs="仿宋"/>
          <w:color w:val="000000" w:themeColor="text1"/>
          <w:sz w:val="24"/>
          <w:highlight w:val="none"/>
          <w14:textFill>
            <w14:solidFill>
              <w14:schemeClr w14:val="tx1"/>
            </w14:solidFill>
          </w14:textFill>
        </w:rPr>
        <w:t>1.6乙方项目负责人：</w:t>
      </w:r>
      <w:bookmarkEnd w:id="408"/>
      <w:r>
        <w:rPr>
          <w:rFonts w:hint="eastAsia" w:ascii="仿宋" w:hAnsi="仿宋" w:eastAsia="仿宋" w:cs="仿宋"/>
          <w:color w:val="000000" w:themeColor="text1"/>
          <w:sz w:val="24"/>
          <w:highlight w:val="none"/>
          <w14:textFill>
            <w14:solidFill>
              <w14:schemeClr w14:val="tx1"/>
            </w14:solidFill>
          </w14:textFill>
        </w:rPr>
        <w:t xml:space="preserve"> </w:t>
      </w:r>
    </w:p>
    <w:p>
      <w:pPr>
        <w:spacing w:after="3" w:line="341" w:lineRule="auto"/>
        <w:ind w:right="1179" w:firstLine="240" w:firstLineChars="100"/>
        <w:outlineLvl w:val="1"/>
        <w:rPr>
          <w:rFonts w:ascii="仿宋" w:hAnsi="仿宋" w:eastAsia="仿宋" w:cs="仿宋"/>
          <w:color w:val="000000" w:themeColor="text1"/>
          <w:sz w:val="24"/>
          <w:highlight w:val="none"/>
          <w14:textFill>
            <w14:solidFill>
              <w14:schemeClr w14:val="tx1"/>
            </w14:solidFill>
          </w14:textFill>
        </w:rPr>
      </w:pPr>
      <w:bookmarkStart w:id="409" w:name="_Toc4208"/>
      <w:r>
        <w:rPr>
          <w:rFonts w:hint="eastAsia" w:ascii="仿宋" w:hAnsi="仿宋" w:eastAsia="仿宋" w:cs="仿宋"/>
          <w:color w:val="000000" w:themeColor="text1"/>
          <w:sz w:val="24"/>
          <w:highlight w:val="none"/>
          <w14:textFill>
            <w14:solidFill>
              <w14:schemeClr w14:val="tx1"/>
            </w14:solidFill>
          </w14:textFill>
        </w:rPr>
        <w:t>1.7乙方财务主审：</w:t>
      </w:r>
      <w:bookmarkEnd w:id="409"/>
    </w:p>
    <w:p>
      <w:pPr>
        <w:spacing w:after="3" w:line="341" w:lineRule="auto"/>
        <w:ind w:right="1179"/>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二、下列文件均为本合同的组成部分： </w:t>
      </w:r>
    </w:p>
    <w:p>
      <w:pPr>
        <w:spacing w:after="3" w:line="352" w:lineRule="auto"/>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2.1组成合同的各项文件应互相解释，互为说明。解释合同文件的优先顺序如下： </w:t>
      </w:r>
    </w:p>
    <w:p>
      <w:pPr>
        <w:spacing w:after="120"/>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（1）合同协议书及各种合同附件(含合同谈判过程中的澄清文件和补充资料)； </w:t>
      </w:r>
    </w:p>
    <w:p>
      <w:pPr>
        <w:spacing w:after="135"/>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（2）中标通知书； </w:t>
      </w:r>
    </w:p>
    <w:p>
      <w:pPr>
        <w:spacing w:after="3" w:line="342" w:lineRule="auto"/>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（3）根据招标文件投标人须知7.1条规定，乙方投标文件中列为本项目合同附件的文件； </w:t>
      </w:r>
    </w:p>
    <w:p>
      <w:pPr>
        <w:spacing w:after="135"/>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（4）合同执行中共同签署的补充与修正文件； </w:t>
      </w:r>
    </w:p>
    <w:p>
      <w:pPr>
        <w:spacing w:after="3" w:line="341" w:lineRule="auto"/>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三、乙方同意按照本合同的规定，承担本合同基本条款中议定范围内的建设项目全过程的造价咨询服务。主要内容为： </w:t>
      </w:r>
    </w:p>
    <w:p>
      <w:pPr>
        <w:spacing w:after="135"/>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（1）工程量清单及预算、招标控制价的审核</w:t>
      </w:r>
    </w:p>
    <w:p>
      <w:pPr>
        <w:spacing w:after="135"/>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（2）建设前期工程跟踪审计及财务跟踪审计； </w:t>
      </w:r>
    </w:p>
    <w:p>
      <w:pPr>
        <w:spacing w:after="120"/>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（3）建设期工程跟踪审计及财务跟踪审计；  </w:t>
      </w:r>
    </w:p>
    <w:p>
      <w:pPr>
        <w:spacing w:after="120"/>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（4）竣工工程结算审核（或审价）； </w:t>
      </w:r>
    </w:p>
    <w:p>
      <w:pPr>
        <w:spacing w:after="135"/>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（5）协助和指导建设单位编制财务决算报告； </w:t>
      </w:r>
    </w:p>
    <w:p>
      <w:pPr>
        <w:spacing w:after="135"/>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（6）配合协助项目建设单位做好竣工决算审批工作； </w:t>
      </w:r>
    </w:p>
    <w:p>
      <w:pPr>
        <w:spacing w:after="135"/>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（7）竣工财务决算审计； </w:t>
      </w:r>
    </w:p>
    <w:p>
      <w:pPr>
        <w:spacing w:after="135"/>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（8）业主认为需要审计的其他内容。 </w:t>
      </w:r>
    </w:p>
    <w:p>
      <w:pPr>
        <w:spacing w:after="135"/>
        <w:ind w:right="301"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以上各项造价咨询及审计均含管线迁改工程</w:t>
      </w:r>
    </w:p>
    <w:p>
      <w:pPr>
        <w:spacing w:after="3" w:line="341" w:lineRule="auto"/>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四、甲方同意按照本合同规定的期限、方式向乙方支付酬金。 </w:t>
      </w:r>
    </w:p>
    <w:p>
      <w:pPr>
        <w:spacing w:after="3" w:line="341" w:lineRule="auto"/>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五、本合同的建设项目全过程造价咨询业务自本合同签订之日起开始实施，至项目竣工决算完成并通过决算批复为止。 </w:t>
      </w:r>
    </w:p>
    <w:p>
      <w:pPr>
        <w:spacing w:after="3" w:line="341" w:lineRule="auto"/>
        <w:ind w:right="30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六、本合同一式陆份，具有同等法律效力，双方各执叁份。 </w:t>
      </w:r>
    </w:p>
    <w:p>
      <w:pPr>
        <w:spacing w:after="120"/>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35"/>
        <w:ind w:left="106" w:right="301" w:firstLine="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甲方：（签章）                    乙方：（签章） </w:t>
      </w:r>
    </w:p>
    <w:p>
      <w:pPr>
        <w:spacing w:after="120"/>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20"/>
        <w:ind w:left="106" w:right="301" w:firstLine="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                       法定代表人 </w:t>
      </w:r>
    </w:p>
    <w:p>
      <w:pPr>
        <w:spacing w:after="3" w:line="347" w:lineRule="auto"/>
        <w:ind w:left="106" w:right="2149" w:firstLine="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（或委托代理人）：                （或委托代理人）：地   址：                        地    址：邮政编码：                       邮政编码：电    话：                       电    话：传    真：                       传    真： </w:t>
      </w:r>
    </w:p>
    <w:p>
      <w:pPr>
        <w:spacing w:after="3"/>
        <w:ind w:left="106" w:right="301" w:firstLine="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年    月  日 </w:t>
      </w:r>
      <w:r>
        <w:rPr>
          <w:rFonts w:hint="eastAsia" w:ascii="仿宋" w:hAnsi="仿宋" w:eastAsia="仿宋" w:cs="仿宋"/>
          <w:color w:val="000000" w:themeColor="text1"/>
          <w:sz w:val="24"/>
          <w:highlight w:val="none"/>
          <w14:textFill>
            <w14:solidFill>
              <w14:schemeClr w14:val="tx1"/>
            </w14:solidFill>
          </w14:textFill>
        </w:rPr>
        <w:br w:type="page"/>
      </w:r>
    </w:p>
    <w:p>
      <w:pPr>
        <w:spacing w:after="270"/>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 w:line="383" w:lineRule="auto"/>
        <w:ind w:left="3245" w:hanging="3124"/>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合同基本条款</w:t>
      </w: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第一条  本合同适用的法律、法规及工程造价计价办法和规定：《中华人民共和国民法典》、《中华人民共和国招标投标法》、交通部令2007年第4号《交通建设项目委托审计管理办法》、《浙江省交通运输厅、浙江省审计厅关于全面推行省重点交通建设项目跟踪审计公开招标的通知》（浙交【2011】27号文）、《会计师事务所从事基本建设工程预算、结算、决算审核暂行办法》（财政部 财协字[1999]103 号文）、浙交[2009]208号《关于抓紧抓好高速公路等省重点交通建设项目全过程跟踪审计合同报备等各项推进落实工作的通知》等。经过双方协商一致，签订本合同。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第二条  建设工程全过程造价咨询业务范围</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一、项目全过程造价咨询服务的宗旨和内容概述：</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项目全过程造价咨询的宗旨为通过乙方的全过程造价咨询服务，切实加强本项目的建设管理，坚决杜绝建设过程中的违纪违规现象的发生，规范项目基本建设程序，确保项目建设资金的安全完整，节约项目工程投资，促进项目党风廉政建设。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2．全过程造价咨询的内容为：</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（1）工程量清单及预算、招标控制价的审核</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（2）建设前期工程跟踪审计及财务跟踪审计； </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（3）建设期工程跟踪审计及财务跟踪审计；  </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（4）竣工工程结算审核（或审价）； </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（5）协助和指导建设单位编制财务决算报告； </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（6）配合协助项目建设单位做好竣工决算审批工作； </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（7）竣工财务决算审计； </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（8）业主认为需要审计的其他内容。</w:t>
      </w:r>
    </w:p>
    <w:p>
      <w:pPr>
        <w:pStyle w:val="2"/>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以上各项造价咨询及审计均含管线迁改工程</w:t>
      </w:r>
    </w:p>
    <w:p>
      <w:pPr>
        <w:pStyle w:val="24"/>
        <w:ind w:firstLine="480" w:firstLineChars="200"/>
        <w:outlineLvl w:val="0"/>
        <w:rPr>
          <w:rFonts w:ascii="仿宋" w:hAnsi="仿宋" w:eastAsia="仿宋" w:cs="仿宋"/>
          <w:color w:val="000000" w:themeColor="text1"/>
          <w:highlight w:val="none"/>
          <w14:textFill>
            <w14:solidFill>
              <w14:schemeClr w14:val="tx1"/>
            </w14:solidFill>
          </w14:textFill>
        </w:rPr>
      </w:pPr>
      <w:bookmarkStart w:id="410" w:name="_Toc20833"/>
      <w:r>
        <w:rPr>
          <w:rFonts w:hint="eastAsia" w:ascii="仿宋" w:hAnsi="仿宋" w:eastAsia="仿宋" w:cs="仿宋"/>
          <w:color w:val="000000" w:themeColor="text1"/>
          <w:highlight w:val="none"/>
          <w14:textFill>
            <w14:solidFill>
              <w14:schemeClr w14:val="tx1"/>
            </w14:solidFill>
          </w14:textFill>
        </w:rPr>
        <w:t>二、项目全过程造价咨询工作的具体内容如下：</w:t>
      </w:r>
      <w:bookmarkEnd w:id="410"/>
      <w:r>
        <w:rPr>
          <w:rFonts w:hint="eastAsia" w:ascii="仿宋" w:hAnsi="仿宋" w:eastAsia="仿宋" w:cs="仿宋"/>
          <w:color w:val="000000" w:themeColor="text1"/>
          <w:highlight w:val="none"/>
          <w14:textFill>
            <w14:solidFill>
              <w14:schemeClr w14:val="tx1"/>
            </w14:solidFill>
          </w14:textFill>
        </w:rPr>
        <w:t xml:space="preserve">  </w:t>
      </w:r>
    </w:p>
    <w:p>
      <w:pPr>
        <w:spacing w:line="360" w:lineRule="auto"/>
        <w:ind w:firstLine="480" w:firstLineChars="200"/>
        <w:outlineLvl w:val="0"/>
        <w:rPr>
          <w:rFonts w:ascii="仿宋" w:hAnsi="仿宋" w:eastAsia="仿宋" w:cs="仿宋"/>
          <w:color w:val="000000" w:themeColor="text1"/>
          <w:sz w:val="24"/>
          <w:highlight w:val="none"/>
          <w14:textFill>
            <w14:solidFill>
              <w14:schemeClr w14:val="tx1"/>
            </w14:solidFill>
          </w14:textFill>
        </w:rPr>
      </w:pPr>
      <w:bookmarkStart w:id="411" w:name="_Toc31233"/>
      <w:r>
        <w:rPr>
          <w:rFonts w:hint="eastAsia" w:ascii="仿宋" w:hAnsi="仿宋" w:eastAsia="仿宋" w:cs="仿宋"/>
          <w:color w:val="000000" w:themeColor="text1"/>
          <w:sz w:val="24"/>
          <w:highlight w:val="none"/>
          <w14:textFill>
            <w14:solidFill>
              <w14:schemeClr w14:val="tx1"/>
            </w14:solidFill>
          </w14:textFill>
        </w:rPr>
        <w:t>（一）工程量清单及预算、招标控制价的审核。</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审核并且确认本项目的的工程量清单、预算、控制价的准确性，尤其是材料设备的名称、规格、数量等内容，负责将招标控制价报送主管部门审核，招标上限价应按分项预算严格控制，对超过预算项说明原因，并报业主单位批准。</w:t>
      </w:r>
    </w:p>
    <w:p>
      <w:pPr>
        <w:spacing w:line="360" w:lineRule="auto"/>
        <w:ind w:firstLine="480" w:firstLineChars="200"/>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2.本项目工作中其他需要工程量清单及预算、招标控制价的审核的内容。</w:t>
      </w:r>
    </w:p>
    <w:p>
      <w:pPr>
        <w:spacing w:line="360" w:lineRule="auto"/>
        <w:ind w:firstLine="480" w:firstLineChars="200"/>
        <w:outlineLvl w:val="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（二）建设前期工程审计</w:t>
      </w:r>
      <w:bookmarkEnd w:id="411"/>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1.本项目的立项、初步设计、概算、规划、土地征迁和环保等文件的审查批准情况，施工图设计（含预算）和初步设计标准的情况。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2.本项目勘察、设计、施工、监理等事项的招投标和合同签订、管理、执行情况。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 本项目征地拆迁费用咨询服务工作（含征迁需要的审价工作，如永久性用电等）和征地拆迁费的支出情况。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4.本项目前期工作中其他需要审计的内容。 </w:t>
      </w:r>
    </w:p>
    <w:p>
      <w:pPr>
        <w:spacing w:line="360" w:lineRule="auto"/>
        <w:ind w:firstLine="480" w:firstLineChars="200"/>
        <w:outlineLvl w:val="1"/>
        <w:rPr>
          <w:rFonts w:ascii="仿宋" w:hAnsi="仿宋" w:eastAsia="仿宋" w:cs="仿宋"/>
          <w:color w:val="000000" w:themeColor="text1"/>
          <w:sz w:val="24"/>
          <w:highlight w:val="none"/>
          <w14:textFill>
            <w14:solidFill>
              <w14:schemeClr w14:val="tx1"/>
            </w14:solidFill>
          </w14:textFill>
        </w:rPr>
      </w:pPr>
      <w:bookmarkStart w:id="412" w:name="_Toc2869"/>
      <w:r>
        <w:rPr>
          <w:rFonts w:hint="eastAsia" w:ascii="仿宋" w:hAnsi="仿宋" w:eastAsia="仿宋" w:cs="仿宋"/>
          <w:color w:val="000000" w:themeColor="text1"/>
          <w:sz w:val="24"/>
          <w:highlight w:val="none"/>
          <w14:textFill>
            <w14:solidFill>
              <w14:schemeClr w14:val="tx1"/>
            </w14:solidFill>
          </w14:textFill>
        </w:rPr>
        <w:t>（三）建设期间审计</w:t>
      </w:r>
      <w:bookmarkEnd w:id="412"/>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1.本项目概算调整、设计变更、建设内容变更、0号变更的审查批准情况，项目施工、监理、设计、施工监控、检测等各环节中执行国家有关法律法规的情况。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2.本项目执行公路建设“四项制度”的情况。项目资本金按工程进度及时到位的情况。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3.本项目建设资金使用的合规性情况，有无转移、侵占、挪用建设资金和损失浪费的情况。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4.本项目工程价款计量支付的真实性、合法性情况，合同款项支付、工程索赔、材料价差核定的合规性情况，施工单位有无违规转（分）包情况。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5.本项目设备、材料采购、验收、保管、使用的情况以及合规性、有效性的情况 。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6.本项目建设进度计划完成情况，项目投资完成额的真实性、准确性情况。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7.本项目建设成本的归集情况，基建收入来源和债权债务的真实</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性、合法性情况，税、费的及时、足额计缴情况，财务报表的真实性、准确性情况。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8.本项目建设期间工作中其他需要审计的内容（如0号变更的复核工作）。 </w:t>
      </w:r>
    </w:p>
    <w:p>
      <w:pPr>
        <w:spacing w:line="360" w:lineRule="auto"/>
        <w:ind w:firstLine="480" w:firstLineChars="200"/>
        <w:outlineLvl w:val="1"/>
        <w:rPr>
          <w:rFonts w:ascii="仿宋" w:hAnsi="仿宋" w:eastAsia="仿宋" w:cs="仿宋"/>
          <w:color w:val="000000" w:themeColor="text1"/>
          <w:sz w:val="24"/>
          <w:highlight w:val="none"/>
          <w14:textFill>
            <w14:solidFill>
              <w14:schemeClr w14:val="tx1"/>
            </w14:solidFill>
          </w14:textFill>
        </w:rPr>
      </w:pPr>
      <w:bookmarkStart w:id="413" w:name="_Toc3602"/>
      <w:r>
        <w:rPr>
          <w:rFonts w:hint="eastAsia" w:ascii="仿宋" w:hAnsi="仿宋" w:eastAsia="仿宋" w:cs="仿宋"/>
          <w:color w:val="000000" w:themeColor="text1"/>
          <w:sz w:val="24"/>
          <w:highlight w:val="none"/>
          <w14:textFill>
            <w14:solidFill>
              <w14:schemeClr w14:val="tx1"/>
            </w14:solidFill>
          </w14:textFill>
        </w:rPr>
        <w:t>（四）竣工决算审计</w:t>
      </w:r>
      <w:bookmarkEnd w:id="413"/>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按照《交通基本建设项目竣工决算报告编制办法》（交财发[2000]207号(2000年4月11日)，《公路工程决算编制办法》(交通运输部交公路发[2004]507号文)，及国家审计署《审计机关对国家建设项目竣工决算审计实施办法》等相关规定的要求审核本项目的竣工决算相关文件，主要内容涉及但不仅止于以下方面：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1.基本建设程序执行情况；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2.项目投资、初步设计及概（预）算执行情况；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3.建设资金来源、支出及节余等财务情况；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4.工程价款结算（决算）审核及工程合同执行情况；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5.交付使用资产情况；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6.收尾工程的未完工程量及所需投资情况；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7.竣工工程概况表、竣工财务决算表和说明书、交付使用财产总表及明细表等编报审核情况；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8.投资效益评审等有关情况。 </w:t>
      </w:r>
    </w:p>
    <w:p>
      <w:pPr>
        <w:spacing w:line="360" w:lineRule="auto"/>
        <w:ind w:firstLine="480" w:firstLineChars="200"/>
        <w:outlineLvl w:val="1"/>
        <w:rPr>
          <w:rFonts w:ascii="仿宋" w:hAnsi="仿宋" w:eastAsia="仿宋" w:cs="仿宋"/>
          <w:color w:val="000000" w:themeColor="text1"/>
          <w:sz w:val="24"/>
          <w:highlight w:val="none"/>
          <w14:textFill>
            <w14:solidFill>
              <w14:schemeClr w14:val="tx1"/>
            </w14:solidFill>
          </w14:textFill>
        </w:rPr>
      </w:pPr>
      <w:bookmarkStart w:id="414" w:name="_Toc6909"/>
      <w:r>
        <w:rPr>
          <w:rFonts w:hint="eastAsia" w:ascii="仿宋" w:hAnsi="仿宋" w:eastAsia="仿宋" w:cs="仿宋"/>
          <w:color w:val="000000" w:themeColor="text1"/>
          <w:sz w:val="24"/>
          <w:highlight w:val="none"/>
          <w14:textFill>
            <w14:solidFill>
              <w14:schemeClr w14:val="tx1"/>
            </w14:solidFill>
          </w14:textFill>
        </w:rPr>
        <w:t>（五）重点工作环节</w:t>
      </w:r>
      <w:bookmarkEnd w:id="414"/>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1.工程量清单及预算、招标控制价的审核；</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2.按合同规定的各阶段施工单位、监理单位和其他单位计量结算支付款审核；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3.工程施工过程中的设计变更和索赔等重大事项，以及隐蔽工程的审核；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4.工程结算最终计量支付的审核；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5.工程合同奖罚条款的监督执行和材料差价的核定；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6.征迁工作中征迁协议、款项支付、征迁面积以及征迁工作其他相关资料合法合规性审核；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7.工程管理中存在的问题及其咨询意见和建议。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第三条 项目全过程咨询服务期限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自本合同签订之日起开始实施，至整个项目竣工决算审计完成出具完整的审计报告并通过上级主管部门批复止。现场驻点时间至本工程交工验收为止。</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第四条  乙方的义务与责任</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1.向甲方提供与项目全过程造价咨询业务有关的资料，包括项目全过程造价咨询相关的资质证书及承担本项目业务的专业人员名单等，并按合同约定实施专业全过程造价咨询工作。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2.乙方应按照合同约定的工作内容和工作时间完成本合同规定的工程量清单及预算、招标控制价的审核以及各项审计咨询工作。具体完成时间要求如下： </w:t>
      </w:r>
    </w:p>
    <w:p>
      <w:pPr>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(1)工程量清单及预算、招标控制价的审核完成时间</w:t>
      </w:r>
    </w:p>
    <w:tbl>
      <w:tblPr>
        <w:tblStyle w:val="962"/>
        <w:tblW w:w="8861" w:type="dxa"/>
        <w:tblInd w:w="248" w:type="dxa"/>
        <w:tblLayout w:type="autofit"/>
        <w:tblCellMar>
          <w:top w:w="128" w:type="dxa"/>
          <w:left w:w="113" w:type="dxa"/>
          <w:bottom w:w="0" w:type="dxa"/>
          <w:right w:w="53" w:type="dxa"/>
        </w:tblCellMar>
      </w:tblPr>
      <w:tblGrid>
        <w:gridCol w:w="2208"/>
        <w:gridCol w:w="1667"/>
        <w:gridCol w:w="1832"/>
        <w:gridCol w:w="1757"/>
        <w:gridCol w:w="1397"/>
      </w:tblGrid>
      <w:tr>
        <w:tblPrEx>
          <w:tblCellMar>
            <w:top w:w="128" w:type="dxa"/>
            <w:left w:w="113" w:type="dxa"/>
            <w:bottom w:w="0" w:type="dxa"/>
            <w:right w:w="53" w:type="dxa"/>
          </w:tblCellMar>
        </w:tblPrEx>
        <w:trPr>
          <w:trHeight w:val="1156"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29"/>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预算造价</w:t>
            </w:r>
          </w:p>
        </w:tc>
        <w:tc>
          <w:tcPr>
            <w:tcW w:w="1667"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完成审核初稿时间 </w:t>
            </w:r>
          </w:p>
        </w:tc>
        <w:tc>
          <w:tcPr>
            <w:tcW w:w="1832"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施工单位、建设单位对初稿复核时间 </w:t>
            </w:r>
          </w:p>
        </w:tc>
        <w:tc>
          <w:tcPr>
            <w:tcW w:w="1757"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委托人组织完成核对时间 </w:t>
            </w:r>
          </w:p>
        </w:tc>
        <w:tc>
          <w:tcPr>
            <w:tcW w:w="139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出具正式审计报告时间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8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71"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3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7个日历天 </w:t>
            </w:r>
          </w:p>
        </w:tc>
        <w:tc>
          <w:tcPr>
            <w:tcW w:w="1832" w:type="dxa"/>
            <w:tcBorders>
              <w:top w:val="single" w:color="000000" w:sz="6" w:space="0"/>
              <w:left w:val="single" w:color="000000" w:sz="6" w:space="0"/>
              <w:bottom w:val="single" w:color="000000" w:sz="6" w:space="0"/>
              <w:right w:val="single" w:color="000000" w:sz="6" w:space="0"/>
            </w:tcBorders>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7个日历天 </w:t>
            </w:r>
          </w:p>
        </w:tc>
        <w:tc>
          <w:tcPr>
            <w:tcW w:w="1757" w:type="dxa"/>
            <w:tcBorders>
              <w:top w:val="single" w:color="000000" w:sz="6" w:space="0"/>
              <w:left w:val="single" w:color="000000" w:sz="6" w:space="0"/>
              <w:bottom w:val="single" w:color="000000" w:sz="6" w:space="0"/>
              <w:right w:val="single" w:color="000000" w:sz="6" w:space="0"/>
            </w:tcBorders>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7个日历天 </w:t>
            </w:r>
          </w:p>
        </w:tc>
        <w:tc>
          <w:tcPr>
            <w:tcW w:w="1396" w:type="dxa"/>
            <w:tcBorders>
              <w:top w:val="single" w:color="000000" w:sz="6" w:space="0"/>
              <w:left w:val="single" w:color="000000" w:sz="6" w:space="0"/>
              <w:bottom w:val="single" w:color="000000" w:sz="6" w:space="0"/>
              <w:right w:val="single" w:color="000000" w:sz="6" w:space="0"/>
            </w:tcBorders>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2000万以上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bl>
    <w:p>
      <w:pPr>
        <w:spacing w:line="360" w:lineRule="auto"/>
        <w:rPr>
          <w:rFonts w:ascii="仿宋" w:hAnsi="仿宋" w:eastAsia="仿宋" w:cs="仿宋"/>
          <w:color w:val="000000" w:themeColor="text1"/>
          <w:sz w:val="24"/>
          <w:highlight w:val="none"/>
          <w14:textFill>
            <w14:solidFill>
              <w14:schemeClr w14:val="tx1"/>
            </w14:solidFill>
          </w14:textFill>
        </w:rPr>
      </w:pP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(2)建设期工程（含建设前期）跟踪审计咨询意见完成时间 </w:t>
      </w:r>
    </w:p>
    <w:tbl>
      <w:tblPr>
        <w:tblStyle w:val="962"/>
        <w:tblW w:w="8891" w:type="dxa"/>
        <w:tblInd w:w="248" w:type="dxa"/>
        <w:tblLayout w:type="autofit"/>
        <w:tblCellMar>
          <w:top w:w="83" w:type="dxa"/>
          <w:left w:w="113" w:type="dxa"/>
          <w:bottom w:w="38" w:type="dxa"/>
          <w:right w:w="79" w:type="dxa"/>
        </w:tblCellMar>
      </w:tblPr>
      <w:tblGrid>
        <w:gridCol w:w="2703"/>
        <w:gridCol w:w="2839"/>
        <w:gridCol w:w="3349"/>
      </w:tblGrid>
      <w:tr>
        <w:tblPrEx>
          <w:tblCellMar>
            <w:top w:w="83" w:type="dxa"/>
            <w:left w:w="113" w:type="dxa"/>
            <w:bottom w:w="38" w:type="dxa"/>
            <w:right w:w="79" w:type="dxa"/>
          </w:tblCellMar>
        </w:tblPrEx>
        <w:trPr>
          <w:trHeight w:val="511"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跟踪审计内容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32"/>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成果完成时间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right="33"/>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说明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一般审计咨询内容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5个工作日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right="31"/>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可以通过快递方式递交成果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重要审计咨询内容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 </w:t>
            </w:r>
          </w:p>
        </w:tc>
      </w:tr>
      <w:tr>
        <w:tblPrEx>
          <w:tblCellMar>
            <w:top w:w="83" w:type="dxa"/>
            <w:left w:w="113" w:type="dxa"/>
            <w:bottom w:w="38" w:type="dxa"/>
            <w:right w:w="79" w:type="dxa"/>
          </w:tblCellMar>
        </w:tblPrEx>
        <w:trPr>
          <w:trHeight w:val="511"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中间计量支付审计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10个日历天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right="17"/>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一般工程变更审计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18"/>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5个工作日 </w:t>
            </w:r>
          </w:p>
        </w:tc>
        <w:tc>
          <w:tcPr>
            <w:tcW w:w="334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 </w:t>
            </w:r>
          </w:p>
        </w:tc>
      </w:tr>
      <w:tr>
        <w:tblPrEx>
          <w:tblCellMar>
            <w:top w:w="83" w:type="dxa"/>
            <w:left w:w="113" w:type="dxa"/>
            <w:bottom w:w="38" w:type="dxa"/>
            <w:right w:w="79" w:type="dxa"/>
          </w:tblCellMar>
        </w:tblPrEx>
        <w:trPr>
          <w:trHeight w:val="1291"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left="19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较大重大工程变更审计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right="33"/>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14个日历天 </w:t>
            </w:r>
          </w:p>
        </w:tc>
        <w:tc>
          <w:tcPr>
            <w:tcW w:w="3349"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必要时施工方、建设单位予以配合，需上级主管部门审批，特殊情况经与委托人协商可以延长到20个日历天 </w:t>
            </w:r>
          </w:p>
        </w:tc>
      </w:tr>
      <w:tr>
        <w:tblPrEx>
          <w:tblCellMar>
            <w:top w:w="83" w:type="dxa"/>
            <w:left w:w="113" w:type="dxa"/>
            <w:bottom w:w="38" w:type="dxa"/>
            <w:right w:w="79" w:type="dxa"/>
          </w:tblCellMar>
        </w:tblPrEx>
        <w:trPr>
          <w:trHeight w:val="510" w:hRule="atLeast"/>
        </w:trPr>
        <w:tc>
          <w:tcPr>
            <w:tcW w:w="2704"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出具阶段性审计咨询报告 </w:t>
            </w:r>
          </w:p>
        </w:tc>
        <w:tc>
          <w:tcPr>
            <w:tcW w:w="2839" w:type="dxa"/>
            <w:tcBorders>
              <w:top w:val="single" w:color="000000" w:sz="6" w:space="0"/>
              <w:left w:val="single" w:color="000000" w:sz="6" w:space="0"/>
              <w:bottom w:val="single" w:color="000000" w:sz="6" w:space="0"/>
              <w:right w:val="single" w:color="000000" w:sz="6" w:space="0"/>
            </w:tcBorders>
            <w:vAlign w:val="bottom"/>
          </w:tcPr>
          <w:p>
            <w:pPr>
              <w:ind w:left="9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阶段任务完成25个日历天 </w:t>
            </w:r>
          </w:p>
        </w:tc>
        <w:tc>
          <w:tcPr>
            <w:tcW w:w="3349" w:type="dxa"/>
            <w:tcBorders>
              <w:top w:val="single" w:color="000000" w:sz="6" w:space="0"/>
              <w:left w:val="single" w:color="000000" w:sz="6" w:space="0"/>
              <w:bottom w:val="single" w:color="000000" w:sz="6" w:space="0"/>
              <w:right w:val="single" w:color="000000" w:sz="6" w:space="0"/>
            </w:tcBorders>
            <w:vAlign w:val="center"/>
          </w:tcPr>
          <w:p>
            <w:pPr>
              <w:ind w:right="31"/>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相关方提供资料之日起算 </w:t>
            </w:r>
          </w:p>
        </w:tc>
      </w:tr>
    </w:tbl>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(3)建设期（含建设前期）财务跟踪审计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自建设期（含建设前期）财务跟踪审计阶段性工作结束后20个日历天内出具审计成果。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(4)工程价款结算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自建设单位提供完整结算资料之日起，审计人应在下表约定的时间内完成，建设单位及监理方、施工方应予积极配合。 </w:t>
      </w:r>
    </w:p>
    <w:tbl>
      <w:tblPr>
        <w:tblStyle w:val="962"/>
        <w:tblW w:w="8861" w:type="dxa"/>
        <w:tblInd w:w="248" w:type="dxa"/>
        <w:tblLayout w:type="autofit"/>
        <w:tblCellMar>
          <w:top w:w="128" w:type="dxa"/>
          <w:left w:w="113" w:type="dxa"/>
          <w:bottom w:w="0" w:type="dxa"/>
          <w:right w:w="53" w:type="dxa"/>
        </w:tblCellMar>
      </w:tblPr>
      <w:tblGrid>
        <w:gridCol w:w="2208"/>
        <w:gridCol w:w="1667"/>
        <w:gridCol w:w="1832"/>
        <w:gridCol w:w="1757"/>
        <w:gridCol w:w="1397"/>
      </w:tblGrid>
      <w:tr>
        <w:tblPrEx>
          <w:tblCellMar>
            <w:top w:w="128" w:type="dxa"/>
            <w:left w:w="113" w:type="dxa"/>
            <w:bottom w:w="0" w:type="dxa"/>
            <w:right w:w="53" w:type="dxa"/>
          </w:tblCellMar>
        </w:tblPrEx>
        <w:trPr>
          <w:trHeight w:val="1156"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29"/>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送审造价 </w:t>
            </w:r>
          </w:p>
        </w:tc>
        <w:tc>
          <w:tcPr>
            <w:tcW w:w="1667"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完成审核初稿时间 </w:t>
            </w:r>
          </w:p>
        </w:tc>
        <w:tc>
          <w:tcPr>
            <w:tcW w:w="1832"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监理、施工单位、建设单位对初稿复核时间 </w:t>
            </w:r>
          </w:p>
        </w:tc>
        <w:tc>
          <w:tcPr>
            <w:tcW w:w="1757" w:type="dxa"/>
            <w:tcBorders>
              <w:top w:val="single" w:color="000000" w:sz="6" w:space="0"/>
              <w:left w:val="single" w:color="000000" w:sz="6" w:space="0"/>
              <w:bottom w:val="single" w:color="000000" w:sz="6" w:space="0"/>
              <w:right w:val="single" w:color="000000" w:sz="6" w:space="0"/>
            </w:tcBorders>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委托人组织完成核对时间 </w:t>
            </w:r>
          </w:p>
        </w:tc>
        <w:tc>
          <w:tcPr>
            <w:tcW w:w="139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出具正式审计报告时间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8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30个日历天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71"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left="13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2000万（含）以内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45个日历天 </w:t>
            </w:r>
          </w:p>
        </w:tc>
        <w:tc>
          <w:tcPr>
            <w:tcW w:w="1832" w:type="dxa"/>
            <w:tcBorders>
              <w:top w:val="single" w:color="000000" w:sz="6" w:space="0"/>
              <w:left w:val="single" w:color="000000" w:sz="6" w:space="0"/>
              <w:bottom w:val="single" w:color="000000" w:sz="6" w:space="0"/>
              <w:right w:val="single" w:color="000000" w:sz="6" w:space="0"/>
            </w:tcBorders>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20个日历天 </w:t>
            </w:r>
          </w:p>
        </w:tc>
        <w:tc>
          <w:tcPr>
            <w:tcW w:w="1757" w:type="dxa"/>
            <w:tcBorders>
              <w:top w:val="single" w:color="000000" w:sz="6" w:space="0"/>
              <w:left w:val="single" w:color="000000" w:sz="6" w:space="0"/>
              <w:bottom w:val="single" w:color="000000" w:sz="6" w:space="0"/>
              <w:right w:val="single" w:color="000000" w:sz="6" w:space="0"/>
            </w:tcBorders>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20个日历天 </w:t>
            </w:r>
          </w:p>
        </w:tc>
        <w:tc>
          <w:tcPr>
            <w:tcW w:w="1396" w:type="dxa"/>
            <w:tcBorders>
              <w:top w:val="single" w:color="000000" w:sz="6" w:space="0"/>
              <w:left w:val="single" w:color="000000" w:sz="6" w:space="0"/>
              <w:bottom w:val="single" w:color="000000" w:sz="6" w:space="0"/>
              <w:right w:val="single" w:color="000000" w:sz="6" w:space="0"/>
            </w:tcBorders>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r>
        <w:tblPrEx>
          <w:tblCellMar>
            <w:top w:w="128" w:type="dxa"/>
            <w:left w:w="113" w:type="dxa"/>
            <w:bottom w:w="0" w:type="dxa"/>
            <w:right w:w="53" w:type="dxa"/>
          </w:tblCellMar>
        </w:tblPrEx>
        <w:trPr>
          <w:trHeight w:val="585" w:hRule="atLeast"/>
        </w:trPr>
        <w:tc>
          <w:tcPr>
            <w:tcW w:w="2208"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2000万以上 </w:t>
            </w:r>
          </w:p>
        </w:tc>
        <w:tc>
          <w:tcPr>
            <w:tcW w:w="1667" w:type="dxa"/>
            <w:tcBorders>
              <w:top w:val="single" w:color="000000" w:sz="6" w:space="0"/>
              <w:left w:val="single" w:color="000000" w:sz="6" w:space="0"/>
              <w:bottom w:val="single" w:color="000000" w:sz="6" w:space="0"/>
              <w:right w:val="single" w:color="000000" w:sz="6" w:space="0"/>
            </w:tcBorders>
            <w:vAlign w:val="center"/>
          </w:tcPr>
          <w:p>
            <w:pPr>
              <w:ind w:left="16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60个日历天 </w:t>
            </w:r>
          </w:p>
        </w:tc>
        <w:tc>
          <w:tcPr>
            <w:tcW w:w="1832" w:type="dxa"/>
            <w:tcBorders>
              <w:top w:val="single" w:color="000000" w:sz="6" w:space="0"/>
              <w:left w:val="single" w:color="000000" w:sz="6" w:space="0"/>
              <w:bottom w:val="single" w:color="000000" w:sz="6" w:space="0"/>
              <w:right w:val="single" w:color="000000" w:sz="6" w:space="0"/>
            </w:tcBorders>
            <w:vAlign w:val="center"/>
          </w:tcPr>
          <w:p>
            <w:pPr>
              <w:ind w:right="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30个日历天 </w:t>
            </w:r>
          </w:p>
        </w:tc>
        <w:tc>
          <w:tcPr>
            <w:tcW w:w="1757" w:type="dxa"/>
            <w:tcBorders>
              <w:top w:val="single" w:color="000000" w:sz="6" w:space="0"/>
              <w:left w:val="single" w:color="000000" w:sz="6" w:space="0"/>
              <w:bottom w:val="single" w:color="000000" w:sz="6" w:space="0"/>
              <w:right w:val="single" w:color="000000" w:sz="6" w:space="0"/>
            </w:tcBorders>
            <w:vAlign w:val="center"/>
          </w:tcPr>
          <w:p>
            <w:pPr>
              <w:ind w:right="3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30个日历天 </w:t>
            </w:r>
          </w:p>
        </w:tc>
        <w:tc>
          <w:tcPr>
            <w:tcW w:w="1396" w:type="dxa"/>
            <w:tcBorders>
              <w:top w:val="single" w:color="000000" w:sz="6" w:space="0"/>
              <w:left w:val="single" w:color="000000" w:sz="6" w:space="0"/>
              <w:bottom w:val="single" w:color="000000" w:sz="6" w:space="0"/>
              <w:right w:val="single" w:color="000000" w:sz="6" w:space="0"/>
            </w:tcBorders>
            <w:vAlign w:val="center"/>
          </w:tcPr>
          <w:p>
            <w:pPr>
              <w:ind w:left="21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7日历天 </w:t>
            </w:r>
          </w:p>
        </w:tc>
      </w:tr>
    </w:tbl>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（5）竣工财务决算、工程决算协助编制及审核</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在资料完整的前提下，不超过45个日历天完成。</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（6）其他特殊情况完成期限由由委托人与审计人双方协商确定。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3.乙方应结合本项目的实际情况，及时深入现场查看，掌握项目的一线资料，为跟踪审计创造有利条件。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4.乙方有义务参与本项目有关的会议，并从审计角度提出专业建议，从根本上避免甚至杜绝不合规或不合法现象的发生。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5.乙方应根据甲方的要求，定期或不定期地提供专项审计报告或综合审计报告。乙方同时应保管好各种审计资料，根据甲方的要求，逐步将审计资料移交给甲方。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6.乙方未经甲方或其授权代表书面同意，不得将本合同各阶段形成的工作成果、文件资料及甲方和设计公司提供的图纸，资料泄露或交与任何第三者或其它项目使用。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7.乙方必须自行完成本项目的所有跟踪审计服务工作，未经甲方同意和本合同规定，乙方不得委托、转包给任何第三方。</w:t>
      </w:r>
      <w:r>
        <w:rPr>
          <w:rFonts w:hint="eastAsia" w:ascii="仿宋_GB2312" w:hAnsi="仿宋" w:eastAsia="仿宋_GB2312"/>
          <w:color w:val="000000" w:themeColor="text1"/>
          <w:sz w:val="24"/>
          <w:highlight w:val="none"/>
          <w14:textFill>
            <w14:solidFill>
              <w14:schemeClr w14:val="tx1"/>
            </w14:solidFill>
          </w14:textFill>
        </w:rPr>
        <w:t>非主体、非关键性的工作分包</w:t>
      </w:r>
      <w:r>
        <w:rPr>
          <w:rFonts w:hint="eastAsia" w:ascii="仿宋" w:hAnsi="仿宋" w:eastAsia="仿宋" w:cs="仿宋"/>
          <w:color w:val="000000" w:themeColor="text1"/>
          <w:sz w:val="24"/>
          <w:highlight w:val="none"/>
          <w14:textFill>
            <w14:solidFill>
              <w14:schemeClr w14:val="tx1"/>
            </w14:solidFill>
          </w14:textFill>
        </w:rPr>
        <w:t xml:space="preserve">给第三方的工作的需报甲方同意后方可分包，否则不允许分包。乙方确因需要委托有关专业顾问完成本属乙方的服务职责和义务时，应经甲方书面同意，并且受托的专业顾问资格需经甲方书面认可。乙方对转委托的工作负责。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8.无论因任何原因而终止合同, 乙方应将所有由乙方拥有或控制而与甲方有关资料和文件移交给甲方或任何由甲方重新委托的工程造价咨询单位，且乙方应提供合作及协助, 以使本项目的顺利交接。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9.乙方授权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同志为本项目负责人，身份证号码：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执业证书：</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，执业注册号：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同志为本项目财务审计主审，身份证号码：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执业证书：</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，执业注册号：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10、跟踪审计人员安排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为保证项目工程跟踪审计工作质量，乙方应成立本项目全过程跟踪审计小组，审计人员数量和能力应能保证工作正常开展。项目组人员应相对固定，未经甲方允许不得擅自减少、变更人员。人员变更不得随意降低专业资格、资历。审计成员中工程类和财务审计组长应保持固定。乙方审计人员发生变动应及时通知甲方，如因故需更换审计组长，须提前1个月通知甲方，并做好审计业务移交工作。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11. 审计完成，乙方负责审核档案的归档和立卷工作，并对甲方移交的资料安全、完整性负责。乙方在审计档案的归档和立卷完成后，应及时把所有资料移交给甲方。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乙方应加强对项目组人员（含项目组负责人）的管理与教育，并加强审计工作成果质量检查，提高审计工作服务质量。督促所属人员按合同规定履约，严格遵守廉洁自律规定。乙方应指定一名企业副总经理以上负责人与甲方保持联系，每半年一次书面征询甲方意见，作为考核项目组人员履职能力依据。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13.乙方除对征迁进行跟踪审计外，甲方要求对征迁费用进行专项审计，出具专项审计报告；甲方不另行支付相关费用。如果征迁审计结果在后续政府审计中不被认可，将处以造价咨询费用25%-30%的违约金。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14.乙方应在签订合同且开工后30天内组织本项目参建单位进行一次跟踪审计培训，并每半年对项目上出现的个性及共性问题组织一次跟踪审计小结会议（项目上出现的个性及共性问题）。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第五条  甲方的义务与责任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1.甲方应及时提供乙方完成项目全过程造价咨询工作所必需的文件、图纸等各种资料。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2.按合同约定方式支付服务酬金。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3.乙方为履行本合同的审计责任需与建设单位、设计单位、施工方联络接触时，由甲方发出书面通知并出面组织协调甲方与建设单位、设计单位、施工方之间的联络，主持相关会议。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4.审核、验收乙方全过程造价咨询专项审计报告或综合审计报告、并保管好乙方移交的与全过程造价咨询相关的任何审计报告和资料。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5.负责协调解决乙方在全过程造价咨询时与本项目相关单位或机构之间未达成一致意见的争议以及需要由甲方协调解决的其他事项。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6.甲方应负责与本项目全过程造价咨询业务有关的第三人的协调，为乙方工作提供外部条件。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7.甲方授权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同志为本项目的负责人，负责与乙方联系。</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第六条  乙方的权利</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甲方在委托的业务范围内，授予乙方以下权利：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1.乙方工作人员在审计过程中，有到工程现场勘察的权利，有权对施工方提交的月度计量支付报表及其他结算书进行审计并提出合理建议。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2.乙方在审计过程中，有权要求第三人对本审计业务有关的问题进行解释，但不得随意干预参建各方的建设管理自主权。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3.如甲方提供的资料不明确或不及时可向甲方提出书面报告。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15" w:name="_Toc18658"/>
      <w:r>
        <w:rPr>
          <w:rFonts w:hint="eastAsia" w:ascii="仿宋" w:hAnsi="仿宋" w:eastAsia="仿宋" w:cs="仿宋"/>
          <w:color w:val="000000" w:themeColor="text1"/>
          <w:sz w:val="24"/>
          <w:highlight w:val="none"/>
          <w14:textFill>
            <w14:solidFill>
              <w14:schemeClr w14:val="tx1"/>
            </w14:solidFill>
          </w14:textFill>
        </w:rPr>
        <w:t>第七条  甲方的权利</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甲方有以下权利：</w:t>
      </w:r>
      <w:bookmarkEnd w:id="415"/>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1.有权向乙方询问工作进展情况及相关的内容。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2.甲方有权监督、检查乙方的审计工作，有权对乙方的工作和文件成果提出合理的质疑和修改意见。但甲方修改意见的执行并不能成为乙方免除工作质量责任的理由。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当甲方有理由认定审计专业人员不按审计合同履行其职责，或与第三人串通给甲方造成经济损失的，或审计专业人员业务水平不能满足实际需要的，甲方有权要求更换审计专业人员，直至终止合同并要求乙方承担相应的赔偿责任。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16" w:name="_Toc16819"/>
      <w:r>
        <w:rPr>
          <w:rFonts w:hint="eastAsia" w:ascii="仿宋" w:hAnsi="仿宋" w:eastAsia="仿宋" w:cs="仿宋"/>
          <w:color w:val="000000" w:themeColor="text1"/>
          <w:sz w:val="24"/>
          <w:highlight w:val="none"/>
          <w14:textFill>
            <w14:solidFill>
              <w14:schemeClr w14:val="tx1"/>
            </w14:solidFill>
          </w14:textFill>
        </w:rPr>
        <w:t>第八条   审计报告的出具</w:t>
      </w:r>
      <w:bookmarkEnd w:id="416"/>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1.乙方应根据甲方的要求每一季度出具一次阶段性审计报告；每月15日前提交工程计量支付审计月报，并做好相应的变更审核及中期计量审核台帐。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工程计量支付方面的审计分两个部分：第一部分为正常按月审计本项目计量支付情况，并按季出具项目建议书，半年度出具审计报告；第二部分为本项目合同工期结束并交工验收后尾工、零星工程及最终支付的审计，在最终支付审计结束后出具审计报告。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3.财务方面的审计在建设期间原则上按季出具项目建议书，半年度出具审计报告，同时，对审计过程中发现的有关问题不定期出具咨询管理建议书。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4.乙方每次出具的专项审计报告或其他审计报告一式6份，其中：向甲方提供4份，向甲方提供的报告由甲方分发、使用。恰当使用审核报告是甲方的责任，如出现使用不当的情况与乙方无关。乙方存档2份。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5.乙方应在结算审计资料送达三个月内出具审计意见书，并完成最终财务收支审计和工程造价竣工结算审计，出具完整审计报告交付甲方。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6.在出具审计报告前应与甲方充分沟通，对外提供审计报告时，应征得甲方同意。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17" w:name="_Toc3696"/>
      <w:r>
        <w:rPr>
          <w:rFonts w:hint="eastAsia" w:ascii="仿宋" w:hAnsi="仿宋" w:eastAsia="仿宋" w:cs="仿宋"/>
          <w:color w:val="000000" w:themeColor="text1"/>
          <w:sz w:val="24"/>
          <w:highlight w:val="none"/>
          <w14:textFill>
            <w14:solidFill>
              <w14:schemeClr w14:val="tx1"/>
            </w14:solidFill>
          </w14:textFill>
        </w:rPr>
        <w:t>第九条 业务的酬金</w:t>
      </w:r>
      <w:bookmarkEnd w:id="417"/>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1.正常的建设工程全过程造价咨询业务，按照建设工程全过程造价咨询合同约定的方法计取，并按约定的时间和数额支付。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2.甲乙双方同意按以下的计算方法、支付时间与金额，支付乙方的正常服务酬金。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造价咨询费用的组成：根据《浙江省建设工程造价咨询服务基准收费标准》（浙价服〔2009〕84号）《关于抓紧抓好高速公路等省重点交通建设项目全过程跟踪审计合同报备等各项推进落实工作的通知》（浙交〔2009〕208 号）规定，按如下方法计算出的造价咨询费，乘以费率</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计取。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造价咨询费计算方法如下：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（1）建设期（含建设前期）工程跟踪审计（含工程量清单及预算、招标控制价的审核）费用：以（浙价服〔2009〕84 号）规定的“施工阶段全过程工程造价控制”收费标准为依据，采用差额分档累进折扣比例方法控制计付。其中：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建安工程造价在10亿元以下（含10亿元）的部分，按建安工程造价的3.75‰计算；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建安工程造价在10-20亿元（含20亿元）的部分，按建安工程造价的3.5‰计算；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建安工程造价在20-35亿元（含35亿元）的部分，按建安工程造价的3.25‰计算；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建安工程造价在35-50亿元（含50亿元）的部分，按建安工程造价的3‰计算；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建安工程造价在50亿元以上的部分，按建安工程造价的2.75‰计算。</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（2）建设期（含建设前期）财务跟踪审计费用：以（浙价服）〔2009〕84 号规定的“竣工决算编制或审核”收费标准为依据，按建设项目总费用的0.1‰计算。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（3）竣工工程结算审核（或审价）基本费用：以（浙价服）〔2009〕84 号规定的“工程结算审核”收费标准为依据，按建安工程造价的0.6‰计算。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（4）竣工财务决算审计费用：以（浙价服〔2009〕84号规定的“竣工决算编制或审核”收费标准为依据，按建设项目总费用的0.1‰ 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造价咨询费包括实施和完成建设期（含建设前期）工程跟踪审计（含工程量清单及预算、招标控制价的审核）费用、建设期（含建设前期）财务跟踪审计费、竣工工程结算审核（或审价）基本费用、竣工财务决算审计等费用，工程结算审核追加费用按《浙江省建设工程造价咨询服务基准收费标准》（浙价服〔2009〕84号）规定执行，并由送审方承担，由项目建设单位代扣。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4.具体造价咨询费用如下：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（1）建设期（含建设前期）工程跟踪审计（含工程量清单及预算、招标控制价的审核）费：暂按建筑安装工程费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万元计取，造价咨询费为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万元。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（2）建设期（含建设前期）财务跟踪审计费：暂按批复概算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万元计取，审计费为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万元。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（3）竣工工程结算审核（或审价）基本费用：暂按建筑安装工程费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万元计取，造价咨询费为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（4）竣工财务决算审计费用：暂按批复概算</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万元计取，审计费为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万元。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以上4项合计暂定为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元整（￥       ）。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5.造价咨询费用最终以竣工决算批复实际投资额为准进行计算。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6.本合同签订且项目开工并提供等额发票后一个月内，甲方向乙方支付本项目造价咨询费用总额的50%，计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元整（￥      ）。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造价咨询费支付进度：根据合同施工工期，造价咨询费原则上按每半年支付一次，每次支付造价咨询费用总额的1%，计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元整（￥     ）。至合同施工工期完工，累计支付至造价咨询费的55%，计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元整（￥    ）。每次出具正式半年度或年度审计报告后支付。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工程交工验收后，完成建设期工程跟踪审计，支付造价咨询费用总额的5%，计        元整（￥      ），累计支付至造价咨询费的60%。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出具工程结算审价（核）报告、并提供工程结算审价汇总后，支付本项目造价咨询费用总额的20%，计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元整（￥       ），累计支付至造价咨询费的80%。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完成竣工决算审计报告、并通过竣工决算批复后1个月内，支付本项目造价咨询费用总额的20%，计</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元整（￥       ），累计支付至造价咨询费的100%。 并按竣工决算批复实际投资额计算所得的造价咨询费用为准多退少补，一次结清，最多补合同价的10%。</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乙方在履行合同过程中给甲方造成的经济损失在每次支付的造价咨询费用中直接扣除。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18" w:name="_Toc1689"/>
      <w:r>
        <w:rPr>
          <w:rFonts w:hint="eastAsia" w:ascii="仿宋" w:hAnsi="仿宋" w:eastAsia="仿宋" w:cs="仿宋"/>
          <w:color w:val="000000" w:themeColor="text1"/>
          <w:sz w:val="24"/>
          <w:highlight w:val="none"/>
          <w14:textFill>
            <w14:solidFill>
              <w14:schemeClr w14:val="tx1"/>
            </w14:solidFill>
          </w14:textFill>
        </w:rPr>
        <w:t>第十条 合同生效，变更与终止</w:t>
      </w:r>
      <w:bookmarkEnd w:id="418"/>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1．本合同自双方签字盖章之日起生效。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2．当事人一方要求变更或解除合同时，则应当在14天前通知对方；因变更或解除合同使一方遭受损失的，应由责任方负责赔偿。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3．变更或解除合同的通知或协议应当采取书面形式，新的协议未达成之前，原合同仍然有效。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19" w:name="_Toc14127"/>
      <w:r>
        <w:rPr>
          <w:rFonts w:hint="eastAsia" w:ascii="仿宋" w:hAnsi="仿宋" w:eastAsia="仿宋" w:cs="仿宋"/>
          <w:color w:val="000000" w:themeColor="text1"/>
          <w:sz w:val="24"/>
          <w:highlight w:val="none"/>
          <w14:textFill>
            <w14:solidFill>
              <w14:schemeClr w14:val="tx1"/>
            </w14:solidFill>
          </w14:textFill>
        </w:rPr>
        <w:t>第十一条   合同违约和赔偿</w:t>
      </w:r>
      <w:bookmarkEnd w:id="419"/>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乙方对甲方所提出的问题不能及时核对和答复、不能按时进场审计或乙方未能及时提交合格的审计报告;未能按照本合同所附审计方案约定安排现场审计人员;在甲方提供完整的送审资料后不能按约定出具各类意见、报告的、检查少于规定深入现场踏勘人.次.天，乙方无正当理由,并经甲方书面通知整改后未能纠正的，甲方有权采取通报乙方上级行业主管部门、每次扣3万元以内违约金等措施。累计三次以上，甲方有权单方面解除协议，乙方承担全部违约责任。由此给甲方造成的相应经济损失，全部由乙方负责赔偿。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甲方有权对乙方审计结果进行复审，经复审，若无特殊原因，对于复核误差率超承诺误差率±1%的扣减本次复核送审工程量造价咨询费的10%；复核误差率超±2%的扣减本次复核送审工程量造价咨询费的20%；复核误差率超±3%的扣减本次复核送审工程量造价咨询费的30%；复核误差率超±5%的扣减本次造价咨询费且甲方有权单方面解除协议，乙方承担全部违约责任。由此给甲方造成的相应经济损失，全部由乙方负责赔偿。 </w:t>
      </w:r>
    </w:p>
    <w:p>
      <w:pPr>
        <w:widowControl/>
        <w:spacing w:line="360" w:lineRule="auto"/>
        <w:ind w:firstLine="480" w:firstLineChars="200"/>
        <w:jc w:val="left"/>
        <w:rPr>
          <w:rFonts w:eastAsia="仿宋"/>
          <w:color w:val="000000" w:themeColor="text1"/>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kern w:val="0"/>
          <w:sz w:val="24"/>
          <w:szCs w:val="29"/>
          <w:highlight w:val="none"/>
          <w14:textFill>
            <w14:solidFill>
              <w14:schemeClr w14:val="tx1"/>
            </w14:solidFill>
          </w14:textFill>
        </w:rPr>
        <w:t>在工程变更审查中，建设项目有过程跟踪审计的，过程跟踪审计单位应对变更工程量及费用计取有明确审核意见，并对是否存在非正常报价、是否符合合同和相关规定予以说明。 变更单价、计取规则等存在明显错误或违反相关规定的，视为未尽到审核职责，一般变更每次扣除</w:t>
      </w:r>
      <w:r>
        <w:rPr>
          <w:rFonts w:hint="eastAsia" w:ascii="仿宋" w:hAnsi="仿宋" w:eastAsia="仿宋" w:cs="仿宋"/>
          <w:color w:val="000000" w:themeColor="text1"/>
          <w:sz w:val="24"/>
          <w:highlight w:val="none"/>
          <w14:textFill>
            <w14:solidFill>
              <w14:schemeClr w14:val="tx1"/>
            </w14:solidFill>
          </w14:textFill>
        </w:rPr>
        <w:t>工程跟踪审计费</w:t>
      </w:r>
      <w:r>
        <w:rPr>
          <w:rFonts w:ascii="仿宋" w:hAnsi="仿宋" w:eastAsia="仿宋" w:cs="仿宋"/>
          <w:color w:val="000000" w:themeColor="text1"/>
          <w:kern w:val="0"/>
          <w:sz w:val="24"/>
          <w:szCs w:val="29"/>
          <w:highlight w:val="none"/>
          <w14:textFill>
            <w14:solidFill>
              <w14:schemeClr w14:val="tx1"/>
            </w14:solidFill>
          </w14:textFill>
        </w:rPr>
        <w:t>的</w:t>
      </w:r>
      <w:r>
        <w:rPr>
          <w:rFonts w:ascii="仿宋" w:hAnsi="仿宋" w:eastAsia="仿宋" w:cs="仿宋"/>
          <w:color w:val="000000" w:themeColor="text1"/>
          <w:sz w:val="24"/>
          <w:highlight w:val="none"/>
          <w14:textFill>
            <w14:solidFill>
              <w14:schemeClr w14:val="tx1"/>
            </w14:solidFill>
          </w14:textFill>
        </w:rPr>
        <w:t>0.64</w:t>
      </w:r>
      <w:r>
        <w:rPr>
          <w:rFonts w:ascii="仿宋" w:hAnsi="仿宋" w:eastAsia="仿宋" w:cs="仿宋"/>
          <w:color w:val="000000" w:themeColor="text1"/>
          <w:kern w:val="0"/>
          <w:sz w:val="24"/>
          <w:szCs w:val="29"/>
          <w:highlight w:val="none"/>
          <w14:textFill>
            <w14:solidFill>
              <w14:schemeClr w14:val="tx1"/>
            </w14:solidFill>
          </w14:textFill>
        </w:rPr>
        <w:t>％，较大变更每次扣除</w:t>
      </w:r>
      <w:r>
        <w:rPr>
          <w:rFonts w:hint="eastAsia" w:ascii="仿宋" w:hAnsi="仿宋" w:eastAsia="仿宋" w:cs="仿宋"/>
          <w:color w:val="000000" w:themeColor="text1"/>
          <w:sz w:val="24"/>
          <w:highlight w:val="none"/>
          <w14:textFill>
            <w14:solidFill>
              <w14:schemeClr w14:val="tx1"/>
            </w14:solidFill>
          </w14:textFill>
        </w:rPr>
        <w:t>工程跟踪审计费</w:t>
      </w:r>
      <w:r>
        <w:rPr>
          <w:rFonts w:ascii="仿宋" w:hAnsi="仿宋" w:eastAsia="仿宋" w:cs="仿宋"/>
          <w:color w:val="000000" w:themeColor="text1"/>
          <w:kern w:val="0"/>
          <w:sz w:val="24"/>
          <w:szCs w:val="29"/>
          <w:highlight w:val="none"/>
          <w14:textFill>
            <w14:solidFill>
              <w14:schemeClr w14:val="tx1"/>
            </w14:solidFill>
          </w14:textFill>
        </w:rPr>
        <w:t>的</w:t>
      </w:r>
      <w:r>
        <w:rPr>
          <w:rFonts w:ascii="仿宋" w:hAnsi="仿宋" w:eastAsia="仿宋" w:cs="仿宋"/>
          <w:color w:val="000000" w:themeColor="text1"/>
          <w:sz w:val="24"/>
          <w:highlight w:val="none"/>
          <w14:textFill>
            <w14:solidFill>
              <w14:schemeClr w14:val="tx1"/>
            </w14:solidFill>
          </w14:textFill>
        </w:rPr>
        <w:t>1.28</w:t>
      </w:r>
      <w:r>
        <w:rPr>
          <w:rFonts w:ascii="仿宋" w:hAnsi="仿宋" w:eastAsia="仿宋" w:cs="仿宋"/>
          <w:color w:val="000000" w:themeColor="text1"/>
          <w:kern w:val="0"/>
          <w:sz w:val="24"/>
          <w:szCs w:val="29"/>
          <w:highlight w:val="none"/>
          <w14:textFill>
            <w14:solidFill>
              <w14:schemeClr w14:val="tx1"/>
            </w14:solidFill>
          </w14:textFill>
        </w:rPr>
        <w:t>％，重大变更每次扣除</w:t>
      </w:r>
      <w:r>
        <w:rPr>
          <w:rFonts w:hint="eastAsia" w:ascii="仿宋" w:hAnsi="仿宋" w:eastAsia="仿宋" w:cs="仿宋"/>
          <w:color w:val="000000" w:themeColor="text1"/>
          <w:sz w:val="24"/>
          <w:highlight w:val="none"/>
          <w14:textFill>
            <w14:solidFill>
              <w14:schemeClr w14:val="tx1"/>
            </w14:solidFill>
          </w14:textFill>
        </w:rPr>
        <w:t>工程跟踪审计费</w:t>
      </w:r>
      <w:r>
        <w:rPr>
          <w:rFonts w:ascii="仿宋" w:hAnsi="仿宋" w:eastAsia="仿宋" w:cs="仿宋"/>
          <w:color w:val="000000" w:themeColor="text1"/>
          <w:kern w:val="0"/>
          <w:sz w:val="24"/>
          <w:szCs w:val="29"/>
          <w:highlight w:val="none"/>
          <w14:textFill>
            <w14:solidFill>
              <w14:schemeClr w14:val="tx1"/>
            </w14:solidFill>
          </w14:textFill>
        </w:rPr>
        <w:t>的</w:t>
      </w:r>
      <w:r>
        <w:rPr>
          <w:rFonts w:ascii="仿宋" w:hAnsi="仿宋" w:eastAsia="仿宋" w:cs="仿宋"/>
          <w:color w:val="000000" w:themeColor="text1"/>
          <w:sz w:val="24"/>
          <w:highlight w:val="none"/>
          <w14:textFill>
            <w14:solidFill>
              <w14:schemeClr w14:val="tx1"/>
            </w14:solidFill>
          </w14:textFill>
        </w:rPr>
        <w:t>3.2</w:t>
      </w:r>
      <w:r>
        <w:rPr>
          <w:rFonts w:ascii="仿宋" w:hAnsi="仿宋" w:eastAsia="仿宋" w:cs="仿宋"/>
          <w:color w:val="000000" w:themeColor="text1"/>
          <w:kern w:val="0"/>
          <w:sz w:val="24"/>
          <w:szCs w:val="29"/>
          <w:highlight w:val="none"/>
          <w14:textFill>
            <w14:solidFill>
              <w14:schemeClr w14:val="tx1"/>
            </w14:solidFill>
          </w14:textFill>
        </w:rPr>
        <w:t>％。如在项目结算中发现跟审单位的上述问题，可以追溯扣回已经支付的费用</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非乙方原因导致合同终止，甲方需支付乙方合同终止前已从本合同工作时间内应获的合理服务费。由于甲方或第三者的原因使乙方工作受到阻碍或延误以至增加了工作量或持续时间，则乙方应当将此情况与可能产生的影响及时书面通知甲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发生不可预见及不可抗力之因素如战争、地震、洪水、政治变局和甲方投资资金暂停等致使合同不能履行或不能全部履行时，甲方与乙方双方协商解决，不受合同违约和责任赔偿条款制约，甲方需付乙方于合同终止之前从事合同之责任应获的合理服务费。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非甲方原因，乙方违反本合同条款时，甲方有权终止合同并提前十天书面通知，并支付乙方正确履行义务而完成部分或全部工作的服务酬金。因乙方未能履行合同所承担的全过程造价咨询工作责任，甲方有权在乙方第一部分造价咨询费用中扣除相应的金额。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7、赔偿金额：合同履行期内，双方应当履行建设工程造价咨询合同约定的义务，因乙方的单方过失造成经济损失，应当向甲方进行赔偿， 单项赔偿费用不得超过单项造价咨询费、累计赔偿费用不得超过造价咨询费总额。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拟委派的项目负责人、财务审计主审及项目工作组人员一经确认，未经甲方同意不得更换，经甲方同意更换项目负责人的课以每人次10万元的违约金，更换项目财务审计主审课以每人次8万元的违约金，更换工程项目工作组人员、财务项目工作组人员课以每人次3万元的违约金，更换的人员资格不得低于投标时所承诺人员资格。未经甲方同意更换项目负责人课以每人次20万元的违约金，更换项目财务审计主审课以每人次15万元的违约金，更换工程项目工作组人员、财务项目工作组人员课以每人次6万元的。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9、项目实施阶段甲方如因工作需要，要求乙方派员到项目现场参与审计工作，甲方提前 24 小时内告知乙方，乙方应按约定的时间到场开展工作，若未能按要求到场，甲方将课以3000元/人次违约金。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10、在甲方提供完整资料的前提下，乙方应按照合同约定的工作内容和工作时间完成本合同规定的各项造价咨询工作，若未能及时完成应视为乙方违约，甲方有权课以3000元/天的违约金。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本项目甲方要求乙方进驻项目现场参与审计工作的人员，项目驻地时间每个月不少于 22 日（乙方应按甲方安排时间进驻现场），派驻人员不按时间及要求开展工作的，甲方有权扣以 3000 元/人次违约金。</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12、项目负责人、财务主审每周到现场实施审计工作至少一次；财务项目组审计人员每月到现场实施审计工作至少一次，每次现场工作时间不少于 3 天。</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13、以上所有赔偿金及违约金均从造价咨询费用中直接予以扣除。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20" w:name="_Toc32168"/>
      <w:r>
        <w:rPr>
          <w:rFonts w:hint="eastAsia" w:ascii="仿宋" w:hAnsi="仿宋" w:eastAsia="仿宋" w:cs="仿宋"/>
          <w:color w:val="000000" w:themeColor="text1"/>
          <w:sz w:val="24"/>
          <w:highlight w:val="none"/>
          <w14:textFill>
            <w14:solidFill>
              <w14:schemeClr w14:val="tx1"/>
            </w14:solidFill>
          </w14:textFill>
        </w:rPr>
        <w:t>第十二条  合同争议的解决</w:t>
      </w:r>
      <w:bookmarkEnd w:id="420"/>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因违约或终止合同而引起的损失和损害的赔偿，甲方与乙方之间应当协商解决；如未能达成一致，可提交市级交通主管部门或区审计机关调解；协商或调解不成的，根据双方约定向项目所在地人民法院提起诉讼。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bookmarkStart w:id="421" w:name="_Toc30528"/>
      <w:r>
        <w:rPr>
          <w:rFonts w:hint="eastAsia" w:ascii="仿宋" w:hAnsi="仿宋" w:eastAsia="仿宋" w:cs="仿宋"/>
          <w:color w:val="000000" w:themeColor="text1"/>
          <w:sz w:val="24"/>
          <w:highlight w:val="none"/>
          <w14:textFill>
            <w14:solidFill>
              <w14:schemeClr w14:val="tx1"/>
            </w14:solidFill>
          </w14:textFill>
        </w:rPr>
        <w:t>第十三条  其  他</w:t>
      </w:r>
      <w:bookmarkEnd w:id="421"/>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1．未经对方的书面同意，双方均不得转让合同约定的权利和义务。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2．乙方所有人员必须严守职业道德，廉洁执业，遵守“廉洁承诺书”，如乙方所属人员违反“廉洁承诺书”条款内容导致甲方遭受损失，乙方应对甲方的损失承担赔偿责任。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在本协议履行期间及履行完成以后，乙方应对甲方提供的所有相关合同、图纸、结算资料以及相关全部信息承担保密义务，未经甲方书面批准同意，不得向任何第三方复制、告知、传播或以其他方式泄密。也不得未经甲方书面批准同意接受相关新闻媒体采访。如乙方违反保密约定导致甲方及项目相关方（包括监理、施工单位、检测单位等）遭受损失，乙方应对甲方及项目相关方的损失承担赔偿责任。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4.本合同自双方签字后生效，全部工程审计工作完成及工程竣工决算后付清价款，双方履行职责完成后自动失效。本合同如有未尽事宜，需经双方共同协商，签订补充合同或附加协议。 </w:t>
      </w:r>
    </w:p>
    <w:p>
      <w:pPr>
        <w:spacing w:after="155"/>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89"/>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59"/>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pStyle w:val="3"/>
        <w:spacing w:after="98"/>
        <w:ind w:left="116" w:right="551"/>
        <w:rPr>
          <w:rFonts w:ascii="仿宋" w:hAnsi="仿宋" w:eastAsia="仿宋" w:cs="仿宋"/>
          <w:color w:val="000000" w:themeColor="text1"/>
          <w:sz w:val="24"/>
          <w:szCs w:val="24"/>
          <w:highlight w:val="none"/>
          <w14:textFill>
            <w14:solidFill>
              <w14:schemeClr w14:val="tx1"/>
            </w14:solidFill>
          </w14:textFill>
        </w:rPr>
        <w:sectPr>
          <w:footnotePr>
            <w:numRestart w:val="eachPage"/>
          </w:footnotePr>
          <w:pgSz w:w="11910" w:h="16845"/>
          <w:pgMar w:top="1417" w:right="1247" w:bottom="1417" w:left="1247" w:header="720" w:footer="720" w:gutter="0"/>
          <w:cols w:space="720" w:num="1"/>
        </w:sectPr>
      </w:pPr>
      <w:bookmarkStart w:id="422" w:name="_Toc25183"/>
    </w:p>
    <w:p>
      <w:pPr>
        <w:pStyle w:val="3"/>
        <w:spacing w:after="98" w:line="240" w:lineRule="auto"/>
        <w:ind w:left="113" w:right="550" w:hanging="43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附件二：廉政承诺书格式</w:t>
      </w:r>
      <w:bookmarkEnd w:id="422"/>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3"/>
        <w:spacing w:after="0" w:line="259" w:lineRule="auto"/>
        <w:jc w:val="center"/>
        <w:rPr>
          <w:rFonts w:ascii="仿宋" w:hAnsi="仿宋" w:eastAsia="仿宋" w:cs="仿宋"/>
          <w:color w:val="000000" w:themeColor="text1"/>
          <w:sz w:val="24"/>
          <w:szCs w:val="24"/>
          <w:highlight w:val="none"/>
          <w14:textFill>
            <w14:solidFill>
              <w14:schemeClr w14:val="tx1"/>
            </w14:solidFill>
          </w14:textFill>
        </w:rPr>
      </w:pPr>
      <w:bookmarkStart w:id="423" w:name="_Toc7292"/>
      <w:r>
        <w:rPr>
          <w:rFonts w:hint="eastAsia" w:ascii="仿宋" w:hAnsi="仿宋" w:eastAsia="仿宋" w:cs="仿宋"/>
          <w:color w:val="000000" w:themeColor="text1"/>
          <w:sz w:val="24"/>
          <w:szCs w:val="24"/>
          <w:highlight w:val="none"/>
          <w14:textFill>
            <w14:solidFill>
              <w14:schemeClr w14:val="tx1"/>
            </w14:solidFill>
          </w14:textFill>
        </w:rPr>
        <w:t>廉政承诺书</w:t>
      </w:r>
      <w:bookmarkEnd w:id="423"/>
    </w:p>
    <w:p>
      <w:pPr>
        <w:spacing w:after="105"/>
        <w:ind w:left="428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4" w:line="347" w:lineRule="auto"/>
        <w:ind w:left="106" w:right="329" w:firstLine="44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交通运输部《关于在交通基础设施建设中加强廉政建设的若干意见》以及有关工程建设、廉政建设的规定，为做好项目审计中的党风廉政建设，保证、全过程造价咨询过程中公平、公正、诚信、透明，保证建设资金的安全和有效使用以及投资效益，全过程造价咨询单位</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作如下承诺： </w:t>
      </w:r>
    </w:p>
    <w:p>
      <w:pPr>
        <w:tabs>
          <w:tab w:val="left" w:pos="1633"/>
        </w:tabs>
        <w:spacing w:after="4" w:line="347" w:lineRule="auto"/>
        <w:ind w:left="547" w:right="329"/>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（一）严格遵守党和国家有关法律法规及交通运输部的有关规定。 </w:t>
      </w:r>
    </w:p>
    <w:p>
      <w:pPr>
        <w:spacing w:after="120"/>
        <w:ind w:left="547" w:right="329"/>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（二）严格执行本工程全过程造价咨询合同协议书，自觉按协议书办事。 </w:t>
      </w:r>
    </w:p>
    <w:p>
      <w:pPr>
        <w:spacing w:after="4" w:line="347" w:lineRule="auto"/>
        <w:ind w:right="329"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（三）我方的业务活动坚持公开、公正、诚信、透明的原则（除法律认定的商业秘密和合同文件另有规定之外），不得损害国家和集体利益，违反工程建设管理规章制度。 </w:t>
      </w:r>
    </w:p>
    <w:p>
      <w:pPr>
        <w:spacing w:after="4" w:line="347" w:lineRule="auto"/>
        <w:ind w:right="329"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（四）建立健全廉政制度，开展廉政教育，设立廉政告示牌，公布举报电话，监督并认真查处违法违纪行为。 </w:t>
      </w:r>
    </w:p>
    <w:p>
      <w:pPr>
        <w:spacing w:after="4" w:line="347" w:lineRule="auto"/>
        <w:ind w:right="329"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（五）我方不以任何理由向甲方及其工作人员行贿或馈赠礼金、有价证券、贵重礼品。 </w:t>
      </w:r>
    </w:p>
    <w:p>
      <w:pPr>
        <w:spacing w:after="4" w:line="347" w:lineRule="auto"/>
        <w:ind w:right="329"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（六）我方不以任何名义为甲方及其工作人员报销应由甲方单位或个人支付的任何费用。 </w:t>
      </w:r>
    </w:p>
    <w:p>
      <w:pPr>
        <w:spacing w:after="4" w:line="347" w:lineRule="auto"/>
        <w:ind w:left="547" w:right="329"/>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（七）我方不以任何理由安排甲方工作人员参加宴请及娱乐活动。 </w:t>
      </w:r>
    </w:p>
    <w:p>
      <w:pPr>
        <w:spacing w:after="4" w:line="347" w:lineRule="auto"/>
        <w:ind w:left="547" w:right="329"/>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（八）我方不为甲方单位和个人购置或提供通讯工具、交通工具和高档办公用品等。 </w:t>
      </w:r>
    </w:p>
    <w:p>
      <w:pPr>
        <w:spacing w:after="4" w:line="347" w:lineRule="auto"/>
        <w:ind w:right="329"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（九）我方及其工作人员保证不索取或接受监理人、承包人的礼金、有价证券和贵重物品，保证不在监理人、承包人报销任何应由乙方或个人支付的费用。 </w:t>
      </w:r>
    </w:p>
    <w:p>
      <w:pPr>
        <w:spacing w:after="4" w:line="435" w:lineRule="auto"/>
        <w:ind w:right="329"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（十）我方及其工作人员将严格按照审计规程办事，决不与承包人串通，损害业主方利益。 </w:t>
      </w:r>
    </w:p>
    <w:p>
      <w:pPr>
        <w:spacing w:after="4" w:line="347" w:lineRule="auto"/>
        <w:ind w:right="329"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（十一）我方及其工作人员若违反本承诺上述几条，按管理权限、依据有关规定，给予党纪、政纪或组织处理；给业主方单位造成经济损失的，予以赔偿。 </w:t>
      </w:r>
    </w:p>
    <w:p>
      <w:pPr>
        <w:spacing w:after="135"/>
        <w:ind w:left="67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47"/>
        <w:ind w:left="121"/>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承诺人：</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工程造价审计主体（公章） </w:t>
      </w:r>
    </w:p>
    <w:p>
      <w:pPr>
        <w:spacing w:line="360" w:lineRule="auto"/>
        <w:ind w:right="676"/>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会计审计主体（公章）   </w:t>
      </w:r>
    </w:p>
    <w:p>
      <w:pPr>
        <w:spacing w:line="360" w:lineRule="auto"/>
        <w:ind w:left="5167" w:right="616" w:hanging="961"/>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法定代表人或被授权的代理人（签名）：</w:t>
      </w:r>
    </w:p>
    <w:p>
      <w:pPr>
        <w:spacing w:line="360" w:lineRule="auto"/>
        <w:ind w:left="5167" w:right="616" w:hanging="961"/>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年   月   日 </w:t>
      </w:r>
    </w:p>
    <w:p>
      <w:pPr>
        <w:pStyle w:val="3"/>
        <w:spacing w:after="113"/>
        <w:ind w:left="116" w:right="551"/>
        <w:rPr>
          <w:rFonts w:ascii="仿宋" w:hAnsi="仿宋" w:eastAsia="仿宋" w:cs="仿宋"/>
          <w:color w:val="000000" w:themeColor="text1"/>
          <w:sz w:val="24"/>
          <w:szCs w:val="24"/>
          <w:highlight w:val="none"/>
          <w14:textFill>
            <w14:solidFill>
              <w14:schemeClr w14:val="tx1"/>
            </w14:solidFill>
          </w14:textFill>
        </w:rPr>
        <w:sectPr>
          <w:footnotePr>
            <w:numRestart w:val="eachPage"/>
          </w:footnotePr>
          <w:pgSz w:w="11910" w:h="16845"/>
          <w:pgMar w:top="1417" w:right="1247" w:bottom="1417" w:left="1247" w:header="720" w:footer="720" w:gutter="0"/>
          <w:cols w:space="720" w:num="1"/>
        </w:sectPr>
      </w:pPr>
      <w:bookmarkStart w:id="424" w:name="_Toc12838"/>
    </w:p>
    <w:p>
      <w:pPr>
        <w:pStyle w:val="3"/>
        <w:spacing w:after="113"/>
        <w:ind w:left="116" w:right="55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附件三：履约保证金格式</w:t>
      </w:r>
      <w:bookmarkEnd w:id="424"/>
      <w:r>
        <w:rPr>
          <w:rFonts w:hint="eastAsia" w:ascii="仿宋" w:hAnsi="仿宋" w:eastAsia="仿宋" w:cs="仿宋"/>
          <w:color w:val="000000" w:themeColor="text1"/>
          <w:sz w:val="24"/>
          <w:szCs w:val="24"/>
          <w:highlight w:val="none"/>
          <w14:textFill>
            <w14:solidFill>
              <w14:schemeClr w14:val="tx1"/>
            </w14:solidFill>
          </w14:textFill>
        </w:rPr>
        <w:t xml:space="preserve"> </w:t>
      </w:r>
    </w:p>
    <w:p>
      <w:pPr>
        <w:spacing w:after="204"/>
        <w:ind w:left="54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497" w:line="265" w:lineRule="auto"/>
        <w:ind w:left="10" w:right="195" w:hanging="1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履约保证金 </w:t>
      </w:r>
    </w:p>
    <w:p>
      <w:pPr>
        <w:spacing w:after="363" w:line="265" w:lineRule="auto"/>
        <w:ind w:left="131" w:right="674" w:hanging="1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color="000000"/>
          <w14:textFill>
            <w14:solidFill>
              <w14:schemeClr w14:val="tx1"/>
            </w14:solidFill>
          </w14:textFill>
        </w:rPr>
        <w:t>：（采购人全称）</w:t>
      </w: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5" w:line="375" w:lineRule="auto"/>
        <w:ind w:left="106" w:right="872" w:firstLine="42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鉴于______（采购人名称，以下简称“采购人”）接受__________ （承包人名称）（以下称“承包人”）于______年____月____日参加______（项目名称）_________标段全过程造价咨询的投标。我方愿意无条件地、不可撤销地就承包人履行与你方订立的合同，向你方提供担保。 </w:t>
      </w:r>
    </w:p>
    <w:p>
      <w:pPr>
        <w:spacing w:after="118" w:line="270" w:lineRule="auto"/>
        <w:ind w:left="116" w:right="675" w:hanging="1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1.担保金额人民币（大写）____元（￥_____）。 </w:t>
      </w:r>
    </w:p>
    <w:p>
      <w:pPr>
        <w:spacing w:after="5" w:line="380" w:lineRule="auto"/>
        <w:ind w:left="116" w:right="675" w:hanging="1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2.担保有效期自采购人与承包人签订的合同生效之日起至竣工决算批复之日止。 </w:t>
      </w:r>
    </w:p>
    <w:p>
      <w:pPr>
        <w:spacing w:after="5" w:line="379" w:lineRule="auto"/>
        <w:ind w:left="106" w:right="87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3.在本担保有效期内，因承包人违反合同约定的义务给你方造成经济损失时，我方在收到你方以书面形式提出的在担保金额内的赔偿要求后，在7天内无条件支付，无须你方出具证明或陈述理由。 </w:t>
      </w:r>
    </w:p>
    <w:p>
      <w:pPr>
        <w:spacing w:after="129"/>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担保人：___________ （盖单位章）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法定代表人或其委托代理人：_________ </w:t>
      </w:r>
    </w:p>
    <w:p>
      <w:pPr>
        <w:spacing w:after="119" w:line="270" w:lineRule="auto"/>
        <w:ind w:left="116" w:right="675" w:hanging="1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址：____________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邮政编码：___________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    话：_____________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真：___________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______年 _____月_____日 </w:t>
      </w:r>
    </w:p>
    <w:p>
      <w:pPr>
        <w:spacing w:after="249"/>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50" w:line="337" w:lineRule="auto"/>
        <w:ind w:left="106" w:right="675" w:firstLine="4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注：承包人在获得采购人书面同意后，可采用银行提供的保函格式，其主要内容须与本保函内容原则一致。 </w:t>
      </w:r>
    </w:p>
    <w:p>
      <w:pPr>
        <w:ind w:right="733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pStyle w:val="3"/>
        <w:spacing w:after="174"/>
        <w:ind w:left="116" w:right="551"/>
        <w:rPr>
          <w:rFonts w:ascii="仿宋" w:hAnsi="仿宋" w:eastAsia="仿宋" w:cs="仿宋"/>
          <w:color w:val="000000" w:themeColor="text1"/>
          <w:sz w:val="24"/>
          <w:szCs w:val="24"/>
          <w:highlight w:val="none"/>
          <w14:textFill>
            <w14:solidFill>
              <w14:schemeClr w14:val="tx1"/>
            </w14:solidFill>
          </w14:textFill>
        </w:rPr>
      </w:pPr>
      <w:bookmarkStart w:id="425" w:name="_Toc16856"/>
      <w:r>
        <w:rPr>
          <w:rFonts w:hint="eastAsia" w:ascii="仿宋" w:hAnsi="仿宋" w:eastAsia="仿宋" w:cs="仿宋"/>
          <w:color w:val="000000" w:themeColor="text1"/>
          <w:sz w:val="24"/>
          <w:szCs w:val="24"/>
          <w:highlight w:val="none"/>
          <w14:textFill>
            <w14:solidFill>
              <w14:schemeClr w14:val="tx1"/>
            </w14:solidFill>
          </w14:textFill>
        </w:rPr>
        <w:t>附件四：项目图纸资料保密承诺书格式</w:t>
      </w:r>
      <w:bookmarkEnd w:id="425"/>
      <w:r>
        <w:rPr>
          <w:rFonts w:hint="eastAsia" w:ascii="仿宋" w:hAnsi="仿宋" w:eastAsia="仿宋" w:cs="仿宋"/>
          <w:color w:val="000000" w:themeColor="text1"/>
          <w:sz w:val="24"/>
          <w:szCs w:val="24"/>
          <w:highlight w:val="none"/>
          <w14:textFill>
            <w14:solidFill>
              <w14:schemeClr w14:val="tx1"/>
            </w14:solidFill>
          </w14:textFill>
        </w:rPr>
        <w:t xml:space="preserve"> </w:t>
      </w:r>
    </w:p>
    <w:p>
      <w:pPr>
        <w:spacing w:after="103"/>
        <w:ind w:right="4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ind w:left="2548" w:hanging="1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项目图纸资料保密承诺书 </w:t>
      </w:r>
    </w:p>
    <w:p>
      <w:pPr>
        <w:spacing w:after="59"/>
        <w:ind w:left="1945"/>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5" w:line="415" w:lineRule="auto"/>
        <w:ind w:left="106" w:right="675" w:firstLine="4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（承包人名称）将完善</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项目名称）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 </w:t>
      </w:r>
    </w:p>
    <w:p>
      <w:pPr>
        <w:spacing w:after="5" w:line="415" w:lineRule="auto"/>
        <w:ind w:left="106" w:right="675" w:firstLine="4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我方同时承诺，不通过互联网与任何单位和个人进行与本项目有关图纸资料交换传递，不通过任何途径向本项目无关方泄露和传播本项目有关图纸资料。 </w:t>
      </w:r>
    </w:p>
    <w:p>
      <w:pPr>
        <w:spacing w:after="158"/>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59"/>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159"/>
        <w:ind w:left="121"/>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after="5" w:line="394" w:lineRule="auto"/>
        <w:ind w:left="541" w:right="675" w:firstLine="3154"/>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承诺人：</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（盖单位电子章） </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法定代表人或其授权的代理人</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（签字）</w:t>
      </w:r>
    </w:p>
    <w:p>
      <w:pPr>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jc w:val="right"/>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color="000000"/>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日    </w:t>
      </w:r>
      <w:r>
        <w:rPr>
          <w:rFonts w:ascii="微软雅黑" w:hAnsi="微软雅黑" w:eastAsia="微软雅黑" w:cs="微软雅黑"/>
          <w:color w:val="000000" w:themeColor="text1"/>
          <w:highlight w:val="none"/>
          <w14:textFill>
            <w14:solidFill>
              <w14:schemeClr w14:val="tx1"/>
            </w14:solidFill>
          </w14:textFill>
        </w:rPr>
        <w:t xml:space="preserve">             </w:t>
      </w:r>
    </w:p>
    <w:p>
      <w:pPr>
        <w:spacing w:after="8"/>
        <w:ind w:left="121"/>
        <w:rPr>
          <w:color w:val="000000" w:themeColor="text1"/>
          <w:highlight w:val="none"/>
          <w14:textFill>
            <w14:solidFill>
              <w14:schemeClr w14:val="tx1"/>
            </w14:solidFill>
          </w14:textFill>
        </w:rPr>
      </w:pPr>
      <w:r>
        <w:rPr>
          <w:rFonts w:ascii="微软雅黑" w:hAnsi="微软雅黑" w:eastAsia="微软雅黑" w:cs="微软雅黑"/>
          <w:color w:val="000000" w:themeColor="text1"/>
          <w:highlight w:val="none"/>
          <w14:textFill>
            <w14:solidFill>
              <w14:schemeClr w14:val="tx1"/>
            </w14:solidFill>
          </w14:textFill>
        </w:rPr>
        <w:t xml:space="preserve">  </w:t>
      </w:r>
    </w:p>
    <w:p>
      <w:pPr>
        <w:rPr>
          <w:rFonts w:ascii="仿宋" w:hAnsi="仿宋" w:eastAsia="仿宋" w:cs="仿宋"/>
          <w:color w:val="000000" w:themeColor="text1"/>
          <w:sz w:val="24"/>
          <w:highlight w:val="none"/>
          <w14:textFill>
            <w14:solidFill>
              <w14:schemeClr w14:val="tx1"/>
            </w14:solidFill>
          </w14:textFill>
        </w:rPr>
      </w:pPr>
    </w:p>
    <w:p>
      <w:pPr>
        <w:pStyle w:val="33"/>
        <w:spacing w:line="400" w:lineRule="exact"/>
        <w:rPr>
          <w:rFonts w:ascii="仿宋" w:hAnsi="仿宋" w:eastAsia="仿宋" w:cs="仿宋"/>
          <w:b/>
          <w:bCs/>
          <w:color w:val="000000" w:themeColor="text1"/>
          <w:sz w:val="24"/>
          <w:szCs w:val="24"/>
          <w:highlight w:val="none"/>
          <w14:textFill>
            <w14:solidFill>
              <w14:schemeClr w14:val="tx1"/>
            </w14:solidFill>
          </w14:textFill>
        </w:rPr>
      </w:pPr>
    </w:p>
    <w:p>
      <w:pPr>
        <w:pStyle w:val="33"/>
        <w:spacing w:line="400" w:lineRule="exact"/>
        <w:rPr>
          <w:rFonts w:ascii="仿宋" w:hAnsi="仿宋" w:eastAsia="仿宋" w:cs="仿宋"/>
          <w:b/>
          <w:bCs/>
          <w:color w:val="000000" w:themeColor="text1"/>
          <w:sz w:val="24"/>
          <w:szCs w:val="24"/>
          <w:highlight w:val="none"/>
          <w14:textFill>
            <w14:solidFill>
              <w14:schemeClr w14:val="tx1"/>
            </w14:solidFill>
          </w14:textFill>
        </w:rPr>
      </w:pPr>
    </w:p>
    <w:p>
      <w:pPr>
        <w:spacing w:line="360" w:lineRule="auto"/>
        <w:ind w:left="-420" w:leftChars="-200" w:right="-420" w:rightChars="-200"/>
        <w:rPr>
          <w:rFonts w:ascii="仿宋" w:hAnsi="仿宋" w:eastAsia="仿宋"/>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ascii="仿宋" w:hAnsi="仿宋" w:eastAsia="仿宋"/>
          <w:color w:val="000000" w:themeColor="text1"/>
          <w:sz w:val="24"/>
          <w:highlight w:val="none"/>
          <w14:textFill>
            <w14:solidFill>
              <w14:schemeClr w14:val="tx1"/>
            </w14:solidFill>
          </w14:textFill>
        </w:rPr>
      </w:pPr>
    </w:p>
    <w:p>
      <w:pPr>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spacing w:line="360" w:lineRule="auto"/>
        <w:ind w:left="720" w:firstLine="723" w:firstLineChars="200"/>
        <w:outlineLvl w:val="0"/>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s="仿宋_GB2312"/>
          <w:b/>
          <w:color w:val="000000" w:themeColor="text1"/>
          <w:sz w:val="36"/>
          <w:szCs w:val="20"/>
          <w:highlight w:val="none"/>
          <w14:textFill>
            <w14:solidFill>
              <w14:schemeClr w14:val="tx1"/>
            </w14:solidFill>
          </w14:textFill>
        </w:rPr>
        <w:t>第六部分</w:t>
      </w:r>
      <w:bookmarkEnd w:id="396"/>
      <w:r>
        <w:rPr>
          <w:rFonts w:ascii="仿宋" w:hAnsi="仿宋" w:eastAsia="仿宋" w:cs="仿宋_GB2312"/>
          <w:b/>
          <w:color w:val="000000" w:themeColor="text1"/>
          <w:sz w:val="36"/>
          <w:szCs w:val="20"/>
          <w:highlight w:val="none"/>
          <w14:textFill>
            <w14:solidFill>
              <w14:schemeClr w14:val="tx1"/>
            </w14:solidFill>
          </w14:textFill>
        </w:rPr>
        <w:t xml:space="preserve"> </w:t>
      </w:r>
      <w:bookmarkEnd w:id="397"/>
      <w:r>
        <w:rPr>
          <w:rFonts w:hint="eastAsia" w:ascii="仿宋" w:hAnsi="仿宋" w:eastAsia="仿宋" w:cs="仿宋_GB2312"/>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br w:type="page"/>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w:t>
      </w:r>
      <w:r>
        <w:rPr>
          <w:rFonts w:hint="eastAsia" w:ascii="仿宋_GB2312" w:hAnsi="仿宋" w:eastAsia="仿宋_GB2312"/>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before="50" w:after="50" w:line="360" w:lineRule="auto"/>
        <w:ind w:firstLine="472" w:firstLineChars="196"/>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A</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highlight w:val="none"/>
          <w14:textFill>
            <w14:solidFill>
              <w14:schemeClr w14:val="tx1"/>
            </w14:solidFill>
          </w14:textFill>
        </w:rPr>
      </w:pPr>
    </w:p>
    <w:p>
      <w:pPr>
        <w:widowControl/>
        <w:spacing w:line="360" w:lineRule="auto"/>
        <w:ind w:firstLine="472" w:firstLineChars="196"/>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B.</w:t>
      </w:r>
      <w:r>
        <w:rPr>
          <w:rFonts w:hint="eastAsia" w:ascii="仿宋_GB2312" w:hAnsi="仿宋" w:eastAsia="仿宋_GB2312" w:cs="仿宋_GB2312"/>
          <w:color w:val="000000" w:themeColor="text1"/>
          <w:sz w:val="24"/>
          <w:highlight w:val="none"/>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C、</w:t>
      </w:r>
      <w:r>
        <w:rPr>
          <w:rFonts w:hint="eastAsia" w:ascii="仿宋_GB2312" w:hAnsi="仿宋" w:eastAsia="仿宋_GB2312" w:cs="仿宋_GB2312"/>
          <w:color w:val="000000" w:themeColor="text1"/>
          <w:sz w:val="24"/>
          <w:highlight w:val="none"/>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pStyle w:val="4"/>
        <w:ind w:left="664" w:leftChars="316" w:firstLine="229" w:firstLineChars="95"/>
        <w:rPr>
          <w:color w:val="000000" w:themeColor="text1"/>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（根据招标公告本项目的特定资格要求</w:t>
      </w:r>
      <w:r>
        <w:rPr>
          <w:rFonts w:hint="eastAsia" w:ascii="仿宋_GB2312" w:hAnsi="仿宋" w:eastAsia="仿宋_GB2312"/>
          <w:color w:val="000000" w:themeColor="text1"/>
          <w:sz w:val="24"/>
          <w:highlight w:val="none"/>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 w:eastAsia="仿宋_GB2312" w:cs="仿宋_GB2312"/>
          <w:b/>
          <w:color w:val="000000" w:themeColor="text1"/>
          <w:kern w:val="0"/>
          <w:sz w:val="28"/>
          <w:szCs w:val="28"/>
          <w:highlight w:val="none"/>
          <w14:textFill>
            <w14:solidFill>
              <w14:schemeClr w14:val="tx1"/>
            </w14:solidFill>
          </w14:textFill>
        </w:rPr>
        <w:t>目录</w:t>
      </w:r>
    </w:p>
    <w:p>
      <w:pPr>
        <w:snapToGrid w:val="0"/>
        <w:spacing w:line="360" w:lineRule="auto"/>
        <w:ind w:firstLine="480" w:firstLineChars="20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投标函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firstLine="480" w:firstLineChars="20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2）授权委托书或法定代表人（单位负责人、自然人本人）身份证明</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3）符合性审查资料</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cs="仿宋_GB2312"/>
          <w:color w:val="000000" w:themeColor="text1"/>
          <w:sz w:val="24"/>
          <w:highlight w:val="none"/>
          <w14:textFill>
            <w14:solidFill>
              <w14:schemeClr w14:val="tx1"/>
            </w14:solidFill>
          </w14:textFill>
        </w:rPr>
        <w:t>投标人业绩………………………………………………………………（页码）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（5</w:t>
      </w:r>
      <w:r>
        <w:rPr>
          <w:rFonts w:ascii="仿宋_GB2312" w:hAnsi="仿宋" w:eastAsia="仿宋_GB2312" w:cs="仿宋_GB2312"/>
          <w:color w:val="000000" w:themeColor="text1"/>
          <w:sz w:val="24"/>
          <w:highlight w:val="none"/>
          <w14:textFill>
            <w14:solidFill>
              <w14:schemeClr w14:val="tx1"/>
            </w14:solidFill>
          </w14:textFill>
        </w:rPr>
        <w:t>）项目负责人能力</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（6</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财务主审能力……………………………………………………………（页码）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（7</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项目组人员配置及分工（需提供拟派本项目人员汇总表，驻场各专业人员须单独注明，项目组人员专业结构搭配合理）造价咨询服务大纲……………（页码）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（8</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管理体系证书</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（9</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造价咨询服务大纲</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w:t>
      </w:r>
      <w:r>
        <w:rPr>
          <w:rFonts w:hint="eastAsia" w:ascii="仿宋_GB2312" w:hAnsi="仿宋" w:eastAsia="仿宋_GB2312" w:cs="仿宋_GB2312"/>
          <w:color w:val="000000" w:themeColor="text1"/>
          <w:sz w:val="24"/>
          <w:highlight w:val="none"/>
          <w14:textFill>
            <w14:solidFill>
              <w14:schemeClr w14:val="tx1"/>
            </w14:solidFill>
          </w14:textFill>
        </w:rPr>
        <w:t>0</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造价咨询服务质量承诺、内部质量管理制度</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w:t>
      </w: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造价咨询服务的疑难点考虑</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（12</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 xml:space="preserve">合理化建议 </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（13</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工作时效性及本地化服务能力…………………………………………（页码）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（14</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误差率承诺情况…………………………………………………………</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（15</w:t>
      </w:r>
      <w:r>
        <w:rPr>
          <w:rFonts w:ascii="仿宋_GB2312" w:hAnsi="仿宋" w:eastAsia="仿宋_GB2312" w:cs="仿宋_GB2312"/>
          <w:color w:val="000000" w:themeColor="text1"/>
          <w:sz w:val="24"/>
          <w:highlight w:val="none"/>
          <w14:textFill>
            <w14:solidFill>
              <w14:schemeClr w14:val="tx1"/>
            </w14:solidFill>
          </w14:textFill>
        </w:rPr>
        <w:t>）商务技术偏离表</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（16</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（17</w:t>
      </w:r>
      <w:r>
        <w:rPr>
          <w:rFonts w:ascii="仿宋_GB2312" w:hAnsi="仿宋" w:eastAsia="仿宋_GB2312" w:cs="仿宋_GB2312"/>
          <w:color w:val="000000" w:themeColor="text1"/>
          <w:sz w:val="24"/>
          <w:highlight w:val="none"/>
          <w14:textFill>
            <w14:solidFill>
              <w14:schemeClr w14:val="tx1"/>
            </w14:solidFill>
          </w14:textFill>
        </w:rPr>
        <w:t>）投标方针对评分规则需要说明的其他文件和说明（格式自拟）</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spacing w:line="240" w:lineRule="auto"/>
        <w:jc w:val="left"/>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pPr>
        <w:pStyle w:val="2"/>
        <w:rPr>
          <w:color w:val="000000" w:themeColor="text1"/>
          <w:highlight w:val="none"/>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一、投标</w:t>
      </w:r>
      <w:r>
        <w:rPr>
          <w:rFonts w:hint="eastAsia" w:ascii="仿宋_GB2312" w:hAnsi="仿宋" w:eastAsia="仿宋_GB2312" w:cs="仿宋_GB2312"/>
          <w:b/>
          <w:color w:val="000000" w:themeColor="text1"/>
          <w:sz w:val="32"/>
          <w:szCs w:val="32"/>
          <w:highlight w:val="none"/>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我方参加你方组织的（项目名称）【招标编号：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天（不少于</w:t>
      </w:r>
      <w:r>
        <w:rPr>
          <w:rFonts w:ascii="仿宋_GB2312" w:hAnsi="仿宋" w:eastAsia="仿宋_GB2312" w:cs="仿宋_GB2312"/>
          <w:color w:val="000000" w:themeColor="text1"/>
          <w:sz w:val="24"/>
          <w:highlight w:val="none"/>
          <w14:textFill>
            <w14:solidFill>
              <w14:schemeClr w14:val="tx1"/>
            </w14:solidFill>
          </w14:textFill>
        </w:rPr>
        <w:t>90天）</w:t>
      </w:r>
      <w:r>
        <w:rPr>
          <w:rFonts w:hint="eastAsia"/>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2.1.1</w:t>
      </w:r>
      <w:r>
        <w:rPr>
          <w:rFonts w:hint="eastAsia" w:ascii="仿宋_GB2312" w:hAnsi="仿宋" w:eastAsia="仿宋_GB2312" w:cs="仿宋_GB2312"/>
          <w:color w:val="000000" w:themeColor="text1"/>
          <w:sz w:val="24"/>
          <w:highlight w:val="none"/>
          <w14:textFill>
            <w14:solidFill>
              <w14:schemeClr w14:val="tx1"/>
            </w14:solidFill>
          </w14:textFill>
        </w:rPr>
        <w:t>承诺函；</w:t>
      </w:r>
    </w:p>
    <w:p>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2.1.3本项目的特定资格要求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.2.3符合性审查资料；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.2.4投标人业绩；</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14:textFill>
            <w14:solidFill>
              <w14:schemeClr w14:val="tx1"/>
            </w14:solidFill>
          </w14:textFill>
        </w:rPr>
        <w:t>5</w:t>
      </w:r>
      <w:r>
        <w:rPr>
          <w:rFonts w:ascii="仿宋_GB2312" w:hAnsi="仿宋" w:eastAsia="仿宋_GB2312" w:cs="仿宋_GB2312"/>
          <w:color w:val="000000" w:themeColor="text1"/>
          <w:sz w:val="24"/>
          <w:highlight w:val="none"/>
          <w14:textFill>
            <w14:solidFill>
              <w14:schemeClr w14:val="tx1"/>
            </w14:solidFill>
          </w14:textFill>
        </w:rPr>
        <w:t>项目负责人能力；</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2.2.6财务主审能力</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14:textFill>
            <w14:solidFill>
              <w14:schemeClr w14:val="tx1"/>
            </w14:solidFill>
          </w14:textFill>
        </w:rPr>
        <w:t>7</w:t>
      </w:r>
      <w:r>
        <w:rPr>
          <w:rFonts w:ascii="仿宋_GB2312" w:hAnsi="仿宋" w:eastAsia="仿宋_GB2312" w:cs="仿宋_GB2312"/>
          <w:color w:val="000000" w:themeColor="text1"/>
          <w:sz w:val="24"/>
          <w:highlight w:val="none"/>
          <w14:textFill>
            <w14:solidFill>
              <w14:schemeClr w14:val="tx1"/>
            </w14:solidFill>
          </w14:textFill>
        </w:rPr>
        <w:t>项目组人员配置及分工（需提供拟派本项目人员汇总表，驻场各专业人员须单独注明，项目组人员专业结构搭配合理）；</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14:textFill>
            <w14:solidFill>
              <w14:schemeClr w14:val="tx1"/>
            </w14:solidFill>
          </w14:textFill>
        </w:rPr>
        <w:t>8管理体系证书</w:t>
      </w:r>
      <w:r>
        <w:rPr>
          <w:rFonts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2.2.9造价咨询服务大纲；</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2.2.10造价咨询服务质量承诺、内部质量管理制度；</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2.2.11造价咨询服务的疑难点考虑；</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14:textFill>
            <w14:solidFill>
              <w14:schemeClr w14:val="tx1"/>
            </w14:solidFill>
          </w14:textFill>
        </w:rPr>
        <w:t>12合理化建议</w:t>
      </w:r>
      <w:r>
        <w:rPr>
          <w:rFonts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2.2.13工作时效性及本地化服务能力；</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2.2.14误差率承诺情况；</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.2.1</w:t>
      </w:r>
      <w:r>
        <w:rPr>
          <w:rFonts w:hint="eastAsia" w:ascii="仿宋_GB2312" w:hAnsi="仿宋" w:eastAsia="仿宋_GB2312" w:cs="仿宋_GB2312"/>
          <w:color w:val="000000" w:themeColor="text1"/>
          <w:sz w:val="24"/>
          <w:highlight w:val="none"/>
          <w14:textFill>
            <w14:solidFill>
              <w14:schemeClr w14:val="tx1"/>
            </w14:solidFill>
          </w14:textFill>
        </w:rPr>
        <w:t>5</w:t>
      </w:r>
      <w:r>
        <w:rPr>
          <w:rFonts w:ascii="仿宋_GB2312" w:hAnsi="仿宋" w:eastAsia="仿宋_GB2312" w:cs="仿宋_GB2312"/>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14:textFill>
            <w14:solidFill>
              <w14:schemeClr w14:val="tx1"/>
            </w14:solidFill>
          </w14:textFill>
        </w:rPr>
        <w:t>16</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14:textFill>
            <w14:solidFill>
              <w14:schemeClr w14:val="tx1"/>
            </w14:solidFill>
          </w14:textFill>
        </w:rPr>
        <w:t>17</w:t>
      </w:r>
      <w:r>
        <w:rPr>
          <w:rFonts w:ascii="仿宋_GB2312" w:hAnsi="仿宋" w:eastAsia="仿宋_GB2312" w:cs="仿宋_GB2312"/>
          <w:color w:val="000000" w:themeColor="text1"/>
          <w:sz w:val="24"/>
          <w:highlight w:val="none"/>
          <w14:textFill>
            <w14:solidFill>
              <w14:schemeClr w14:val="tx1"/>
            </w14:solidFill>
          </w14:textFill>
        </w:rPr>
        <w:t xml:space="preserve">投标方针对评分规则需要说明的其他文件和说明（格式自拟）。 </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2.3.2中小企业声明函</w:t>
      </w:r>
      <w:r>
        <w:rPr>
          <w:rFonts w:hint="eastAsia" w:ascii="仿宋_GB2312" w:hAnsi="仿宋" w:eastAsia="仿宋_GB2312" w:cs="仿宋_GB2312"/>
          <w:color w:val="000000" w:themeColor="text1"/>
          <w:sz w:val="24"/>
          <w:highlight w:val="none"/>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cs="仿宋_GB2312"/>
          <w:color w:val="000000" w:themeColor="text1"/>
          <w:sz w:val="24"/>
          <w:highlight w:val="none"/>
          <w14:textFill>
            <w14:solidFill>
              <w14:schemeClr w14:val="tx1"/>
            </w14:solidFill>
          </w14:textFill>
        </w:rPr>
        <w:t>4</w:t>
      </w:r>
      <w:r>
        <w:rPr>
          <w:rFonts w:ascii="仿宋_GB2312" w:hAnsi="仿宋" w:eastAsia="仿宋_GB2312" w:cs="仿宋_GB2312"/>
          <w:color w:val="000000" w:themeColor="text1"/>
          <w:sz w:val="24"/>
          <w:highlight w:val="none"/>
          <w14:textFill>
            <w14:solidFill>
              <w14:schemeClr w14:val="tx1"/>
            </w14:solidFill>
          </w14:textFill>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5、其他补充说明:</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p>
    <w:p>
      <w:pPr>
        <w:spacing w:line="360" w:lineRule="auto"/>
        <w:ind w:firstLine="3600" w:firstLineChars="15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投标人名称（电子签名）：</w:t>
      </w:r>
      <w:r>
        <w:rPr>
          <w:rFonts w:ascii="仿宋_GB2312" w:hAnsi="仿宋" w:eastAsia="仿宋_GB2312" w:cs="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pStyle w:val="24"/>
        <w:rPr>
          <w:color w:val="000000" w:themeColor="text1"/>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2872" w:firstLineChars="894"/>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授权委托书（适用于非联合体投标）</w:t>
      </w:r>
      <w:r>
        <w:rPr>
          <w:color w:val="000000" w:themeColor="text1"/>
          <w:highlight w:val="none"/>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7"/>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147"/>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highlight w:val="none"/>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，对联合体报价给予</w:t>
      </w:r>
      <w:r>
        <w:rPr>
          <w:rFonts w:hint="eastAsia" w:ascii="仿宋_GB2312" w:hAnsi="仿宋" w:eastAsia="仿宋_GB2312" w:cs="仿宋_GB2312"/>
          <w:b/>
          <w:color w:val="000000" w:themeColor="text1"/>
          <w:kern w:val="0"/>
          <w:sz w:val="24"/>
          <w:highlight w:val="none"/>
          <w14:textFill>
            <w14:solidFill>
              <w14:schemeClr w14:val="tx1"/>
            </w14:solidFill>
          </w14:textFill>
        </w:rPr>
        <w:t>6</w:t>
      </w:r>
      <w:r>
        <w:rPr>
          <w:rFonts w:ascii="仿宋_GB2312" w:hAnsi="仿宋" w:eastAsia="仿宋_GB2312" w:cs="仿宋_GB2312"/>
          <w:b/>
          <w:color w:val="000000" w:themeColor="text1"/>
          <w:kern w:val="0"/>
          <w:sz w:val="24"/>
          <w:highlight w:val="none"/>
          <w:lang w:val="zh-CN"/>
          <w14:textFill>
            <w14:solidFill>
              <w14:schemeClr w14:val="tx1"/>
            </w14:solidFill>
          </w14:textFill>
        </w:rPr>
        <w:t>%的扣除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highlight w:val="none"/>
          <w:lang w:val="zh-CN"/>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sz w:val="24"/>
          <w:highlight w:val="none"/>
          <w14:textFill>
            <w14:solidFill>
              <w14:schemeClr w14:val="tx1"/>
            </w14:solidFill>
          </w14:textFill>
        </w:rPr>
        <w:t>（项目名称）【招标编号：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pStyle w:val="4"/>
        <w:ind w:left="664" w:leftChars="316" w:firstLine="229" w:firstLineChars="95"/>
        <w:rPr>
          <w:color w:val="000000" w:themeColor="text1"/>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highlight w:val="none"/>
          <w14:textFill>
            <w14:solidFill>
              <w14:schemeClr w14:val="tx1"/>
            </w14:solidFill>
          </w14:textFill>
        </w:rPr>
        <w:t>其合同份额占到合同总金额</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%以上</w:t>
      </w:r>
      <w:r>
        <w:rPr>
          <w:rFonts w:hint="eastAsia" w:ascii="仿宋_GB2312" w:hAnsi="仿宋" w:eastAsia="仿宋_GB2312"/>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highlight w:val="none"/>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的，对大中型企业的报价给予</w:t>
      </w:r>
      <w:r>
        <w:rPr>
          <w:rFonts w:hint="eastAsia" w:ascii="仿宋_GB2312" w:hAnsi="仿宋" w:eastAsia="仿宋_GB2312" w:cs="仿宋_GB2312"/>
          <w:b/>
          <w:color w:val="000000" w:themeColor="text1"/>
          <w:kern w:val="0"/>
          <w:sz w:val="24"/>
          <w:highlight w:val="none"/>
          <w14:textFill>
            <w14:solidFill>
              <w14:schemeClr w14:val="tx1"/>
            </w14:solidFill>
          </w14:textFill>
        </w:rPr>
        <w:t>6</w:t>
      </w:r>
      <w:r>
        <w:rPr>
          <w:rFonts w:ascii="仿宋_GB2312" w:hAnsi="仿宋" w:eastAsia="仿宋_GB2312" w:cs="仿宋_GB2312"/>
          <w:b/>
          <w:color w:val="000000" w:themeColor="text1"/>
          <w:kern w:val="0"/>
          <w:sz w:val="24"/>
          <w:highlight w:val="none"/>
          <w:lang w:val="zh-CN"/>
          <w14:textFill>
            <w14:solidFill>
              <w14:schemeClr w14:val="tx1"/>
            </w14:solidFill>
          </w14:textFill>
        </w:rPr>
        <w:t>%的扣除</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仿宋" w:hAnsi="仿宋" w:eastAsia="仿宋" w:cs="仿宋_GB2312"/>
                <w:color w:val="000000" w:themeColor="text1"/>
                <w:sz w:val="24"/>
                <w:highlight w:val="none"/>
                <w14:textFill>
                  <w14:solidFill>
                    <w14:schemeClr w14:val="tx1"/>
                  </w14:solidFill>
                </w14:textFill>
              </w:rPr>
            </w:pPr>
          </w:p>
          <w:p>
            <w:pP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p>
        </w:tc>
        <w:tc>
          <w:tcPr>
            <w:tcW w:w="1418" w:type="dxa"/>
          </w:tcPr>
          <w:p>
            <w:pP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p>
        </w:tc>
        <w:tc>
          <w:tcPr>
            <w:tcW w:w="4991" w:type="dxa"/>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系指实质性要求条款，招标文件无其它实质性要求的，无需提供）</w:t>
            </w:r>
          </w:p>
        </w:tc>
        <w:tc>
          <w:tcPr>
            <w:tcW w:w="1418" w:type="dxa"/>
          </w:tcPr>
          <w:p>
            <w:pP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left"/>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pPr>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八、</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我单位响应你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六、严格遵守《</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政府采购法》《</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法》</w:t>
      </w:r>
      <w:r>
        <w:rPr>
          <w:rFonts w:hint="eastAsia" w:ascii="仿宋_GB2312" w:hAnsi="楷体" w:eastAsia="仿宋_GB2312"/>
          <w:color w:val="000000" w:themeColor="text1"/>
          <w:sz w:val="24"/>
          <w:highlight w:val="none"/>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pPr>
    </w:p>
    <w:p>
      <w:pPr>
        <w:spacing w:line="360" w:lineRule="auto"/>
        <w:jc w:val="center"/>
        <w:rPr>
          <w:rFonts w:ascii="仿宋_GB2312" w:hAnsi="仿宋" w:eastAsia="仿宋_GB2312" w:cs="仿宋_GB2312"/>
          <w:b/>
          <w:bCs/>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numPr>
          <w:ilvl w:val="255"/>
          <w:numId w:val="0"/>
        </w:num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开标一览表（报价表）……</w:t>
      </w:r>
      <w:r>
        <w:rPr>
          <w:rFonts w:hint="eastAsia" w:ascii="仿宋_GB2312" w:hAnsi="仿宋" w:eastAsia="仿宋_GB2312" w:cs="仿宋_GB2312"/>
          <w:color w:val="000000" w:themeColor="text1"/>
          <w:sz w:val="24"/>
          <w:highlight w:val="none"/>
          <w14:textFill>
            <w14:solidFill>
              <w14:schemeClr w14:val="tx1"/>
            </w14:solidFill>
          </w14:textFill>
        </w:rPr>
        <w:t>…………………………………………………（页码）</w:t>
      </w:r>
    </w:p>
    <w:p>
      <w:pPr>
        <w:numPr>
          <w:ilvl w:val="255"/>
          <w:numId w:val="0"/>
        </w:num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）中小企业声明函……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47" w:right="1418" w:bottom="1276" w:left="1418" w:header="851" w:footer="992" w:gutter="0"/>
          <w:cols w:space="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【招标编号：</w:t>
      </w:r>
      <w:r>
        <w:rPr>
          <w:rFonts w:hint="eastAsia" w:ascii="仿宋_GB2312" w:hAnsi="仿宋" w:eastAsia="仿宋_GB2312"/>
          <w:color w:val="000000" w:themeColor="text1"/>
          <w:sz w:val="24"/>
          <w:highlight w:val="none"/>
          <w14:textFill>
            <w14:solidFill>
              <w14:schemeClr w14:val="tx1"/>
            </w14:solidFill>
          </w14:textFill>
        </w:rPr>
        <w:t>（采购编号）</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开标一览表（报价表）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2"/>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9"/>
        <w:gridCol w:w="2004"/>
        <w:gridCol w:w="2005"/>
        <w:gridCol w:w="1558"/>
        <w:gridCol w:w="24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jc w:val="center"/>
        </w:trPr>
        <w:tc>
          <w:tcPr>
            <w:tcW w:w="779" w:type="dxa"/>
            <w:vAlign w:val="center"/>
          </w:tcPr>
          <w:p>
            <w:pPr>
              <w:jc w:val="center"/>
              <w:rPr>
                <w:rFonts w:ascii="仿宋_GB2312" w:eastAsia="仿宋_GB2312"/>
                <w:b/>
                <w:color w:val="000000" w:themeColor="text1"/>
                <w:sz w:val="24"/>
                <w:highlight w:val="none"/>
                <w:lang w:val="en-GB"/>
                <w14:textFill>
                  <w14:solidFill>
                    <w14:schemeClr w14:val="tx1"/>
                  </w14:solidFill>
                </w14:textFill>
              </w:rPr>
            </w:pPr>
            <w:r>
              <w:rPr>
                <w:rFonts w:hint="eastAsia" w:ascii="仿宋_GB2312" w:eastAsia="仿宋_GB2312"/>
                <w:b/>
                <w:color w:val="000000" w:themeColor="text1"/>
                <w:sz w:val="24"/>
                <w:highlight w:val="none"/>
                <w:lang w:val="en-GB"/>
                <w14:textFill>
                  <w14:solidFill>
                    <w14:schemeClr w14:val="tx1"/>
                  </w14:solidFill>
                </w14:textFill>
              </w:rPr>
              <w:t>序号</w:t>
            </w:r>
          </w:p>
        </w:tc>
        <w:tc>
          <w:tcPr>
            <w:tcW w:w="2004" w:type="dxa"/>
            <w:vAlign w:val="center"/>
          </w:tcPr>
          <w:p>
            <w:pPr>
              <w:jc w:val="center"/>
              <w:rPr>
                <w:rFonts w:ascii="仿宋_GB2312" w:eastAsia="仿宋_GB2312"/>
                <w:b/>
                <w:color w:val="000000" w:themeColor="text1"/>
                <w:sz w:val="24"/>
                <w:highlight w:val="none"/>
                <w:lang w:val="en-GB"/>
                <w14:textFill>
                  <w14:solidFill>
                    <w14:schemeClr w14:val="tx1"/>
                  </w14:solidFill>
                </w14:textFill>
              </w:rPr>
            </w:pPr>
            <w:r>
              <w:rPr>
                <w:rFonts w:hint="eastAsia" w:ascii="仿宋_GB2312" w:eastAsia="仿宋_GB2312"/>
                <w:b/>
                <w:color w:val="000000" w:themeColor="text1"/>
                <w:sz w:val="24"/>
                <w:highlight w:val="none"/>
                <w:lang w:val="en-GB"/>
                <w14:textFill>
                  <w14:solidFill>
                    <w14:schemeClr w14:val="tx1"/>
                  </w14:solidFill>
                </w14:textFill>
              </w:rPr>
              <w:t>名称</w:t>
            </w:r>
          </w:p>
        </w:tc>
        <w:tc>
          <w:tcPr>
            <w:tcW w:w="2005" w:type="dxa"/>
            <w:vAlign w:val="center"/>
          </w:tcPr>
          <w:p>
            <w:pPr>
              <w:jc w:val="center"/>
              <w:rPr>
                <w:rFonts w:ascii="仿宋_GB2312" w:eastAsia="仿宋_GB2312"/>
                <w:b/>
                <w:color w:val="000000" w:themeColor="text1"/>
                <w:sz w:val="24"/>
                <w:highlight w:val="none"/>
                <w:lang w:val="en-GB"/>
                <w14:textFill>
                  <w14:solidFill>
                    <w14:schemeClr w14:val="tx1"/>
                  </w14:solidFill>
                </w14:textFill>
              </w:rPr>
            </w:pPr>
            <w:r>
              <w:rPr>
                <w:rFonts w:hint="eastAsia" w:ascii="仿宋_GB2312" w:eastAsia="仿宋_GB2312"/>
                <w:b/>
                <w:color w:val="000000" w:themeColor="text1"/>
                <w:sz w:val="24"/>
                <w:highlight w:val="none"/>
                <w:lang w:val="en-GB"/>
                <w14:textFill>
                  <w14:solidFill>
                    <w14:schemeClr w14:val="tx1"/>
                  </w14:solidFill>
                </w14:textFill>
              </w:rPr>
              <w:t>报价</w:t>
            </w:r>
          </w:p>
        </w:tc>
        <w:tc>
          <w:tcPr>
            <w:tcW w:w="1558" w:type="dxa"/>
            <w:vAlign w:val="center"/>
          </w:tcPr>
          <w:p>
            <w:pPr>
              <w:jc w:val="center"/>
              <w:rPr>
                <w:rFonts w:ascii="仿宋_GB2312" w:eastAsia="仿宋_GB2312"/>
                <w:b/>
                <w:color w:val="000000" w:themeColor="text1"/>
                <w:sz w:val="24"/>
                <w:highlight w:val="none"/>
                <w14:textFill>
                  <w14:solidFill>
                    <w14:schemeClr w14:val="tx1"/>
                  </w14:solidFill>
                </w14:textFill>
              </w:rPr>
            </w:pPr>
            <w:r>
              <w:rPr>
                <w:rFonts w:hint="eastAsia" w:ascii="仿宋_GB2312" w:eastAsia="仿宋_GB2312"/>
                <w:b/>
                <w:color w:val="000000" w:themeColor="text1"/>
                <w:sz w:val="24"/>
                <w:highlight w:val="none"/>
                <w14:textFill>
                  <w14:solidFill>
                    <w14:schemeClr w14:val="tx1"/>
                  </w14:solidFill>
                </w14:textFill>
              </w:rPr>
              <w:t>报价</w:t>
            </w:r>
            <w:r>
              <w:rPr>
                <w:rFonts w:hint="eastAsia" w:ascii="仿宋_GB2312" w:eastAsia="仿宋_GB2312"/>
                <w:b/>
                <w:color w:val="000000" w:themeColor="text1"/>
                <w:sz w:val="24"/>
                <w:highlight w:val="none"/>
                <w:lang w:val="en-GB"/>
                <w14:textFill>
                  <w14:solidFill>
                    <w14:schemeClr w14:val="tx1"/>
                  </w14:solidFill>
                </w14:textFill>
              </w:rPr>
              <w:t>费率</w:t>
            </w:r>
          </w:p>
        </w:tc>
        <w:tc>
          <w:tcPr>
            <w:tcW w:w="2438" w:type="dxa"/>
            <w:vAlign w:val="center"/>
          </w:tcPr>
          <w:p>
            <w:pPr>
              <w:ind w:firstLine="482" w:firstLineChars="200"/>
              <w:rPr>
                <w:rFonts w:ascii="仿宋_GB2312" w:eastAsia="仿宋_GB2312"/>
                <w:b/>
                <w:color w:val="000000" w:themeColor="text1"/>
                <w:sz w:val="24"/>
                <w:highlight w:val="none"/>
                <w14:textFill>
                  <w14:solidFill>
                    <w14:schemeClr w14:val="tx1"/>
                  </w14:solidFill>
                </w14:textFill>
              </w:rPr>
            </w:pPr>
            <w:r>
              <w:rPr>
                <w:rFonts w:hint="eastAsia" w:ascii="仿宋_GB2312" w:eastAsia="仿宋_GB2312"/>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54" w:hRule="atLeast"/>
          <w:tblHeader/>
          <w:jc w:val="center"/>
        </w:trPr>
        <w:tc>
          <w:tcPr>
            <w:tcW w:w="779" w:type="dxa"/>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2004" w:type="dxa"/>
            <w:vAlign w:val="center"/>
          </w:tcPr>
          <w:p>
            <w:pPr>
              <w:jc w:val="center"/>
              <w:rPr>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S211钱塘段（江东大道至红十五线）公路工程全过程造价咨询服务</w:t>
            </w:r>
          </w:p>
        </w:tc>
        <w:tc>
          <w:tcPr>
            <w:tcW w:w="2005" w:type="dxa"/>
            <w:vAlign w:val="center"/>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w:t>
            </w:r>
          </w:p>
        </w:tc>
        <w:tc>
          <w:tcPr>
            <w:tcW w:w="1558" w:type="dxa"/>
            <w:vAlign w:val="center"/>
          </w:tcPr>
          <w:p>
            <w:pPr>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c>
          <w:tcPr>
            <w:tcW w:w="2438" w:type="dxa"/>
            <w:vAlign w:val="center"/>
          </w:tcPr>
          <w:p>
            <w:pPr>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根据《浙江省建设工程造价咨询服务基准收费标准》（浙价服〔2009〕84号）《关于抓紧抓好高速公路等省重点交通建设项目全过程跟踪审计合同报备等各项推进落实工作的通知》（浙交〔2009〕208 号）规定，计费基数按项目估算总投资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506932.28</w:t>
            </w:r>
            <w:r>
              <w:rPr>
                <w:rFonts w:hint="eastAsia" w:ascii="仿宋" w:hAnsi="仿宋" w:eastAsia="仿宋" w:cs="仿宋"/>
                <w:color w:val="000000" w:themeColor="text1"/>
                <w:sz w:val="24"/>
                <w:highlight w:val="none"/>
                <w14:textFill>
                  <w14:solidFill>
                    <w14:schemeClr w14:val="tx1"/>
                  </w14:solidFill>
                </w14:textFill>
              </w:rPr>
              <w:t>，建安费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333808.82万</w:t>
            </w:r>
            <w:r>
              <w:rPr>
                <w:rFonts w:hint="eastAsia" w:ascii="仿宋" w:hAnsi="仿宋" w:eastAsia="仿宋" w:cs="仿宋"/>
                <w:color w:val="000000" w:themeColor="text1"/>
                <w:sz w:val="24"/>
                <w:highlight w:val="none"/>
                <w14:textFill>
                  <w14:solidFill>
                    <w14:schemeClr w14:val="tx1"/>
                  </w14:solidFill>
                </w14:textFill>
              </w:rPr>
              <w:t>元计算，标准收费为</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14615504元</w:t>
            </w:r>
            <w:r>
              <w:rPr>
                <w:rFonts w:hint="eastAsia" w:ascii="仿宋" w:hAnsi="仿宋" w:eastAsia="仿宋" w:cs="仿宋"/>
                <w:color w:val="000000" w:themeColor="text1"/>
                <w:sz w:val="24"/>
                <w:highlight w:val="none"/>
                <w14:textFill>
                  <w14:solidFill>
                    <w14:schemeClr w14:val="tx1"/>
                  </w14:solidFill>
                </w14:textFill>
              </w:rPr>
              <w:t>。</w:t>
            </w:r>
          </w:p>
        </w:tc>
      </w:tr>
    </w:tbl>
    <w:p>
      <w:pPr>
        <w:spacing w:line="360" w:lineRule="auto"/>
        <w:ind w:firstLine="5160" w:firstLineChars="215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pPr>
        <w:spacing w:line="360" w:lineRule="auto"/>
        <w:ind w:firstLine="5160" w:firstLineChars="2150"/>
        <w:rPr>
          <w:rFonts w:ascii="仿宋_GB2312" w:hAnsi="仿宋" w:eastAsia="仿宋_GB2312" w:cs="仿宋_GB2312"/>
          <w:color w:val="000000" w:themeColor="text1"/>
          <w:kern w:val="0"/>
          <w:sz w:val="24"/>
          <w:highlight w:val="none"/>
          <w:lang w:val="zh-CN"/>
          <w14:textFill>
            <w14:solidFill>
              <w14:schemeClr w14:val="tx1"/>
            </w14:solidFill>
          </w14:textFill>
        </w:rPr>
      </w:pPr>
    </w:p>
    <w:p>
      <w:pPr>
        <w:spacing w:line="360" w:lineRule="auto"/>
        <w:ind w:firstLine="5160" w:firstLineChars="2150"/>
        <w:rPr>
          <w:rFonts w:ascii="仿宋_GB2312" w:hAnsi="仿宋" w:eastAsia="仿宋_GB2312" w:cs="仿宋_GB2312"/>
          <w:color w:val="000000" w:themeColor="text1"/>
          <w:kern w:val="0"/>
          <w:sz w:val="24"/>
          <w:highlight w:val="none"/>
          <w:lang w:val="zh-CN"/>
          <w14:textFill>
            <w14:solidFill>
              <w14:schemeClr w14:val="tx1"/>
            </w14:solidFill>
          </w14:textFill>
        </w:rPr>
      </w:pPr>
    </w:p>
    <w:p>
      <w:pPr>
        <w:spacing w:line="360" w:lineRule="auto"/>
        <w:ind w:firstLine="5160" w:firstLineChars="215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r>
        <w:rPr>
          <w:rFonts w:hint="eastAsia" w:ascii="仿宋_GB2312" w:hAnsi="仿宋" w:eastAsia="仿宋_GB2312" w:cs="仿宋_GB2312"/>
          <w:color w:val="000000" w:themeColor="text1"/>
          <w:sz w:val="24"/>
          <w:highlight w:val="none"/>
          <w14:textFill>
            <w14:solidFill>
              <w14:schemeClr w14:val="tx1"/>
            </w14:solidFill>
          </w14:textFill>
        </w:rPr>
        <w:t>：</w:t>
      </w:r>
    </w:p>
    <w:p>
      <w:pPr>
        <w:spacing w:line="360" w:lineRule="auto"/>
        <w:ind w:firstLine="5160" w:firstLineChars="2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法定代表人或授权代表</w:t>
      </w:r>
      <w:r>
        <w:rPr>
          <w:rFonts w:ascii="仿宋" w:hAnsi="仿宋" w:eastAsia="仿宋" w:cs="仿宋"/>
          <w:color w:val="000000" w:themeColor="text1"/>
          <w:sz w:val="24"/>
          <w:highlight w:val="none"/>
          <w14:textFill>
            <w14:solidFill>
              <w14:schemeClr w14:val="tx1"/>
            </w14:solidFill>
          </w14:textFill>
        </w:rPr>
        <w:t>(签字或盖章)</w:t>
      </w:r>
    </w:p>
    <w:p>
      <w:pPr>
        <w:pStyle w:val="33"/>
        <w:spacing w:line="420" w:lineRule="exact"/>
        <w:ind w:firstLine="5160" w:firstLineChars="2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期：</w:t>
      </w:r>
    </w:p>
    <w:p>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p>
    <w:p>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1、投标人需按本表格式填写，不得自行更改。</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不得出现“</w:t>
      </w:r>
      <w:r>
        <w:rPr>
          <w:rFonts w:ascii="仿宋_GB2312" w:hAnsi="仿宋" w:eastAsia="仿宋_GB2312" w:cs="仿宋_GB2312"/>
          <w:b/>
          <w:color w:val="000000" w:themeColor="text1"/>
          <w:kern w:val="0"/>
          <w:sz w:val="24"/>
          <w:highlight w:val="none"/>
          <w:lang w:val="zh-CN"/>
          <w14:textFill>
            <w14:solidFill>
              <w14:schemeClr w14:val="tx1"/>
            </w14:solidFill>
          </w14:textFill>
        </w:rPr>
        <w:t>0元”“免费赠送”等形式的无偿报价</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b/>
          <w:color w:val="000000" w:themeColor="text1"/>
          <w:kern w:val="0"/>
          <w:sz w:val="24"/>
          <w:highlight w:val="none"/>
          <w14:textFill>
            <w14:solidFill>
              <w14:schemeClr w14:val="tx1"/>
            </w14:solidFill>
          </w14:textFill>
        </w:rPr>
        <w:t>否则视为</w:t>
      </w: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3</w:t>
      </w:r>
      <w:r>
        <w:rPr>
          <w:rFonts w:ascii="仿宋_GB2312" w:hAnsi="仿宋" w:eastAsia="仿宋_GB2312" w:cs="仿宋_GB2312"/>
          <w:color w:val="000000" w:themeColor="text1"/>
          <w:kern w:val="0"/>
          <w:sz w:val="24"/>
          <w:highlight w:val="none"/>
          <w:lang w:val="zh-CN"/>
          <w14:textFill>
            <w14:solidFill>
              <w14:schemeClr w14:val="tx1"/>
            </w14:solidFill>
          </w14:textFill>
        </w:rPr>
        <w:t>、特别提示：采购机构将对项目名称和项目编号，中标供应商名称、地址和中标金额，主要中标标的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2"/>
          <w:highlight w:val="none"/>
          <w14:textFill>
            <w14:solidFill>
              <w14:schemeClr w14:val="tx1"/>
            </w14:solidFill>
          </w14:textFill>
        </w:rPr>
        <w:t>4</w:t>
      </w:r>
      <w:r>
        <w:rPr>
          <w:rFonts w:ascii="仿宋_GB2312" w:hAnsi="仿宋" w:eastAsia="仿宋_GB2312" w:cs="仿宋_GB2312"/>
          <w:color w:val="000000" w:themeColor="text1"/>
          <w:kern w:val="0"/>
          <w:sz w:val="24"/>
          <w:szCs w:val="22"/>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w:t>
      </w:r>
      <w:r>
        <w:rPr>
          <w:rFonts w:ascii="仿宋_GB2312" w:hAnsi="仿宋" w:eastAsia="仿宋_GB2312" w:cs="仿宋_GB2312"/>
          <w:color w:val="000000" w:themeColor="text1"/>
          <w:kern w:val="0"/>
          <w:sz w:val="24"/>
          <w:highlight w:val="none"/>
          <w:lang w:val="zh-CN"/>
          <w14:textFill>
            <w14:solidFill>
              <w14:schemeClr w14:val="tx1"/>
            </w14:solidFill>
          </w14:textFill>
        </w:rPr>
        <w:t>提供</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的中小企业</w:t>
      </w:r>
      <w:r>
        <w:rPr>
          <w:rFonts w:ascii="仿宋_GB2312" w:hAnsi="仿宋" w:eastAsia="仿宋_GB2312" w:cs="仿宋_GB2312"/>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5、报价费率为报价除以标准收费14615504元，取小数点后四位（例：</w:t>
      </w:r>
      <w:r>
        <w:rPr>
          <w:rFonts w:hint="eastAsia" w:ascii="仿宋_GB2312" w:hAnsi="仿宋" w:eastAsia="仿宋_GB2312" w:cs="仿宋_GB2312"/>
          <w:color w:val="000000" w:themeColor="text1"/>
          <w:kern w:val="0"/>
          <w:sz w:val="24"/>
          <w:highlight w:val="none"/>
          <w14:textFill>
            <w14:solidFill>
              <w14:schemeClr w14:val="tx1"/>
            </w14:solidFill>
          </w14:textFill>
        </w:rPr>
        <w:t>60.00%</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）、不四舍五入。</w:t>
      </w:r>
    </w:p>
    <w:p>
      <w:pP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br w:type="page"/>
      </w:r>
    </w:p>
    <w:p>
      <w:pPr>
        <w:pStyle w:val="2"/>
        <w:rPr>
          <w:color w:val="000000" w:themeColor="text1"/>
          <w:highlight w:val="none"/>
          <w14:textFill>
            <w14:solidFill>
              <w14:schemeClr w14:val="tx1"/>
            </w14:solidFill>
          </w14:textFill>
        </w:rPr>
      </w:pPr>
    </w:p>
    <w:p>
      <w:pPr>
        <w:pStyle w:val="691"/>
        <w:keepNext w:val="0"/>
        <w:pageBreakBefore w:val="0"/>
        <w:tabs>
          <w:tab w:val="clear" w:pos="720"/>
        </w:tabs>
        <w:snapToGrid w:val="0"/>
        <w:spacing w:before="120" w:after="120"/>
        <w:outlineLvl w:val="9"/>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二、</w:t>
      </w:r>
      <w:r>
        <w:rPr>
          <w:rFonts w:hint="eastAsia" w:ascii="仿宋_GB2312" w:hAnsi="宋体" w:eastAsia="仿宋_GB2312"/>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highlight w:val="none"/>
          <w14:textFill>
            <w14:solidFill>
              <w14:schemeClr w14:val="tx1"/>
            </w14:solidFill>
          </w14:textFill>
        </w:rPr>
        <w:t>5）。</w:t>
      </w:r>
      <w:r>
        <w:rPr>
          <w:rFonts w:hint="eastAsia" w:ascii="仿宋_GB2312" w:hAnsi="仿宋" w:eastAsia="仿宋_GB2312" w:cs="仿宋_GB2312"/>
          <w:b/>
          <w:color w:val="000000" w:themeColor="text1"/>
          <w:sz w:val="24"/>
          <w:highlight w:val="none"/>
          <w14:textFill>
            <w14:solidFill>
              <w14:schemeClr w14:val="tx1"/>
            </w14:solidFill>
          </w14:textFill>
        </w:rPr>
        <w:t>]</w:t>
      </w:r>
    </w:p>
    <w:p>
      <w:pPr>
        <w:pStyle w:val="691"/>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关于钱塘区政府采购支持中小企业信用融资相关事项通知</w:t>
      </w:r>
    </w:p>
    <w:p>
      <w:pPr>
        <w:spacing w:line="360" w:lineRule="auto"/>
        <w:jc w:val="center"/>
        <w:rPr>
          <w:rFonts w:ascii="宋体" w:hAnsi="宋体" w:cs="宋体"/>
          <w:b/>
          <w:color w:val="000000" w:themeColor="text1"/>
          <w:szCs w:val="21"/>
          <w:highlight w:val="none"/>
          <w14:textFill>
            <w14:solidFill>
              <w14:schemeClr w14:val="tx1"/>
            </w14:solidFill>
          </w14:textFill>
        </w:rPr>
      </w:pP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一、适用对象</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二、相关信息获取方式</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三、申请方式和步骤</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4</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四、注意事项</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费莎</w:t>
            </w:r>
          </w:p>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13388617781</w:t>
            </w:r>
          </w:p>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王安东</w:t>
            </w:r>
          </w:p>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15158025713</w:t>
            </w:r>
          </w:p>
          <w:p>
            <w:pPr>
              <w:widowControl/>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kern w:val="0"/>
                <w:sz w:val="24"/>
                <w:highlight w:val="none"/>
                <w14:textFill>
                  <w14:solidFill>
                    <w14:schemeClr w14:val="tx1"/>
                  </w14:solidFill>
                </w14:textFill>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14:textFill>
                  <w14:solidFill>
                    <w14:schemeClr w14:val="tx1"/>
                  </w14:solidFill>
                </w14:textFill>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18805812679</w:t>
            </w:r>
          </w:p>
        </w:tc>
      </w:tr>
    </w:tbl>
    <w:p>
      <w:pPr>
        <w:spacing w:line="360" w:lineRule="auto"/>
        <w:ind w:left="5060" w:hanging="5060" w:hangingChars="2100"/>
        <w:rPr>
          <w:rFonts w:ascii="仿宋_GB2312" w:hAnsi="仿宋" w:eastAsia="仿宋_GB2312" w:cs="仿宋_GB2312"/>
          <w:b/>
          <w:bCs/>
          <w:color w:val="000000" w:themeColor="text1"/>
          <w:kern w:val="0"/>
          <w:sz w:val="24"/>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000000" w:themeColor="text1"/>
          <w:highlight w:val="none"/>
          <w14:textFill>
            <w14:solidFill>
              <w14:schemeClr w14:val="tx1"/>
            </w14:solidFill>
          </w14:textFill>
        </w:rPr>
      </w:pPr>
      <w:bookmarkStart w:id="426" w:name="_Toc465665161"/>
      <w:r>
        <w:rPr>
          <w:rFonts w:hint="eastAsia" w:ascii="仿宋_GB2312" w:hAnsi="仿宋" w:eastAsia="仿宋_GB2312"/>
          <w:color w:val="000000" w:themeColor="text1"/>
          <w:highlight w:val="none"/>
          <w14:textFill>
            <w14:solidFill>
              <w14:schemeClr w14:val="tx1"/>
            </w14:solidFill>
          </w14:textFill>
        </w:rPr>
        <w:t>附件</w:t>
      </w:r>
      <w:bookmarkEnd w:id="426"/>
    </w:p>
    <w:p>
      <w:pPr>
        <w:spacing w:line="360" w:lineRule="auto"/>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bookmarkStart w:id="427" w:name="OLE_LINK13"/>
      <w:bookmarkStart w:id="428" w:name="OLE_LINK14"/>
      <w:r>
        <w:rPr>
          <w:rFonts w:hint="eastAsia" w:ascii="仿宋_GB2312" w:hAnsi="仿宋" w:eastAsia="仿宋_GB2312"/>
          <w:b/>
          <w:color w:val="000000" w:themeColor="text1"/>
          <w:spacing w:val="6"/>
          <w:sz w:val="32"/>
          <w:szCs w:val="32"/>
          <w:highlight w:val="none"/>
          <w14:textFill>
            <w14:solidFill>
              <w14:schemeClr w14:val="tx1"/>
            </w14:solidFill>
          </w14:textFill>
        </w:rPr>
        <w:t>残疾人福利性单位声明函</w:t>
      </w:r>
    </w:p>
    <w:bookmarkEnd w:id="427"/>
    <w:bookmarkEnd w:id="428"/>
    <w:p>
      <w:pPr>
        <w:spacing w:line="360" w:lineRule="auto"/>
        <w:rPr>
          <w:rFonts w:ascii="仿宋_GB2312" w:hAnsi="仿宋" w:eastAsia="仿宋_GB2312"/>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本单位郑重声明，根据《财政部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民政部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投标人名称（电子签名）</w:t>
      </w:r>
      <w:r>
        <w:rPr>
          <w:rFonts w:hint="eastAsia" w:ascii="仿宋_GB2312" w:hAnsi="仿宋" w:eastAsia="仿宋_GB2312" w:cs="仿宋_GB2312"/>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ind w:firstLine="420" w:firstLineChars="200"/>
        <w:rPr>
          <w:rFonts w:ascii="仿宋_GB2312" w:hAnsi="仿宋" w:eastAsia="仿宋_GB2312"/>
          <w:color w:val="000000" w:themeColor="text1"/>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质疑函范本</w:t>
      </w:r>
    </w:p>
    <w:p>
      <w:pPr>
        <w:snapToGrid w:val="0"/>
        <w:spacing w:beforeLines="100"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质疑供应商：</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联系人：</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授权代表：</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ascii="仿宋_GB2312" w:hAnsi="仿宋" w:eastAsia="仿宋_GB2312" w:cs="仿宋"/>
          <w:color w:val="000000" w:themeColor="text1"/>
          <w:sz w:val="24"/>
          <w:highlight w:val="none"/>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14:textFill>
            <w14:solidFill>
              <w14:schemeClr w14:val="tx1"/>
            </w14:solidFill>
          </w14:textFill>
        </w:rPr>
        <w:t xml:space="preserve"> </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质疑项目的编号：</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包号：</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采购人名称：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采购文件获取日期：</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1：</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事实依据：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法律依据：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2</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请求：</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2.质疑供应商若委托代理人进行质疑的，</w:t>
      </w:r>
      <w:r>
        <w:rPr>
          <w:rFonts w:hint="eastAsia" w:ascii="仿宋_GB2312" w:hAnsi="仿宋" w:eastAsia="仿宋_GB2312"/>
          <w:color w:val="000000" w:themeColor="text1"/>
          <w:sz w:val="24"/>
          <w:highlight w:val="none"/>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6.质疑供应商为自然人的，</w:t>
      </w:r>
      <w:r>
        <w:rPr>
          <w:rFonts w:hint="eastAsia" w:ascii="仿宋_GB2312" w:hAnsi="仿宋" w:eastAsia="仿宋_GB2312"/>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themeColor="text1"/>
          <w:sz w:val="30"/>
          <w:szCs w:val="30"/>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一、投诉相关主体基本情况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法定代表人</w:t>
      </w:r>
      <w:r>
        <w:rPr>
          <w:rFonts w:ascii="仿宋_GB2312" w:hAnsi="仿宋" w:eastAsia="仿宋_GB2312"/>
          <w:color w:val="000000" w:themeColor="text1"/>
          <w:sz w:val="24"/>
          <w:highlight w:val="none"/>
          <w14:textFill>
            <w14:solidFill>
              <w14:schemeClr w14:val="tx1"/>
            </w14:solidFill>
          </w14:textFill>
        </w:rPr>
        <w:t>/主要负责人：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授权代表：</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dotted"/>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1：</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相关供应商：</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二、投诉项目基本情况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采购项目编号：</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包号：</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采购人名称：</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代理机构名称：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采购文件公告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采购结果公告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,向</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提出质疑，质疑事项为：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u w:val="dotted"/>
          <w14:textFill>
            <w14:solidFill>
              <w14:schemeClr w14:val="tx1"/>
            </w14:solidFill>
          </w14:textFill>
        </w:rPr>
        <w:t>采购人</w:t>
      </w:r>
      <w:r>
        <w:rPr>
          <w:rFonts w:ascii="仿宋_GB2312" w:hAnsi="仿宋" w:eastAsia="仿宋_GB2312"/>
          <w:color w:val="000000" w:themeColor="text1"/>
          <w:sz w:val="24"/>
          <w:highlight w:val="none"/>
          <w:u w:val="dotted"/>
          <w14:textFill>
            <w14:solidFill>
              <w14:schemeClr w14:val="tx1"/>
            </w14:solidFill>
          </w14:textFill>
        </w:rPr>
        <w:t>/代理机构</w:t>
      </w:r>
      <w:r>
        <w:rPr>
          <w:rFonts w:hint="eastAsia" w:ascii="仿宋_GB2312" w:hAnsi="仿宋" w:eastAsia="仿宋_GB2312"/>
          <w:color w:val="000000" w:themeColor="text1"/>
          <w:sz w:val="24"/>
          <w:highlight w:val="none"/>
          <w14:textFill>
            <w14:solidFill>
              <w14:schemeClr w14:val="tx1"/>
            </w14:solidFill>
          </w14:textFill>
        </w:rPr>
        <w:t>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,就质疑事项</w:t>
      </w:r>
      <w:r>
        <w:rPr>
          <w:rFonts w:hint="eastAsia" w:ascii="仿宋_GB2312" w:hAnsi="仿宋" w:eastAsia="仿宋_GB2312"/>
          <w:color w:val="000000" w:themeColor="text1"/>
          <w:sz w:val="24"/>
          <w:highlight w:val="none"/>
          <w14:textFill>
            <w14:solidFill>
              <w14:schemeClr w14:val="tx1"/>
            </w14:solidFill>
          </w14:textFill>
        </w:rPr>
        <w:t>作出了答复</w:t>
      </w:r>
      <w:r>
        <w:rPr>
          <w:rFonts w:ascii="仿宋_GB2312" w:hAnsi="仿宋" w:eastAsia="仿宋_GB2312"/>
          <w:color w:val="000000" w:themeColor="text1"/>
          <w:sz w:val="24"/>
          <w:highlight w:val="none"/>
          <w14:textFill>
            <w14:solidFill>
              <w14:schemeClr w14:val="tx1"/>
            </w14:solidFill>
          </w14:textFill>
        </w:rPr>
        <w:t>/没有在法定期限内</w:t>
      </w:r>
      <w:r>
        <w:rPr>
          <w:rFonts w:hint="eastAsia" w:ascii="仿宋_GB2312" w:hAnsi="仿宋" w:eastAsia="仿宋_GB2312"/>
          <w:color w:val="000000" w:themeColor="text1"/>
          <w:sz w:val="24"/>
          <w:highlight w:val="none"/>
          <w14:textFill>
            <w14:solidFill>
              <w14:schemeClr w14:val="tx1"/>
            </w14:solidFill>
          </w14:textFill>
        </w:rPr>
        <w:t>作出答复。</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四、投诉事项具体内容</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 xml:space="preserve"> 1：</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事实依据：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法律依据：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请求：</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(投标人全称)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你方组织的</w:t>
      </w:r>
      <w:r>
        <w:rPr>
          <w:rFonts w:hint="eastAsia" w:ascii="仿宋_GB2312" w:hAnsi="仿宋" w:eastAsia="仿宋_GB2312" w:cs="仿宋_GB2312"/>
          <w:color w:val="000000" w:themeColor="text1"/>
          <w:sz w:val="24"/>
          <w:highlight w:val="none"/>
          <w14:textFill>
            <w14:solidFill>
              <w14:schemeClr w14:val="tx1"/>
            </w14:solidFill>
          </w14:textFill>
        </w:rPr>
        <w:t>（项目名称）项目</w:t>
      </w:r>
      <w:r>
        <w:rPr>
          <w:rFonts w:hint="eastAsia" w:ascii="仿宋" w:hAnsi="仿宋" w:eastAsia="仿宋" w:cs="仿宋_GB2312"/>
          <w:color w:val="000000" w:themeColor="text1"/>
          <w:sz w:val="24"/>
          <w:highlight w:val="none"/>
          <w14:textFill>
            <w14:solidFill>
              <w14:schemeClr w14:val="tx1"/>
            </w14:solidFill>
          </w14:textFill>
        </w:rPr>
        <w:t>【招标编号：（采购编号）</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b/>
          <w:bCs/>
          <w:color w:val="000000" w:themeColor="text1"/>
          <w:sz w:val="24"/>
          <w:highlight w:val="none"/>
          <w14:textFill>
            <w14:solidFill>
              <w14:schemeClr w14:val="tx1"/>
            </w14:solidFill>
          </w14:textFill>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宋体"/>
          <w:color w:val="000000" w:themeColor="text1"/>
          <w:sz w:val="24"/>
          <w:highlight w:val="none"/>
          <w14:textFill>
            <w14:solidFill>
              <w14:schemeClr w14:val="tx1"/>
            </w14:solidFill>
          </w14:textFill>
        </w:rPr>
        <w:t>投标单位法定名称章（印模）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投标单位“</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5</w:t>
      </w:r>
      <w:r>
        <w:rPr>
          <w:rFonts w:hint="eastAsia" w:ascii="仿宋" w:hAnsi="仿宋" w:eastAsia="仿宋"/>
          <w:b/>
          <w:color w:val="000000" w:themeColor="text1"/>
          <w:spacing w:val="6"/>
          <w:sz w:val="32"/>
          <w:szCs w:val="32"/>
          <w:highlight w:val="none"/>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pacing w:line="360" w:lineRule="auto"/>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hAnsi="仿宋" w:eastAsia="仿宋_GB2312"/>
          <w:color w:val="000000" w:themeColor="text1"/>
          <w:highlight w:val="none"/>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000000" w:themeColor="text1"/>
          <w:highlight w:val="none"/>
          <w:lang w:val="en-US"/>
          <w14:textFill>
            <w14:solidFill>
              <w14:schemeClr w14:val="tx1"/>
            </w14:solidFill>
          </w14:textFill>
        </w:rPr>
      </w:pPr>
    </w:p>
    <w:p>
      <w:pPr>
        <w:spacing w:line="360" w:lineRule="auto"/>
        <w:ind w:right="420"/>
        <w:rPr>
          <w:color w:val="000000" w:themeColor="text1"/>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29" w:name="_Toc164085800"/>
    <w:bookmarkStart w:id="430" w:name="_Toc36110187"/>
    <w:bookmarkStart w:id="431" w:name="_Toc131845147"/>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dit="forms" w:formatting="1"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4NmRjNzZiZjA0MDQ3OTU5Zjc5MjkzMTMzMGExM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176"/>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98E"/>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57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ACD"/>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DED"/>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017"/>
    <w:rsid w:val="004764C6"/>
    <w:rsid w:val="00476AC1"/>
    <w:rsid w:val="00476F97"/>
    <w:rsid w:val="00477247"/>
    <w:rsid w:val="004776BB"/>
    <w:rsid w:val="004776FB"/>
    <w:rsid w:val="0048055E"/>
    <w:rsid w:val="00480C2B"/>
    <w:rsid w:val="00480DC5"/>
    <w:rsid w:val="00480FD9"/>
    <w:rsid w:val="0048131D"/>
    <w:rsid w:val="00481D0B"/>
    <w:rsid w:val="00481FB3"/>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0F6B"/>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5B5"/>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783"/>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EC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75"/>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387"/>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BD"/>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D4F"/>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C25"/>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6AA"/>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1F0"/>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97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6EBF"/>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DDA"/>
    <w:rsid w:val="00A740C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5B4"/>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D89"/>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A2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80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D03"/>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CF9"/>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2A4"/>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FC1"/>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30A"/>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49E"/>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41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848E7"/>
    <w:rsid w:val="01DF6BF8"/>
    <w:rsid w:val="01EC2C57"/>
    <w:rsid w:val="026B2E25"/>
    <w:rsid w:val="02824D4D"/>
    <w:rsid w:val="02DC4B10"/>
    <w:rsid w:val="02DD76CE"/>
    <w:rsid w:val="02F36323"/>
    <w:rsid w:val="02F5619C"/>
    <w:rsid w:val="0326446A"/>
    <w:rsid w:val="032D5555"/>
    <w:rsid w:val="033C0E09"/>
    <w:rsid w:val="036634D2"/>
    <w:rsid w:val="03DD35E4"/>
    <w:rsid w:val="03E61819"/>
    <w:rsid w:val="04076900"/>
    <w:rsid w:val="041A5A3B"/>
    <w:rsid w:val="042311BA"/>
    <w:rsid w:val="042B157A"/>
    <w:rsid w:val="044764E9"/>
    <w:rsid w:val="044A48A8"/>
    <w:rsid w:val="048F763B"/>
    <w:rsid w:val="049F330E"/>
    <w:rsid w:val="04AA775C"/>
    <w:rsid w:val="04AF1889"/>
    <w:rsid w:val="04F66F48"/>
    <w:rsid w:val="05251E14"/>
    <w:rsid w:val="0558476D"/>
    <w:rsid w:val="05A16594"/>
    <w:rsid w:val="05A7762D"/>
    <w:rsid w:val="05E0586D"/>
    <w:rsid w:val="060E5941"/>
    <w:rsid w:val="06110FAF"/>
    <w:rsid w:val="06493CA7"/>
    <w:rsid w:val="065A6178"/>
    <w:rsid w:val="066F1CF3"/>
    <w:rsid w:val="06930BB8"/>
    <w:rsid w:val="07245D42"/>
    <w:rsid w:val="07264C62"/>
    <w:rsid w:val="0779354C"/>
    <w:rsid w:val="07C8288B"/>
    <w:rsid w:val="08061376"/>
    <w:rsid w:val="08452D77"/>
    <w:rsid w:val="084D7001"/>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25355"/>
    <w:rsid w:val="0E5604B2"/>
    <w:rsid w:val="0E6D5D79"/>
    <w:rsid w:val="0E9D0089"/>
    <w:rsid w:val="0EB803EE"/>
    <w:rsid w:val="0EBD624E"/>
    <w:rsid w:val="0EF94D4B"/>
    <w:rsid w:val="0F4958DC"/>
    <w:rsid w:val="0F515DF7"/>
    <w:rsid w:val="0F596BA8"/>
    <w:rsid w:val="0F6248D2"/>
    <w:rsid w:val="0F693536"/>
    <w:rsid w:val="0F7B0511"/>
    <w:rsid w:val="0F7B76D9"/>
    <w:rsid w:val="0F816ACD"/>
    <w:rsid w:val="0F9832DB"/>
    <w:rsid w:val="0FBF3FD2"/>
    <w:rsid w:val="0FBF7FF3"/>
    <w:rsid w:val="10127128"/>
    <w:rsid w:val="10646583"/>
    <w:rsid w:val="106D520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1D4B4D"/>
    <w:rsid w:val="169F551D"/>
    <w:rsid w:val="16A8729C"/>
    <w:rsid w:val="16B33777"/>
    <w:rsid w:val="16BC70A7"/>
    <w:rsid w:val="16C6339E"/>
    <w:rsid w:val="16DA6555"/>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7427D8"/>
    <w:rsid w:val="1A984BAD"/>
    <w:rsid w:val="1AB8220E"/>
    <w:rsid w:val="1AE4166C"/>
    <w:rsid w:val="1AF06CFB"/>
    <w:rsid w:val="1AF11B8D"/>
    <w:rsid w:val="1B11359C"/>
    <w:rsid w:val="1B2A271F"/>
    <w:rsid w:val="1B3D1D91"/>
    <w:rsid w:val="1B530544"/>
    <w:rsid w:val="1B677A8D"/>
    <w:rsid w:val="1B713184"/>
    <w:rsid w:val="1BA209CF"/>
    <w:rsid w:val="1BB4777D"/>
    <w:rsid w:val="1BC03463"/>
    <w:rsid w:val="1BD75AB8"/>
    <w:rsid w:val="1C0459C2"/>
    <w:rsid w:val="1C1B3B4A"/>
    <w:rsid w:val="1C88086E"/>
    <w:rsid w:val="1C9978FC"/>
    <w:rsid w:val="1D266CE1"/>
    <w:rsid w:val="1D3963AF"/>
    <w:rsid w:val="1D6A673C"/>
    <w:rsid w:val="1D9247AE"/>
    <w:rsid w:val="1DB567EC"/>
    <w:rsid w:val="1DE010B8"/>
    <w:rsid w:val="1DF51A98"/>
    <w:rsid w:val="1E2A33BF"/>
    <w:rsid w:val="1E354061"/>
    <w:rsid w:val="1E3D060F"/>
    <w:rsid w:val="1E3F7D2E"/>
    <w:rsid w:val="1E4134E4"/>
    <w:rsid w:val="1E5062B3"/>
    <w:rsid w:val="1E523514"/>
    <w:rsid w:val="1E714A66"/>
    <w:rsid w:val="1E802593"/>
    <w:rsid w:val="1EA703CC"/>
    <w:rsid w:val="1EB7330C"/>
    <w:rsid w:val="1F0A0FF3"/>
    <w:rsid w:val="1F5771FF"/>
    <w:rsid w:val="1FDE0E64"/>
    <w:rsid w:val="1FE868A9"/>
    <w:rsid w:val="20034907"/>
    <w:rsid w:val="20173E4B"/>
    <w:rsid w:val="20472D65"/>
    <w:rsid w:val="204E48BC"/>
    <w:rsid w:val="208921B3"/>
    <w:rsid w:val="20973DEB"/>
    <w:rsid w:val="20B26522"/>
    <w:rsid w:val="20B44310"/>
    <w:rsid w:val="211116EB"/>
    <w:rsid w:val="216133FC"/>
    <w:rsid w:val="2195180B"/>
    <w:rsid w:val="21D56769"/>
    <w:rsid w:val="21E52EF3"/>
    <w:rsid w:val="21FB5D7B"/>
    <w:rsid w:val="220B1C3D"/>
    <w:rsid w:val="221D1D20"/>
    <w:rsid w:val="22334A87"/>
    <w:rsid w:val="224274F3"/>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7B6D10"/>
    <w:rsid w:val="27840543"/>
    <w:rsid w:val="27907362"/>
    <w:rsid w:val="28333E1D"/>
    <w:rsid w:val="28454BD6"/>
    <w:rsid w:val="28455253"/>
    <w:rsid w:val="28551971"/>
    <w:rsid w:val="285B1C53"/>
    <w:rsid w:val="28895EFB"/>
    <w:rsid w:val="289F7086"/>
    <w:rsid w:val="28A31D50"/>
    <w:rsid w:val="28A9554D"/>
    <w:rsid w:val="28C32028"/>
    <w:rsid w:val="28CC490F"/>
    <w:rsid w:val="28DE40AA"/>
    <w:rsid w:val="28E43A61"/>
    <w:rsid w:val="290368E2"/>
    <w:rsid w:val="29345E77"/>
    <w:rsid w:val="294C65AD"/>
    <w:rsid w:val="29806583"/>
    <w:rsid w:val="298B3C4C"/>
    <w:rsid w:val="29F26D24"/>
    <w:rsid w:val="2A15033F"/>
    <w:rsid w:val="2A1662C1"/>
    <w:rsid w:val="2A1C7367"/>
    <w:rsid w:val="2A221F26"/>
    <w:rsid w:val="2A2815FA"/>
    <w:rsid w:val="2A6D6092"/>
    <w:rsid w:val="2A6E1110"/>
    <w:rsid w:val="2A7D76B4"/>
    <w:rsid w:val="2AA25FA8"/>
    <w:rsid w:val="2AFF256D"/>
    <w:rsid w:val="2B437463"/>
    <w:rsid w:val="2B764647"/>
    <w:rsid w:val="2B7807EE"/>
    <w:rsid w:val="2BBF00EC"/>
    <w:rsid w:val="2BC37CFD"/>
    <w:rsid w:val="2BD5237F"/>
    <w:rsid w:val="2BE536CE"/>
    <w:rsid w:val="2BE758D9"/>
    <w:rsid w:val="2C09049E"/>
    <w:rsid w:val="2C0A653C"/>
    <w:rsid w:val="2C191F85"/>
    <w:rsid w:val="2CE82D6F"/>
    <w:rsid w:val="2D343236"/>
    <w:rsid w:val="2D4C20AF"/>
    <w:rsid w:val="2DA01E52"/>
    <w:rsid w:val="2DA21C02"/>
    <w:rsid w:val="2DD15014"/>
    <w:rsid w:val="2DF72DE4"/>
    <w:rsid w:val="2E0220AF"/>
    <w:rsid w:val="2E4B082A"/>
    <w:rsid w:val="2E5D4E86"/>
    <w:rsid w:val="2E5D790B"/>
    <w:rsid w:val="2E9A3C18"/>
    <w:rsid w:val="2EBB0FEE"/>
    <w:rsid w:val="2EC63002"/>
    <w:rsid w:val="2F0A6B38"/>
    <w:rsid w:val="2F946CCB"/>
    <w:rsid w:val="2FA35D42"/>
    <w:rsid w:val="2FD25781"/>
    <w:rsid w:val="2FE73BD6"/>
    <w:rsid w:val="2FFD7934"/>
    <w:rsid w:val="30733ACD"/>
    <w:rsid w:val="308C3862"/>
    <w:rsid w:val="309379D8"/>
    <w:rsid w:val="30A270F7"/>
    <w:rsid w:val="30DF1478"/>
    <w:rsid w:val="30EC586F"/>
    <w:rsid w:val="311D4B68"/>
    <w:rsid w:val="31772CB5"/>
    <w:rsid w:val="319C6071"/>
    <w:rsid w:val="31AC537E"/>
    <w:rsid w:val="31E3679B"/>
    <w:rsid w:val="31E732FD"/>
    <w:rsid w:val="32183BCC"/>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41C30"/>
    <w:rsid w:val="358D5588"/>
    <w:rsid w:val="3619279E"/>
    <w:rsid w:val="363A3B40"/>
    <w:rsid w:val="365302AE"/>
    <w:rsid w:val="36607A0A"/>
    <w:rsid w:val="366E227C"/>
    <w:rsid w:val="366F2E0D"/>
    <w:rsid w:val="367B6A5C"/>
    <w:rsid w:val="36A74ADA"/>
    <w:rsid w:val="36AD60D5"/>
    <w:rsid w:val="36B224F9"/>
    <w:rsid w:val="36EB6206"/>
    <w:rsid w:val="36EC0CC9"/>
    <w:rsid w:val="373F410B"/>
    <w:rsid w:val="37746B88"/>
    <w:rsid w:val="37EE7094"/>
    <w:rsid w:val="38296C89"/>
    <w:rsid w:val="383002EB"/>
    <w:rsid w:val="38586797"/>
    <w:rsid w:val="388C54AA"/>
    <w:rsid w:val="38BC0149"/>
    <w:rsid w:val="38D87D1C"/>
    <w:rsid w:val="39636459"/>
    <w:rsid w:val="396B7F6C"/>
    <w:rsid w:val="39B417A9"/>
    <w:rsid w:val="39FC5695"/>
    <w:rsid w:val="3A006D8E"/>
    <w:rsid w:val="3A3651E5"/>
    <w:rsid w:val="3A744481"/>
    <w:rsid w:val="3A8C7BEF"/>
    <w:rsid w:val="3A906246"/>
    <w:rsid w:val="3AC8675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64749"/>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150DA"/>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B557EA"/>
    <w:rsid w:val="41D01505"/>
    <w:rsid w:val="41E721C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F314F"/>
    <w:rsid w:val="46AC4F69"/>
    <w:rsid w:val="46C4686E"/>
    <w:rsid w:val="477B778F"/>
    <w:rsid w:val="478203EC"/>
    <w:rsid w:val="47B025FA"/>
    <w:rsid w:val="4809698F"/>
    <w:rsid w:val="4811697D"/>
    <w:rsid w:val="484A3FCB"/>
    <w:rsid w:val="487A3E25"/>
    <w:rsid w:val="488B5503"/>
    <w:rsid w:val="48937E21"/>
    <w:rsid w:val="489A0361"/>
    <w:rsid w:val="48B94FF3"/>
    <w:rsid w:val="48D27FF8"/>
    <w:rsid w:val="48E37AAB"/>
    <w:rsid w:val="48FD4B4C"/>
    <w:rsid w:val="4905290C"/>
    <w:rsid w:val="490A68E0"/>
    <w:rsid w:val="491055FE"/>
    <w:rsid w:val="495F5B3E"/>
    <w:rsid w:val="496F77D7"/>
    <w:rsid w:val="497654FD"/>
    <w:rsid w:val="49B64211"/>
    <w:rsid w:val="49F6167F"/>
    <w:rsid w:val="4A064FA0"/>
    <w:rsid w:val="4A16615C"/>
    <w:rsid w:val="4A4424D7"/>
    <w:rsid w:val="4A804742"/>
    <w:rsid w:val="4AB82D0F"/>
    <w:rsid w:val="4AEB7664"/>
    <w:rsid w:val="4AFD7C19"/>
    <w:rsid w:val="4B0567D1"/>
    <w:rsid w:val="4B173DAD"/>
    <w:rsid w:val="4B236AAE"/>
    <w:rsid w:val="4B707271"/>
    <w:rsid w:val="4B9739F7"/>
    <w:rsid w:val="4BC33584"/>
    <w:rsid w:val="4BEE2503"/>
    <w:rsid w:val="4C215960"/>
    <w:rsid w:val="4C245A30"/>
    <w:rsid w:val="4CB6685F"/>
    <w:rsid w:val="4CC367FE"/>
    <w:rsid w:val="4D077F3C"/>
    <w:rsid w:val="4D092950"/>
    <w:rsid w:val="4D123355"/>
    <w:rsid w:val="4D2A3B31"/>
    <w:rsid w:val="4D312C52"/>
    <w:rsid w:val="4D905305"/>
    <w:rsid w:val="4D964A72"/>
    <w:rsid w:val="4D9C1254"/>
    <w:rsid w:val="4DDD5127"/>
    <w:rsid w:val="4E793892"/>
    <w:rsid w:val="4E800872"/>
    <w:rsid w:val="4EC569ED"/>
    <w:rsid w:val="4ED50EA1"/>
    <w:rsid w:val="4EEC050C"/>
    <w:rsid w:val="4EFC1A8C"/>
    <w:rsid w:val="4F104EC3"/>
    <w:rsid w:val="4F47354A"/>
    <w:rsid w:val="4F7B2F26"/>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46578D"/>
    <w:rsid w:val="52555E41"/>
    <w:rsid w:val="52615633"/>
    <w:rsid w:val="52977FD4"/>
    <w:rsid w:val="5298521F"/>
    <w:rsid w:val="52A25790"/>
    <w:rsid w:val="52A96B6F"/>
    <w:rsid w:val="52B45975"/>
    <w:rsid w:val="52D94AA4"/>
    <w:rsid w:val="52EA3A62"/>
    <w:rsid w:val="52F50BB8"/>
    <w:rsid w:val="53097272"/>
    <w:rsid w:val="534E4309"/>
    <w:rsid w:val="53544462"/>
    <w:rsid w:val="5397158E"/>
    <w:rsid w:val="54013861"/>
    <w:rsid w:val="541265CD"/>
    <w:rsid w:val="54487265"/>
    <w:rsid w:val="544D6070"/>
    <w:rsid w:val="54605E1E"/>
    <w:rsid w:val="54A5045B"/>
    <w:rsid w:val="54B3506A"/>
    <w:rsid w:val="54CA0D16"/>
    <w:rsid w:val="54DD4057"/>
    <w:rsid w:val="54E7490F"/>
    <w:rsid w:val="550764A4"/>
    <w:rsid w:val="550B2BF6"/>
    <w:rsid w:val="55214EB5"/>
    <w:rsid w:val="55364EFD"/>
    <w:rsid w:val="555D4828"/>
    <w:rsid w:val="557A4C8B"/>
    <w:rsid w:val="557F2143"/>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34C9D"/>
    <w:rsid w:val="5A3E2560"/>
    <w:rsid w:val="5A5D3B6E"/>
    <w:rsid w:val="5A637A76"/>
    <w:rsid w:val="5A6D33BA"/>
    <w:rsid w:val="5A792B1F"/>
    <w:rsid w:val="5A874767"/>
    <w:rsid w:val="5AAD6F28"/>
    <w:rsid w:val="5AD63A24"/>
    <w:rsid w:val="5AE459E7"/>
    <w:rsid w:val="5B2E1A1D"/>
    <w:rsid w:val="5B843A1C"/>
    <w:rsid w:val="5B873E3F"/>
    <w:rsid w:val="5BF16DCD"/>
    <w:rsid w:val="5C02690E"/>
    <w:rsid w:val="5C0E7969"/>
    <w:rsid w:val="5C196DA7"/>
    <w:rsid w:val="5C2A048C"/>
    <w:rsid w:val="5C3B137B"/>
    <w:rsid w:val="5C725325"/>
    <w:rsid w:val="5C7557DB"/>
    <w:rsid w:val="5C80234E"/>
    <w:rsid w:val="5C8A680C"/>
    <w:rsid w:val="5D0C4701"/>
    <w:rsid w:val="5D0F0395"/>
    <w:rsid w:val="5D211D61"/>
    <w:rsid w:val="5D221076"/>
    <w:rsid w:val="5D397964"/>
    <w:rsid w:val="5D5A391C"/>
    <w:rsid w:val="5D5F10C0"/>
    <w:rsid w:val="5D891B7B"/>
    <w:rsid w:val="5DAD38EE"/>
    <w:rsid w:val="5DC03179"/>
    <w:rsid w:val="5DC23E51"/>
    <w:rsid w:val="5DD10FF6"/>
    <w:rsid w:val="5E006862"/>
    <w:rsid w:val="5E0207B9"/>
    <w:rsid w:val="5E1119D0"/>
    <w:rsid w:val="5E1834A1"/>
    <w:rsid w:val="5E1A3C7C"/>
    <w:rsid w:val="5E261785"/>
    <w:rsid w:val="5E4A7017"/>
    <w:rsid w:val="5E552BBA"/>
    <w:rsid w:val="5E611C10"/>
    <w:rsid w:val="5EFC7377"/>
    <w:rsid w:val="5F06174D"/>
    <w:rsid w:val="5F3A3602"/>
    <w:rsid w:val="5F6277C6"/>
    <w:rsid w:val="5F6D0B1D"/>
    <w:rsid w:val="5F8D0B82"/>
    <w:rsid w:val="5FCC5339"/>
    <w:rsid w:val="5FE34A5B"/>
    <w:rsid w:val="5FFE1E36"/>
    <w:rsid w:val="60232584"/>
    <w:rsid w:val="602F6D4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8F61D4"/>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10A9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6396E"/>
    <w:rsid w:val="6BA847A7"/>
    <w:rsid w:val="6BF42CF0"/>
    <w:rsid w:val="6C0315E5"/>
    <w:rsid w:val="6C196F71"/>
    <w:rsid w:val="6C226FCB"/>
    <w:rsid w:val="6C31226F"/>
    <w:rsid w:val="6C552F0B"/>
    <w:rsid w:val="6C8C67B7"/>
    <w:rsid w:val="6C9D744C"/>
    <w:rsid w:val="6C9E6F7E"/>
    <w:rsid w:val="6CFA2269"/>
    <w:rsid w:val="6D167928"/>
    <w:rsid w:val="6D26299B"/>
    <w:rsid w:val="6D4772EC"/>
    <w:rsid w:val="6D9078AF"/>
    <w:rsid w:val="6DAA3FEF"/>
    <w:rsid w:val="6DC0172B"/>
    <w:rsid w:val="6DCB690C"/>
    <w:rsid w:val="6DD41A5B"/>
    <w:rsid w:val="6DF43C2E"/>
    <w:rsid w:val="6DF51CA3"/>
    <w:rsid w:val="6E8335BD"/>
    <w:rsid w:val="6E8E12EF"/>
    <w:rsid w:val="6E972936"/>
    <w:rsid w:val="6EC227CA"/>
    <w:rsid w:val="6ED446C5"/>
    <w:rsid w:val="6F04593C"/>
    <w:rsid w:val="6F105C18"/>
    <w:rsid w:val="6F2A7D94"/>
    <w:rsid w:val="6F8331F1"/>
    <w:rsid w:val="6FAE1A09"/>
    <w:rsid w:val="6FD75BF8"/>
    <w:rsid w:val="707723D0"/>
    <w:rsid w:val="70A703CB"/>
    <w:rsid w:val="70F5661B"/>
    <w:rsid w:val="71073061"/>
    <w:rsid w:val="71360107"/>
    <w:rsid w:val="713B688E"/>
    <w:rsid w:val="71B57818"/>
    <w:rsid w:val="71BB3973"/>
    <w:rsid w:val="71D43752"/>
    <w:rsid w:val="71F1796A"/>
    <w:rsid w:val="72154626"/>
    <w:rsid w:val="721F0C34"/>
    <w:rsid w:val="72262B5D"/>
    <w:rsid w:val="72283FF7"/>
    <w:rsid w:val="722E7212"/>
    <w:rsid w:val="723A0474"/>
    <w:rsid w:val="725923E4"/>
    <w:rsid w:val="72864BF7"/>
    <w:rsid w:val="729023FC"/>
    <w:rsid w:val="729854FC"/>
    <w:rsid w:val="73005229"/>
    <w:rsid w:val="73C0646E"/>
    <w:rsid w:val="73ED1FC4"/>
    <w:rsid w:val="73F377CD"/>
    <w:rsid w:val="742222F5"/>
    <w:rsid w:val="743C0E2B"/>
    <w:rsid w:val="74476126"/>
    <w:rsid w:val="74706664"/>
    <w:rsid w:val="747F3682"/>
    <w:rsid w:val="749C4185"/>
    <w:rsid w:val="74AF3BA1"/>
    <w:rsid w:val="74F41284"/>
    <w:rsid w:val="75067759"/>
    <w:rsid w:val="752E6DCD"/>
    <w:rsid w:val="7551380D"/>
    <w:rsid w:val="75577A04"/>
    <w:rsid w:val="75600BE5"/>
    <w:rsid w:val="7564475C"/>
    <w:rsid w:val="75706FDE"/>
    <w:rsid w:val="7583797F"/>
    <w:rsid w:val="75D20F1D"/>
    <w:rsid w:val="75DA2C18"/>
    <w:rsid w:val="75F54412"/>
    <w:rsid w:val="761D08E0"/>
    <w:rsid w:val="76362F67"/>
    <w:rsid w:val="765D347C"/>
    <w:rsid w:val="76826699"/>
    <w:rsid w:val="76C87133"/>
    <w:rsid w:val="76CD08D5"/>
    <w:rsid w:val="76DB4B92"/>
    <w:rsid w:val="77052AA4"/>
    <w:rsid w:val="77136511"/>
    <w:rsid w:val="77340A39"/>
    <w:rsid w:val="77351FD0"/>
    <w:rsid w:val="77472422"/>
    <w:rsid w:val="777F31F2"/>
    <w:rsid w:val="77D1700D"/>
    <w:rsid w:val="77EC04CC"/>
    <w:rsid w:val="78007210"/>
    <w:rsid w:val="78775729"/>
    <w:rsid w:val="78A42DB0"/>
    <w:rsid w:val="78A656AB"/>
    <w:rsid w:val="78B2245C"/>
    <w:rsid w:val="78E172CC"/>
    <w:rsid w:val="78EA1D1F"/>
    <w:rsid w:val="7904172F"/>
    <w:rsid w:val="790F7E27"/>
    <w:rsid w:val="792A231A"/>
    <w:rsid w:val="79316829"/>
    <w:rsid w:val="794B6758"/>
    <w:rsid w:val="796671FD"/>
    <w:rsid w:val="79694470"/>
    <w:rsid w:val="797E66A9"/>
    <w:rsid w:val="79997E6B"/>
    <w:rsid w:val="79A97383"/>
    <w:rsid w:val="79E27E8B"/>
    <w:rsid w:val="79F850CE"/>
    <w:rsid w:val="79FD443C"/>
    <w:rsid w:val="7A1D1975"/>
    <w:rsid w:val="7A3E5150"/>
    <w:rsid w:val="7A4670D6"/>
    <w:rsid w:val="7A534B63"/>
    <w:rsid w:val="7A615382"/>
    <w:rsid w:val="7A67303B"/>
    <w:rsid w:val="7A997380"/>
    <w:rsid w:val="7AAB1D04"/>
    <w:rsid w:val="7ABA4368"/>
    <w:rsid w:val="7AD05746"/>
    <w:rsid w:val="7B257FFD"/>
    <w:rsid w:val="7B343476"/>
    <w:rsid w:val="7B5A2978"/>
    <w:rsid w:val="7B5A7E4C"/>
    <w:rsid w:val="7B667AF9"/>
    <w:rsid w:val="7B7468F8"/>
    <w:rsid w:val="7BCF7FFA"/>
    <w:rsid w:val="7BD127C1"/>
    <w:rsid w:val="7BEE0103"/>
    <w:rsid w:val="7C0A0FE4"/>
    <w:rsid w:val="7C254906"/>
    <w:rsid w:val="7C590818"/>
    <w:rsid w:val="7C7C10F6"/>
    <w:rsid w:val="7C853BEA"/>
    <w:rsid w:val="7C881368"/>
    <w:rsid w:val="7C9E30F8"/>
    <w:rsid w:val="7CE27788"/>
    <w:rsid w:val="7D0C32F1"/>
    <w:rsid w:val="7D0F408D"/>
    <w:rsid w:val="7D491C6C"/>
    <w:rsid w:val="7D5429C0"/>
    <w:rsid w:val="7D6E6D43"/>
    <w:rsid w:val="7D825E08"/>
    <w:rsid w:val="7DA94D6A"/>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19"/>
    <w:qFormat/>
    <w:uiPriority w:val="0"/>
    <w:pPr>
      <w:ind w:firstLine="420"/>
    </w:pPr>
    <w:rPr>
      <w:rFonts w:hAnsi="Calibri"/>
      <w:szCs w:val="20"/>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45833</Words>
  <Characters>48518</Characters>
  <Lines>409</Lines>
  <Paragraphs>115</Paragraphs>
  <TotalTime>242</TotalTime>
  <ScaleCrop>false</ScaleCrop>
  <LinksUpToDate>false</LinksUpToDate>
  <CharactersWithSpaces>54695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日日</cp:lastModifiedBy>
  <cp:lastPrinted>2022-06-06T02:24:00Z</cp:lastPrinted>
  <dcterms:modified xsi:type="dcterms:W3CDTF">2022-09-19T02:21:55Z</dcterms:modified>
  <dc:title>杭州市市民卡扩大发卡工程</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